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</w:t>
              <w:br/>
            </w:r>
            <w:r>
              <w:rPr>
                <w:b/>
                <w:sz w:val="20"/>
                <w:szCs w:val="20"/>
              </w:rPr>
              <w:t>39</w:t>
            </w:r>
            <w:r>
              <w:rPr>
                <w:rFonts w:ascii="Calibri"/>
                <w:b/>
                <w:sz w:val="16"/>
              </w:rPr>
              <w:t/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b/>
                <w:sz w:val="18"/>
                <w:szCs w:val="18"/>
              </w:rPr>
              <w:t>04/02/2026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20"/>
                <w:szCs w:val="20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77777777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2223" w:type="dxa"/>
            <w:gridSpan w:val="5"/>
          </w:tcPr>
          <w:p w:rsidR="00E23E34" w:rsidRDefault="00000000" w14:paraId="7376D9E9" w14:textId="77777777"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3192B19D" w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311"/>
              </w:tabs>
              <w:spacing w:line="234" w:lineRule="exact"/>
              <w:ind w:hanging="175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 w:rsidR="00E23E34" w:rsidRDefault="00000000" w14:paraId="63B49226" w14:textId="77777777"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2157ABE6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346"/>
              </w:tabs>
              <w:spacing w:line="244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2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77777777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0DDB8238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391F6274" w14:textId="77777777">
            <w:pPr>
              <w:pStyle w:val="TableParagraph"/>
              <w:numPr>
                <w:ilvl w:val="0"/>
                <w:numId w:val="10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0410DA41" w14:textId="77777777"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591A87D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77777777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1C9CC725" w14:textId="77777777"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45908665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306"/>
              </w:tabs>
              <w:spacing w:line="213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5480B41F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688AE486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77777777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71B31E74" w14:textId="77777777"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7FA433BC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06"/>
              </w:tabs>
              <w:spacing w:line="214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77777777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573F265F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2CAFF55C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77777777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7D0FA27C" w14:textId="77777777"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RDefault="00000000" w14:paraId="5BD96D60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</w:t>
              <w:br/>
            </w:r>
            <w:r>
              <w:rPr>
                <w:b/>
                <w:sz w:val="20"/>
                <w:szCs w:val="20"/>
              </w:rPr>
              <w:t>39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indicado sofrerá alteração, caso haja reajuste anual do contrato coletivo por adesão ou mudança de faixa etária entre a data de assinatura desta Proposta e cobrança do primeiro boleto. A taxa de administração (devida no momento da adesão, cujo valor é diverso e inferior do valor mensal do(s) benefício(s) contratado(s), não se confunde, exclui, isenta ousubstitui o pagamento da primeira ou demais mensalidade</w:t>
              <w:br/>
            </w:r>
            <w:r>
              <w:rPr>
                <w:b/>
                <w:sz w:val="20"/>
                <w:szCs w:val="20"/>
              </w:rPr>
              <w:t>39</w:t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pacing w:val="-6"/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pacing w:val="-5"/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pacing w:val="-4"/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pacing w:val="-5"/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pacing w:val="-5"/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/>
            </w:r>
            <w:r>
              <w:rPr>
                <w:spacing w:val="-5"/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pacing w:val="-5"/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/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/>
            </w:r>
            <w:r>
              <w:rPr>
                <w:spacing w:val="-5"/>
                <w:sz w:val="18"/>
              </w:rPr>
              <w:t xml:space="preserve"/>
            </w:r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gramStart"/>
            <w:r>
              <w:rPr>
                <w:sz w:val="18"/>
              </w:rPr>
              <w:t/>
            </w:r>
            <w:proofErr w:type="gram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pacing w:val="3"/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/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573958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801</Words>
  <Characters>4326</Characters>
  <Application>Microsoft Office Word</Application>
  <DocSecurity>0</DocSecurity>
  <Lines>36</Lines>
  <Paragraphs>10</Paragraphs>
  <ScaleCrop>false</ScaleCrop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2</cp:revision>
  <dcterms:created xsi:type="dcterms:W3CDTF">2026-02-03T20:08:00Z</dcterms:created>
  <dcterms:modified xsi:type="dcterms:W3CDTF">2026-02-04T13:41:00Z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