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01/03/2026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8"/>
                <w:sz w:val="18"/>
                <w:szCs w:val="18"/>
                <w:color w:val="0000FF"/>
              </w:rPr>
              <w:t xml:space="preserve"> </w:t>
            </w:r>
            <w:r>
              <w:rPr>
                <w:rFonts w:ascii="Calibri" w:hAnsi="Calibri"/>
                <w:b/>
                <w:sz w:val="18"/>
                <w:szCs w:val="18"/>
                <w:color w:val="0000FF"/>
              </w:rPr>
              <w:t>01</w:t>
            </w:r>
            <w:r>
              <w:rPr>
                <w:rFonts w:ascii="Calibri" w:hAnsi="Calibri"/>
                <w:b/>
                <w:spacing w:val="-4"/>
                <w:sz w:val="18"/>
                <w:szCs w:val="18"/>
                <w:color w:val="0000FF"/>
              </w:rPr>
              <w:t xml:space="preserve">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AMANDA VICTORIA RAMOS DE MORAES LIMA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711.799.274-35</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19/10/2001</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24</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9054417</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704809098901247</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RAIMUNDA V SOUZA BRANDAO, 40 - QD 16, LT 04</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56320816</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LOTTO RECIFE</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amandemoraes@icloud.com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98831-2026</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R$ 303,50</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R$ 303,50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