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01/03/2026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8"/>
                <w:sz w:val="18"/>
                <w:szCs w:val="18"/>
                <w:color w:val="0000FF"/>
              </w:rPr>
              <w:t xml:space="preserve"> </w:t>
            </w:r>
            <w:r>
              <w:rPr>
                <w:rFonts w:ascii="Calibri" w:hAnsi="Calibri"/>
                <w:b/>
                <w:sz w:val="18"/>
                <w:szCs w:val="18"/>
                <w:color w:val="0000FF"/>
              </w:rPr>
              <w:t>01</w:t>
            </w:r>
            <w:r>
              <w:rPr>
                <w:rFonts w:ascii="Calibri" w:hAnsi="Calibri"/>
                <w:b/>
                <w:spacing w:val="-4"/>
                <w:sz w:val="18"/>
                <w:szCs w:val="18"/>
                <w:color w:val="0000FF"/>
              </w:rPr>
              <w:t xml:space="preserve">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GLENDA MACEDO DE SOUZA SANTOS PEREIRA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703.475.374-13</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11/03/1995</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30</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1199868507</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SSP/BA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707801642156013</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DO CANCELAO, 60</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56304140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CENTRO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glendapalace@hotmail.com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98110-1995</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R$ 302,30</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R$ 302,30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