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2"/>
                <w:szCs w:val="12"/>
                <w:color w:val="0000FF"/>
              </w:rPr>
              <w:t>840.853.715-68</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2"/>
                <w:szCs w:val="12"/>
                <w:color w:val="0000FF"/>
              </w:rPr>
              <w:t>567.742.225-87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2"/>
                <w:szCs w:val="12"/>
                <w:color w:val="0000FF"/>
              </w:rPr>
              <w:t>027.044.765-27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2"/>
                <w:szCs w:val="12"/>
                <w:color w:val="0000FF"/>
              </w:rPr>
              <w:t>614.572.485-49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2"/>
                <w:szCs w:val="12"/>
                <w:color w:val="0000FF"/>
              </w:rPr>
              <w:t>046.316.555-18</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