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sz w:val="32"/>
          <w:szCs w:val="32"/>
        </w:rPr>
        <w:t xml:space="preserve">Marco teórico</w:t>
      </w:r>
    </w:p>
    <w:p>
      <w:pPr>
        <w:spacing w:after="480"/>
        <w:jc w:val="center"/>
      </w:pPr>
      <w:r>
        <w:rPr>
          <w:rFonts w:ascii="Georgia" w:cs="Georgia" w:eastAsia="Georgia" w:hAnsi="Georgia"/>
          <w:b/>
          <w:bCs/>
          <w:i/>
          <w:iCs/>
          <w:color w:val="444444"/>
          <w:sz w:val="26"/>
          <w:szCs w:val="26"/>
        </w:rPr>
        <w:t xml:space="preserve">Diseño especulativo, artes mediales, humanidades digitales y estudios de ciencia, tecnología y sociedad para el análisis de contratos de condiciones de uso en la sociedad digital</w:t>
      </w:r>
    </w:p>
    <w:p>
      <w:pPr>
        <w:pStyle w:val="Heading1"/>
        <w:spacing w:after="200" w:before="400"/>
      </w:pPr>
      <w:r>
        <w:t xml:space="preserve">1. Introducción: los contratos de condiciones de uso como objeto de investigación-creación</w:t>
      </w:r>
    </w:p>
    <w:p>
      <w:pPr>
        <w:spacing w:after="240" w:line="360"/>
        <w:ind w:firstLine="480"/>
        <w:jc w:val="both"/>
      </w:pPr>
      <w:r>
        <w:rPr>
          <w:rFonts w:ascii="Georgia" w:cs="Georgia" w:eastAsia="Georgia" w:hAnsi="Georgia"/>
          <w:sz w:val="24"/>
          <w:szCs w:val="24"/>
        </w:rPr>
        <w:t xml:space="preserve">Cada vez que una persona instala una aplicación, se registra en una red social o activa un dispositivo conectado, acepta —casi siempre sin leerlo— un documento jurídico que regula su relación con la plataforma: los Términos y Condiciones de Uso (en adelante, ToS, por su sigla en inglés </w:t>
      </w:r>
      <w:r>
        <w:rPr>
          <w:rFonts w:ascii="Georgia" w:cs="Georgia" w:eastAsia="Georgia" w:hAnsi="Georgia"/>
          <w:i/>
          <w:iCs/>
          <w:sz w:val="24"/>
          <w:szCs w:val="24"/>
        </w:rPr>
        <w:t xml:space="preserve">Terms of Service</w:t>
      </w:r>
      <w:r>
        <w:rPr>
          <w:rFonts w:ascii="Georgia" w:cs="Georgia" w:eastAsia="Georgia" w:hAnsi="Georgia"/>
          <w:sz w:val="24"/>
          <w:szCs w:val="24"/>
        </w:rPr>
        <w:t xml:space="preserve">), acompañados de políticas de privacidad, licencias de usuario final y acuerdos de nivel de servicio. Estos textos, redactados en un lenguaje técnico-legal y sujetos a modificaciones unilaterales y frecuentes, constituyen una de las infraestructuras normativas más extendidas y a la vez menos visibles de la sociedad digital contemporánea, entendida aquí de forma operativa como el conjunto de prácticas sociales, económicas, culturales y políticas mediadas por plataformas, dispositivos y servicios conectados a internet. Obar y Oeldorf-Hirsch (2020) documentaron empíricamente lo que la cultura de internet intuye desde hace más de una década: la inmensa mayoría de las personas usuarias no lee estos documentos antes de aceptarlos, y quienes lo intentan enfrentan textos cuya extensión y complejidad exceden ampliamente los tiempos y competencias razonables de lectura, un fenómeno que McDonald y Cranor (2008) habían cuantificado previamente al estimar el costo temporal y cognitivo que implicaría, a escala poblacional, leer con atención cada política de privacidad aceptada en un año.</w:t>
      </w:r>
    </w:p>
    <w:p>
      <w:pPr>
        <w:spacing w:after="240" w:line="360"/>
        <w:ind w:firstLine="480"/>
        <w:jc w:val="both"/>
      </w:pPr>
      <w:r>
        <w:rPr>
          <w:rFonts w:ascii="Georgia" w:cs="Georgia" w:eastAsia="Georgia" w:hAnsi="Georgia"/>
          <w:sz w:val="24"/>
          <w:szCs w:val="24"/>
        </w:rPr>
        <w:t xml:space="preserve">Este marco teórico no aborda los ToS como un problema exclusivamente jurídico ni como un simple insumo de datos a recolectar, sino como un objeto cultural, sociotécnico y estético que requiere ser sistematizado, comparado y hecho visible a escala —entre múltiples plataformas, sectores y momentos históricos— para poder ser analizado críticamente. El proyecto que este capítulo sustenta propone construir un repositorio de datos y un conjunto de visualizaciones capaces de volver legible ese corpus disperso, cambiante y deliberadamente opaco. Sostener metodológica y conceptualmente esa construcción exige articular cuatro campos que, por separado, ofrecen herramientas parciales: el diseño especulativo aporta una actitud proyectual crítica frente a los futuros posibles de la gobernanza de datos; las artes mediales aportan una sensibilidad hacia la materialidad y la estética de infraestructuras técnicas habitualmente invisibles; las humanidades digitales aportan los métodos computacionales para sistematizar, leer y narrar corpus textuales a gran escala; y los estudios de ciencia, tecnología y sociedad (en adelante, STS) aportan el aparato analítico para comprender los contratos como dispositivos sociotécnicos de poder y no como meros textos neutros. La hipótesis de trabajo de este marco es que solo la articulación de estos cuatro campos —y no la aplicación aislada de uno de ellos— permite justificar tanto la pertinencia teórica como las decisiones metodológicas concretas de una base de datos de condiciones de uso concebida como dispositivo de investigación-creación.</w:t>
      </w:r>
    </w:p>
    <w:p>
      <w:pPr>
        <w:spacing w:after="240" w:line="360"/>
        <w:ind w:firstLine="480"/>
        <w:jc w:val="both"/>
      </w:pPr>
      <w:r>
        <w:rPr>
          <w:rFonts w:ascii="Georgia" w:cs="Georgia" w:eastAsia="Georgia" w:hAnsi="Georgia"/>
          <w:sz w:val="24"/>
          <w:szCs w:val="24"/>
        </w:rPr>
        <w:t xml:space="preserve">El capítulo se organiza en cinco secciones. Primero se revisa el diseño especulativo como marco proyectual que permite tratar la base de datos no solo como herramienta empírica sino como artefacto crítico capaz de especular con futuros alternativos de gobernanza de datos. Luego se examinan las artes mediales y la arqueología de medios como fuente de métodos y sensibilidades para volver perceptible la infraestructura invisible que los ToS regulan. En tercer lugar se revisan las humanidades digitales como campo metodológico para la sistematización, lectura distante y visualización de corpus textuales a escala. En cuarto lugar se presentan los STS como marco analítico para comprender los contratos como actantes sociotécnicos que median relaciones de poder entre plataformas, usuarios y reguladores. Finalmente, se propone una articulación transdisciplinaria que traduce esta discusión teórica en decisiones concretas de diseño para la base de datos y sus visualizaciones.</w:t>
      </w:r>
    </w:p>
    <w:p>
      <w:pPr>
        <w:pStyle w:val="Heading1"/>
        <w:spacing w:after="200" w:before="400"/>
      </w:pPr>
      <w:r>
        <w:t xml:space="preserve">2. Diseño especulativo: de la resolución de problemas a la especulación crítica</w:t>
      </w:r>
    </w:p>
    <w:p>
      <w:pPr>
        <w:pStyle w:val="Heading2"/>
        <w:spacing w:after="160" w:before="300"/>
      </w:pPr>
      <w:r>
        <w:t xml:space="preserve">2.1 Genealogía y principios del diseño especulativo</w:t>
      </w:r>
    </w:p>
    <w:p>
      <w:pPr>
        <w:spacing w:after="240" w:line="360"/>
        <w:ind w:firstLine="480"/>
        <w:jc w:val="both"/>
      </w:pPr>
      <w:r>
        <w:rPr>
          <w:rFonts w:ascii="Georgia" w:cs="Georgia" w:eastAsia="Georgia" w:hAnsi="Georgia"/>
          <w:sz w:val="24"/>
          <w:szCs w:val="24"/>
        </w:rPr>
        <w:t xml:space="preserve">El diseño especulativo emerge como una crítica interna a la disciplina del diseño industrial y de producto, cuestionando su vocación predominantemente afirmativa: resolver problemas dados dentro de las condiciones del mercado y la tecnología existentes. Frente a ese "diseño afirmativo", Dunne y Raby (2013) proponen un diseño crítico y especulativo cuyo propósito no es solucionar sino abrir preguntas, usando objetos, escenarios y ficciones como dispositivos para explorar las implicancias sociales, éticas y políticas de tecnologías presentes o emergentes. Los autores retoman y sistematizan un linaje que se remonta a los "cuentos hertzianos" del propio Dunne (Dunne, 1999/2005) sobre el diseño como forma de indagación cultural en torno a las tecnologías electrónicas, y lo formalizan en herramientas conceptuales como el mapa PPPP (probable, plausible, posible, preferible), que permite situar un proyecto de diseño según el tipo de futuro que propone imaginar, y el llamado "manifiesto A/B", que opone explícitamente los valores del diseño afirmativo (resolver problemas, la ciencia, el capitalismo, el "world as it is") a los del diseño especulativo (descubrir preguntas, la ficción, la pluralidad, el "world as it could be").</w:t>
      </w:r>
    </w:p>
    <w:p>
      <w:pPr>
        <w:spacing w:after="240" w:line="360"/>
        <w:ind w:firstLine="480"/>
        <w:jc w:val="both"/>
      </w:pPr>
      <w:r>
        <w:rPr>
          <w:rFonts w:ascii="Georgia" w:cs="Georgia" w:eastAsia="Georgia" w:hAnsi="Georgia"/>
          <w:sz w:val="24"/>
          <w:szCs w:val="24"/>
        </w:rPr>
        <w:t xml:space="preserve">En paralelo, el concepto de </w:t>
      </w:r>
      <w:r>
        <w:rPr>
          <w:rFonts w:ascii="Georgia" w:cs="Georgia" w:eastAsia="Georgia" w:hAnsi="Georgia"/>
          <w:i/>
          <w:iCs/>
          <w:sz w:val="24"/>
          <w:szCs w:val="24"/>
        </w:rPr>
        <w:t xml:space="preserve">design fiction</w:t>
      </w:r>
      <w:r>
        <w:rPr>
          <w:rFonts w:ascii="Georgia" w:cs="Georgia" w:eastAsia="Georgia" w:hAnsi="Georgia"/>
          <w:sz w:val="24"/>
          <w:szCs w:val="24"/>
        </w:rPr>
        <w:t xml:space="preserve">, formulado por Bleecker (2009), aporta una precisión metodológica adicional: los prototipos y objetos especulativos no ilustran un futuro sino que producen "hechos diegéticos" —artefactos que funcionan como si pertenecieran a un mundo posible, y que por su sola existencia material hacen pensable ese mundo—. Esta noción de prototipo discursivo es especialmente productiva para un proyecto que no busca únicamente describir el estado actual de los ToS, sino construir un dispositivo —la base de datos y sus visualizaciones— que funcione también como artefacto especulativo: un objeto que, al sistematizar y hacer comparables las cláusulas contractuales de múltiples plataformas, permite imaginar y discutir regímenes alternativos de gobernanza de datos, consentimiento y extracción de valor.</w:t>
      </w:r>
    </w:p>
    <w:p>
      <w:pPr>
        <w:pStyle w:val="Heading2"/>
        <w:spacing w:after="160" w:before="300"/>
      </w:pPr>
      <w:r>
        <w:t xml:space="preserve">2.2 La base de datos como artefacto especulativo</w:t>
      </w:r>
    </w:p>
    <w:p>
      <w:pPr>
        <w:spacing w:after="240" w:line="360"/>
        <w:ind w:firstLine="480"/>
        <w:jc w:val="both"/>
      </w:pPr>
      <w:r>
        <w:rPr>
          <w:rFonts w:ascii="Georgia" w:cs="Georgia" w:eastAsia="Georgia" w:hAnsi="Georgia"/>
          <w:sz w:val="24"/>
          <w:szCs w:val="24"/>
        </w:rPr>
        <w:t xml:space="preserve">Trasladado al problema de investigación de este proyecto, el diseño especulativo permite sostener una doble función para la base de datos: por un lado, una función documental y analítica —sistematizar cláusulas, jurisdicciones, mecanismos de consentimiento y modificaciones históricas de los ToS—; por otro, una función proyectual y crítica, en la medida en que el propio acto de volver comparables y visibles estos contratos constituye una intervención de diseño que interpela el statu quo de la ilegibilidad contractual. Conviene precisar, sin embargo, los límites de esta analogía: a diferencia de los prototipos diegéticos descritos por Bleecker (2009), que operan explícitamente en el registro de la ficción, la base de datos que este proyecto propone es un instrumento empírico y funcional, no un artefacto ficcional. Su carácter especulativo no reside, por tanto, en representar un mundo inexistente, sino en el uso crítico que puede hacerse de un instrumento real —al volver visibles y comparables relaciones contractuales que las plataformas mantienen deliberadamente dispersas— para imaginar y discutir regímenes alternativos de gobernanza de datos, consentimiento y extracción de valor. En este sentido, y no en el de una equivalencia directa con el prototipo diegético, este marco teórico denomina </w:t>
      </w:r>
      <w:r>
        <w:rPr>
          <w:rFonts w:ascii="Georgia" w:cs="Georgia" w:eastAsia="Georgia" w:hAnsi="Georgia"/>
          <w:i/>
          <w:iCs/>
          <w:sz w:val="24"/>
          <w:szCs w:val="24"/>
        </w:rPr>
        <w:t xml:space="preserve">artefacto especulativo</w:t>
      </w:r>
      <w:r>
        <w:rPr>
          <w:rFonts w:ascii="Georgia" w:cs="Georgia" w:eastAsia="Georgia" w:hAnsi="Georgia"/>
          <w:sz w:val="24"/>
          <w:szCs w:val="24"/>
        </w:rPr>
        <w:t xml:space="preserve"> a la base de datos: un dispositivo que no es un instrumento neutro de recolección, sino que, a la vez que documenta, especula con la posibilidad de una sociedad digital donde el consentimiento informado sea efectivamente posible. Esta dimensión especulativa es la que distingue al proyecto de un mero ejercicio de compliance o de auditoría legal, y la que justifica su inscripción en un programa de diseño e investigación-creación.</w:t>
      </w:r>
    </w:p>
    <w:p>
      <w:pPr>
        <w:pStyle w:val="Heading2"/>
        <w:spacing w:after="160" w:before="300"/>
      </w:pPr>
      <w:r>
        <w:t xml:space="preserve">2.3 Una advertencia necesaria: la crítica decolonial al diseño especulativo</w:t>
      </w:r>
    </w:p>
    <w:p>
      <w:pPr>
        <w:spacing w:after="240" w:line="360"/>
        <w:ind w:firstLine="480"/>
        <w:jc w:val="both"/>
      </w:pPr>
      <w:r>
        <w:rPr>
          <w:rFonts w:ascii="Georgia" w:cs="Georgia" w:eastAsia="Georgia" w:hAnsi="Georgia"/>
          <w:sz w:val="24"/>
          <w:szCs w:val="24"/>
        </w:rPr>
        <w:t xml:space="preserve">Antes de avanzar, es necesario introducir una salvedad que una lectura crítica de este marco no puede omitir. El diseño especulativo, tal como lo formulan Dunne y Raby (2013) y sus referentes fundacionales, se ha desarrollado predominantemente en instituciones de Europa y Norteamérica, y ha sido objeto de una crítica decolonial que señala su tendencia a universalizar imaginarios de futuro, estéticas y problemas propios del Norte Global, mientras invisibiliza las cosmovisiones, urgencias materiales y tradiciones de futuro de contextos como el latinoamericano. Escobar (2018) propone, frente a esta limitación, la noción de diseño pluriversal: una práctica de diseño situada, capaz de dar cabida a una multiplicidad de mundos y ontologías —el "pluriverso"— en lugar de proyectar, bajo la forma de la especulación crítica, un universalismo encubierto. Este marco teórico asume dicha advertencia como una tensión productiva y no resuelta: al construir una base de datos de condiciones de uso desde un programa de investigación situado en Chile, corresponde a las siguientes etapas del proyecto examinar en qué medida las categorías analíticas aquí propuestas —construidas mayoritariamente a partir de literatura anglosajona— requieren ser traducidas, ajustadas o disputadas a la luz de las condiciones específicas de acceso a la conectividad, de regulación de datos y de relación con las plataformas globales que caracterizan al contexto latinoamericano.</w:t>
      </w:r>
    </w:p>
    <w:p>
      <w:pPr>
        <w:pStyle w:val="Heading1"/>
        <w:spacing w:after="200" w:before="400"/>
      </w:pPr>
      <w:r>
        <w:t xml:space="preserve">3. Artes mediales: la política de la infraestructura invisible</w:t>
      </w:r>
    </w:p>
    <w:p>
      <w:pPr>
        <w:pStyle w:val="Heading2"/>
        <w:spacing w:after="160" w:before="300"/>
      </w:pPr>
      <w:r>
        <w:t xml:space="preserve">3.1 Arqueología de medios y estudios de software</w:t>
      </w:r>
    </w:p>
    <w:p>
      <w:pPr>
        <w:spacing w:after="240" w:line="360"/>
        <w:ind w:firstLine="480"/>
        <w:jc w:val="both"/>
      </w:pPr>
      <w:r>
        <w:rPr>
          <w:rFonts w:ascii="Georgia" w:cs="Georgia" w:eastAsia="Georgia" w:hAnsi="Georgia"/>
          <w:sz w:val="24"/>
          <w:szCs w:val="24"/>
        </w:rPr>
        <w:t xml:space="preserve">Las artes mediales y sus corrientes críticas asociadas —la arqueología de medios y los estudios de software— aportan a este marco una sensibilidad hacia la materialidad técnica de los sistemas digitales y hacia las capas de infraestructura que habitualmente permanecen invisibles para la persona usuaria. La arqueología de medios (Parikka, 2012) propone desplazar la atención desde los contenidos y las interfaces hacia las condiciones técnicas, materiales e institucionales que hacen posible la experiencia mediática, entendiendo los dispositivos y protocolos no como neutros sino como portadores de supuestos culturales y políticos sedimentados. En un registro afín, los estudios de software (Fuller, 2008) y de plataformas (Montfort y Bogost, 2009) sostienen que el código, los formatos de archivo y las arquitecturas técnicas no son meros soportes instrumentales de la cultura digital, sino objetos culturales en sí mismos, que merecen ser leídos con las mismas herramientas críticas que se aplican a otros textos culturales. Los ToS pueden entenderse, en esta clave, como una capa más de esa infraestructura técnico-legal: un "código" jurídico que, al igual que el código de software, opera en gran medida fuera del campo perceptivo cotidiano de quien usa la plataforma, pero que determina de manera efectiva qué puede y qué no puede hacerse con los datos, el contenido y la identidad digital de las personas.</w:t>
      </w:r>
    </w:p>
    <w:p>
      <w:pPr>
        <w:pStyle w:val="Heading2"/>
        <w:spacing w:after="160" w:before="300"/>
      </w:pPr>
      <w:r>
        <w:t xml:space="preserve">3.2 Arte de datos y estética de la infraestructura invisible</w:t>
      </w:r>
    </w:p>
    <w:p>
      <w:pPr>
        <w:spacing w:after="240" w:line="360"/>
        <w:ind w:firstLine="480"/>
        <w:jc w:val="both"/>
      </w:pPr>
      <w:r>
        <w:rPr>
          <w:rFonts w:ascii="Georgia" w:cs="Georgia" w:eastAsia="Georgia" w:hAnsi="Georgia"/>
          <w:sz w:val="24"/>
          <w:szCs w:val="24"/>
        </w:rPr>
        <w:t xml:space="preserve">Un conjunto de prácticas de arte de datos y arte crítico de medios ha desarrollado métodos visuales y estéticos específicamente orientados a volver perceptibles infraestructuras técnicas que de otro modo permanecen ocultas tras interfaces simplificadas. El proyecto </w:t>
      </w:r>
      <w:r>
        <w:rPr>
          <w:rFonts w:ascii="Georgia" w:cs="Georgia" w:eastAsia="Georgia" w:hAnsi="Georgia"/>
          <w:i/>
          <w:iCs/>
          <w:sz w:val="24"/>
          <w:szCs w:val="24"/>
        </w:rPr>
        <w:t xml:space="preserve">Anatomy of an AI System</w:t>
      </w:r>
      <w:r>
        <w:rPr>
          <w:rFonts w:ascii="Georgia" w:cs="Georgia" w:eastAsia="Georgia" w:hAnsi="Georgia"/>
          <w:sz w:val="24"/>
          <w:szCs w:val="24"/>
        </w:rPr>
        <w:t xml:space="preserve">, de Crawford y Joler (2018), es paradigmático en este sentido: al desplegar en un solo diagrama la cadena completa de extracción de litio, trabajo humano invisibilizado, procesamiento de datos y logística que sostiene el funcionamiento de un asistente doméstico inteligente, el trabajo demuestra que la infraestructura digital puede volverse objeto de una cartografía visual crítica, capaz de comunicar relaciones de poder que el diseño de interfaz de los productos comerciales oculta deliberadamente. En un linaje cercano, la noción de medios tácticos (Raley, 2009) describe prácticas artísticas y activistas que se apropian de herramientas técnicas y de datos para intervenir críticamente sobre sistemas de poder, mientras que la crítica de la interfaz propuesta por Galloway (2012) sostiene que toda interfaz es simultáneamente una superficie de acceso y un efecto que oculta procesos, protocolos y relaciones sociales subyacentes. Para el proyecto de base de datos de ToS, este acervo de las artes mediales aporta un repertorio metodológico y estético concreto: la visualización de datos no se concibe únicamente como comunicación eficiente de resultados analíticos, sino como una práctica crítica capaz de volver sensible —visible, comparable, incluso incómoda— una infraestructura contractual que las propias plataformas diseñan para pasar inadvertida.</w:t>
      </w:r>
    </w:p>
    <w:p>
      <w:pPr>
        <w:pStyle w:val="Heading1"/>
        <w:spacing w:after="200" w:before="400"/>
      </w:pPr>
      <w:r>
        <w:t xml:space="preserve">4. Humanidades digitales: métodos para sistematizar y leer corpus a escala</w:t>
      </w:r>
    </w:p>
    <w:p>
      <w:pPr>
        <w:pStyle w:val="Heading2"/>
        <w:spacing w:after="160" w:before="300"/>
      </w:pPr>
      <w:r>
        <w:t xml:space="preserve">4.1 De la lectura cercana a la lectura distante</w:t>
      </w:r>
    </w:p>
    <w:p>
      <w:pPr>
        <w:spacing w:after="240" w:line="360"/>
        <w:ind w:firstLine="480"/>
        <w:jc w:val="both"/>
      </w:pPr>
      <w:r>
        <w:rPr>
          <w:rFonts w:ascii="Georgia" w:cs="Georgia" w:eastAsia="Georgia" w:hAnsi="Georgia"/>
          <w:sz w:val="24"/>
          <w:szCs w:val="24"/>
        </w:rPr>
        <w:t xml:space="preserve">Las humanidades digitales aportan a este marco el conjunto de métodos computacionales necesarios para transformar un corpus disperso de documentos legales en un objeto de análisis sistemático. Frente a la lectura cercana (</w:t>
      </w:r>
      <w:r>
        <w:rPr>
          <w:rFonts w:ascii="Georgia" w:cs="Georgia" w:eastAsia="Georgia" w:hAnsi="Georgia"/>
          <w:i/>
          <w:iCs/>
          <w:sz w:val="24"/>
          <w:szCs w:val="24"/>
        </w:rPr>
        <w:t xml:space="preserve">close reading</w:t>
      </w:r>
      <w:r>
        <w:rPr>
          <w:rFonts w:ascii="Georgia" w:cs="Georgia" w:eastAsia="Georgia" w:hAnsi="Georgia"/>
          <w:sz w:val="24"/>
          <w:szCs w:val="24"/>
        </w:rPr>
        <w:t xml:space="preserve">) propia de la tradición hermenéutica y filológica, Moretti (2013) propone la noción de lectura distante (</w:t>
      </w:r>
      <w:r>
        <w:rPr>
          <w:rFonts w:ascii="Georgia" w:cs="Georgia" w:eastAsia="Georgia" w:hAnsi="Georgia"/>
          <w:i/>
          <w:iCs/>
          <w:sz w:val="24"/>
          <w:szCs w:val="24"/>
        </w:rPr>
        <w:t xml:space="preserve">distant reading</w:t>
      </w:r>
      <w:r>
        <w:rPr>
          <w:rFonts w:ascii="Georgia" w:cs="Georgia" w:eastAsia="Georgia" w:hAnsi="Georgia"/>
          <w:sz w:val="24"/>
          <w:szCs w:val="24"/>
        </w:rPr>
        <w:t xml:space="preserve">): renunciar deliberadamente a la lectura exhaustiva de cada texto individual para, en cambio, identificar patrones, regularidades y variaciones a través de corpus completos mediante herramientas cuantitativas y computacionales. Aplicado al corpus de los ToS, este desplazamiento metodológico resulta especialmente pertinente: dado que ningún equipo de investigación puede leer manualmente, de forma exhaustiva y comparada, la totalidad de los contratos de condiciones de uso de decenas o cientos de plataformas a través del tiempo, la lectura distante —apoyada en minería de texto, extracción de cláusulas y análisis de corpus legal— se vuelve la única vía metodológicamente viable para sistematizar el fenómeno a la escala en que efectivamente ocurre. Iniciativas previas como el proyecto </w:t>
      </w:r>
      <w:r>
        <w:rPr>
          <w:rFonts w:ascii="Georgia" w:cs="Georgia" w:eastAsia="Georgia" w:hAnsi="Georgia"/>
          <w:i/>
          <w:iCs/>
          <w:sz w:val="24"/>
          <w:szCs w:val="24"/>
        </w:rPr>
        <w:t xml:space="preserve">Terms of Service; Didn't Read</w:t>
      </w:r>
      <w:r>
        <w:rPr>
          <w:rFonts w:ascii="Georgia" w:cs="Georgia" w:eastAsia="Georgia" w:hAnsi="Georgia"/>
          <w:sz w:val="24"/>
          <w:szCs w:val="24"/>
        </w:rPr>
        <w:t xml:space="preserve"> han mostrado, de manera más artesanal, la viabilidad y la necesidad social de este tipo de sistematización, que el presente proyecto busca profundizar mediante una infraestructura de base de datos y visualización más sistemática y comparativa.</w:t>
      </w:r>
    </w:p>
    <w:p>
      <w:pPr>
        <w:pStyle w:val="Heading2"/>
        <w:spacing w:after="160" w:before="300"/>
      </w:pPr>
      <w:r>
        <w:t xml:space="preserve">4.2 La base de datos como forma cultural</w:t>
      </w:r>
    </w:p>
    <w:p>
      <w:pPr>
        <w:spacing w:after="240" w:line="360"/>
        <w:ind w:firstLine="480"/>
        <w:jc w:val="both"/>
      </w:pPr>
      <w:r>
        <w:rPr>
          <w:rFonts w:ascii="Georgia" w:cs="Georgia" w:eastAsia="Georgia" w:hAnsi="Georgia"/>
          <w:sz w:val="24"/>
          <w:szCs w:val="24"/>
        </w:rPr>
        <w:t xml:space="preserve">Un segundo aporte central de las humanidades digitales, de raíz más teórica que metodológica, proviene de la reflexión de Manovich (2001) sobre la base de datos como forma simbólica en competencia con la narrativa. Para Manovich, la cultura digital ha producido una tensión entre dos formas de organizar y dar sentido a la experiencia: la narrativa, que construye una secuencia causal única a través de un conjunto de elementos, y la base de datos, que presenta ese mismo conjunto como una colección de elementos discretos sin un orden privilegiado, navegable de múltiples maneras por quien consulta. Esta distinción es teóricamente productiva para el proyecto en dos sentidos. Primero, permite justificar por qué una base de datos —y no, por ejemplo, un informe narrativo tradicional— es la forma adecuada para sistematizar los ToS: se trata de un corpus que gana sentido crítico precisamente en su capacidad de ser recombinado, filtrado y comparado por quien lo consulta, más que en una narración lineal predefinida. Segundo, alerta sobre el hecho de que ninguna base de datos es neutra: toda decisión sobre qué campos capturar, cómo categorizar una cláusula o qué taxonomía aplicar a los mecanismos de consentimiento implica ya una interpretación —una forma simbólica— que condiciona lo que después podrá visualizarse y argumentarse. Esta advertencia dialoga con las herramientas conceptuales de clasificación desarrolladas en STS, que se retoman en la sección siguiente.</w:t>
      </w:r>
    </w:p>
    <w:p>
      <w:pPr>
        <w:pStyle w:val="Heading2"/>
        <w:spacing w:after="160" w:before="300"/>
      </w:pPr>
      <w:r>
        <w:t xml:space="preserve">4.3 Hacia una lectura crítica y situada de los datos</w:t>
      </w:r>
    </w:p>
    <w:p>
      <w:pPr>
        <w:spacing w:after="240" w:line="360"/>
        <w:ind w:firstLine="480"/>
        <w:jc w:val="both"/>
      </w:pPr>
      <w:r>
        <w:rPr>
          <w:rFonts w:ascii="Georgia" w:cs="Georgia" w:eastAsia="Georgia" w:hAnsi="Georgia"/>
          <w:sz w:val="24"/>
          <w:szCs w:val="24"/>
        </w:rPr>
        <w:t xml:space="preserve">Finalmente, las humanidades digitales contemporáneas han incorporado una dimensión ética y política explícita en el tratamiento de datos, que resulta especialmente relevante tratándose de un corpus —los ToS— que regula directamente relaciones de poder entre plataformas y personas usuarias. D'Ignazio y Klein (2020) proponen los principios de una "ciencia de datos feminista", que incluyen examinar el poder inscrito en los propios procesos de recolección y clasificación de datos, y visibilizar el trabajo —a menudo invisibilizado— que hace posible la producción de conocimiento a partir de datos. Trasladados a este proyecto, estos principios exigen que la base de datos de ToS no solo documente las cláusulas contractuales, sino que haga explícitas las asimetrías de poder que esas cláusulas instituyen entre plataformas y personas usuarias, evitando que la sistematización técnica termine naturalizando, por la vía de una apariencia de objetividad tabular, las mismas relaciones de extracción que se busca analizar críticamente.</w:t>
      </w:r>
    </w:p>
    <w:p>
      <w:pPr>
        <w:pStyle w:val="Heading1"/>
        <w:spacing w:after="200" w:before="400"/>
      </w:pPr>
      <w:r>
        <w:t xml:space="preserve">5. Estudios de ciencia, tecnología y sociedad: los contratos como infraestructuras sociotécnicas</w:t>
      </w:r>
    </w:p>
    <w:p>
      <w:pPr>
        <w:pStyle w:val="Heading2"/>
        <w:spacing w:after="160" w:before="300"/>
      </w:pPr>
      <w:r>
        <w:t xml:space="preserve">5.1 Teoría del actor-red y los no-humanos que gobiernan</w:t>
      </w:r>
    </w:p>
    <w:p>
      <w:pPr>
        <w:spacing w:after="240" w:line="360"/>
        <w:ind w:firstLine="480"/>
        <w:jc w:val="both"/>
      </w:pPr>
      <w:r>
        <w:rPr>
          <w:rFonts w:ascii="Georgia" w:cs="Georgia" w:eastAsia="Georgia" w:hAnsi="Georgia"/>
          <w:sz w:val="24"/>
          <w:szCs w:val="24"/>
        </w:rPr>
        <w:t xml:space="preserve">Los STS ofrecen a este marco su aparato analítico central: la posibilidad de tratar los ToS no como textos jurídicos externos a la tecnología que regulan, sino como componentes constitutivos de la red sociotécnica que conforma una plataforma digital. La teoría del actor-red, desarrollada por Latour (2005) y Callon (1986), sostiene que los objetos, dispositivos y textos técnicos —los llamados actantes no humanos— participan activamente en la producción y estabilización de relaciones sociales, en pie de igualdad analítica con los actores humanos. Desde esta perspectiva, un contrato de condiciones de uso no es un documento que simplemente describe, desde afuera, una relación previamente existente entre una empresa y su usuaria, sino un actante que activamente configura y delimita qué es posible hacer dentro de esa relación: qué datos pueden recolectarse, con quién pueden compartirse, bajo qué jurisdicción puede reclamarse y qué mecanismos de resolución de conflictos —en ciertas jurisdicciones, de manera particularmente extendida en el derecho estadounidense, cláusulas de arbitraje privado obligatorio que excluyen la vía judicial colectiva (Suzor, 2019)— son aceptados de antemano por quien hace clic en "acepto". Comprender los ToS como actantes, y no como meros textos descriptivos, es lo que justifica tratarlos como objeto legítimo de una base de datos sociotécnica y no únicamente como un corpus de interés jurídico.</w:t>
      </w:r>
    </w:p>
    <w:p>
      <w:pPr>
        <w:pStyle w:val="Heading2"/>
        <w:spacing w:after="160" w:before="300"/>
      </w:pPr>
      <w:r>
        <w:t xml:space="preserve">5.2 Infraestructura, invisibilidad y momentos de quiebre</w:t>
      </w:r>
    </w:p>
    <w:p>
      <w:pPr>
        <w:spacing w:after="240" w:line="360"/>
        <w:ind w:firstLine="480"/>
        <w:jc w:val="both"/>
      </w:pPr>
      <w:r>
        <w:rPr>
          <w:rFonts w:ascii="Georgia" w:cs="Georgia" w:eastAsia="Georgia" w:hAnsi="Georgia"/>
          <w:sz w:val="24"/>
          <w:szCs w:val="24"/>
        </w:rPr>
        <w:t xml:space="preserve">Un segundo aporte STS central proviene de los estudios de infraestructura desarrollados por Star (1999) y por Bowker y Star (1999). Star (1999) señala que las infraestructuras técnicas comparten una propiedad distintiva: se vuelven invisibles precisamente en la medida en que funcionan correctamente, y solo se hacen visibles en momentos de quiebre, conflicto o falla. Los ToS ilustran de manera casi paradigmática esta condición: permanecen invisibles en el uso cotidiano de una plataforma —aceptados de manera automática, sin lectura— y solo emergen a la atención pública en momentos de crisis: una filtración de datos, un cambio de política que genera controversia, un litigio colectivo. Bowker y Star (1999), por su parte, muestran que toda infraestructura clasificatoria —y los ToS lo son, en la medida en que definen categorías de datos, de usos permitidos y de responsabilidades— incorpora supuestos normativos que resultan invisibles para quienes no pertenecen a la comunidad que los diseñó. Este marco justifica que un objetivo central de la base de datos y sus visualizaciones sea, precisamente, producir de manera deliberada y sistemática esa visibilidad que normalmente solo aparece de forma episódica y reactiva ante un quiebre: convertir la excepción de la crisis mediática en una condición permanente de escrutinio comparativo.</w:t>
      </w:r>
    </w:p>
    <w:p>
      <w:pPr>
        <w:pStyle w:val="Heading2"/>
        <w:spacing w:after="160" w:before="300"/>
      </w:pPr>
      <w:r>
        <w:t xml:space="preserve">5.3 Plataformas, gobernanza privada y capitalismo de la vigilancia</w:t>
      </w:r>
    </w:p>
    <w:p>
      <w:pPr>
        <w:spacing w:after="240" w:line="360"/>
        <w:ind w:firstLine="480"/>
        <w:jc w:val="both"/>
      </w:pPr>
      <w:r>
        <w:rPr>
          <w:rFonts w:ascii="Georgia" w:cs="Georgia" w:eastAsia="Georgia" w:hAnsi="Georgia"/>
          <w:sz w:val="24"/>
          <w:szCs w:val="24"/>
        </w:rPr>
        <w:t xml:space="preserve">Finalmente, los STS aplicados al estudio de plataformas digitales aportan un marco específico para comprender la función política de los ToS como instrumento de gobernanza privada. Gillespie (2018) muestra cómo las plataformas ejercen, a través de sus términos de servicio y políticas de moderación, una forma de autoridad cuasi-jurisdiccional sobre el discurso y el comportamiento de sus usuarias, sin la rendición de cuentas propia de las instituciones públicas. Van Dijck, Poell y de Waal (2018) generalizan este análisis a la noción de "sociedad de plataformas", en la que infraestructuras privadas median cada vez más ámbitos de la vida social, económica y cívica bajo lógicas contractuales que ellas mismas redactan y modifican unilateralmente. Suzor (2019) documenta específicamente cómo estas "reglas secretas" —los ToS y sus políticas asociadas— constituyen de facto un sistema normativo paralelo al derecho estatal, con escasa transparencia y mecanismos de apelación limitados.</w:t>
      </w:r>
    </w:p>
    <w:p>
      <w:pPr>
        <w:spacing w:after="240" w:line="360"/>
        <w:ind w:firstLine="480"/>
        <w:jc w:val="both"/>
      </w:pPr>
      <w:r>
        <w:rPr>
          <w:rFonts w:ascii="Georgia" w:cs="Georgia" w:eastAsia="Georgia" w:hAnsi="Georgia"/>
          <w:sz w:val="24"/>
          <w:szCs w:val="24"/>
        </w:rPr>
        <w:t xml:space="preserve">A esta línea de gobernanza privada se suma una segunda, centrada en la crítica de la extracción de datos que los ToS legitiman contractualmente. Cheney-Lippold (2017) describe cómo estas infraestructuras constituyen algorítmicamente identidades de datos ("data selves") a partir de las cuales se toman decisiones sobre las personas, mientras que boyd y Crawford (2012) advierten sobre los riesgos epistemológicos y éticos de tratar los datos a gran escala como si fueran evidencia neutral, exenta de las relaciones de poder que los produjeron. Zuboff (2019) sintetiza buena parte de esta discusión bajo el concepto de "capitalismo de la vigilancia", entendido como un régimen económico en el que la experiencia humana es tratada como materia prima gratuita para la extracción de datos conductuales; en línea con este diagnóstico, puede leerse que los ToS operan como el instrumento contractual que legitima —jurídica y discursivamente— esa extracción, aunque Zuboff no analiza los ToS como objeto específico. En una dirección convergente, aunque formulada casi dos décadas antes y desde la crítica al trabajo inmaterial más que desde el análisis contractual, Terranova (2000) había señalado cómo buena parte del valor económico de la economía digital se produce mediante formas de trabajo gratuito o mal remunerado de las propias personas usuarias; extendida a este proyecto, esa observación permite leer los ToS como el dispositivo que formaliza esa relación de extracción sin reconocerla como tal. En conjunto, este acervo STS permite sostener que sistematizar y comparar ToS no es una tarea meramente descriptiva o de compliance, sino una intervención analítica sobre uno de los principales instrumentos de gobernanza privada de la sociedad digital contemporánea.</w:t>
      </w:r>
    </w:p>
    <w:p>
      <w:pPr>
        <w:pStyle w:val="Heading1"/>
        <w:spacing w:after="200" w:before="400"/>
      </w:pPr>
      <w:r>
        <w:t xml:space="preserve">6. Articulación transdisciplinaria: hacia un marco integrado de investigación-creación</w:t>
      </w:r>
    </w:p>
    <w:p>
      <w:pPr>
        <w:pStyle w:val="Heading2"/>
        <w:spacing w:after="160" w:before="300"/>
      </w:pPr>
      <w:r>
        <w:t xml:space="preserve">6.1 Convergencias conceptuales</w:t>
      </w:r>
    </w:p>
    <w:p>
      <w:pPr>
        <w:spacing w:after="240" w:line="360"/>
        <w:ind w:firstLine="480"/>
        <w:jc w:val="both"/>
      </w:pPr>
      <w:r>
        <w:rPr>
          <w:rFonts w:ascii="Georgia" w:cs="Georgia" w:eastAsia="Georgia" w:hAnsi="Georgia"/>
          <w:sz w:val="24"/>
          <w:szCs w:val="24"/>
        </w:rPr>
        <w:t xml:space="preserve">Los cuatro campos revisados no operan como compartimentos aislados sino como capas complementarias de un mismo problema, según se anticipó en la introducción de este capítulo. Recapitulando brevemente esa articulación: los STS aportan la premisa analítica —los ToS son actantes sociotécnicos e infraestructuras de gobernanza privada, no textos neutros—; las humanidades digitales aportan el método para sistematizar esa premisa a escala mediante lectura distante y minería de texto; las artes mediales aportan la sensibilidad estética capaz de volver perceptible esa infraestructura; y el diseño especulativo aporta la dimensión proyectual que permite tratar el propio dispositivo como un artefacto crítico. Lo que corresponde precisar ahora, más allá de esta enumeración, es cómo interactúan efectivamente estas cuatro capas entre sí.</w:t>
      </w:r>
    </w:p>
    <w:p>
      <w:pPr>
        <w:spacing w:after="240" w:line="360"/>
        <w:ind w:firstLine="480"/>
        <w:jc w:val="both"/>
      </w:pPr>
      <w:r>
        <w:rPr>
          <w:rFonts w:ascii="Georgia" w:cs="Georgia" w:eastAsia="Georgia" w:hAnsi="Georgia"/>
          <w:sz w:val="24"/>
          <w:szCs w:val="24"/>
        </w:rPr>
        <w:t xml:space="preserve">Esa interacción no está exenta de tensión. Los STS, en su vertiente más descriptiva, asumen un compromiso de distancia analítica: explicar cómo operan las infraestructuras de poder sin necesariamente proponer alternativas a ellas. El diseño especulativo, en cambio, es explícitamente proyectivo: no le basta con describir la gobernanza contractual existente, sino que busca imaginar activamente otras posibles, con la cautela introducida en el apartado 2.3 frente al riesgo de universalizar esas alternativas. El marco aquí propuesto no disuelve esta tensión sino que la sostiene deliberadamente: la base de datos documenta con el rigor analítico que demandan los STS y las humanidades digitales y, sin que ambos gestos se anulen entre sí, especula con las alternativas que el diseño especulativo hace posible imaginar, en un registro visual y estético que las artes mediales aportan. Sostener ambos registros a la vez —el descriptivo y el proyectivo— es lo que distingue a un dispositivo de investigación-creación de un simple instrumento de recolección de datos o de un ejercicio proyectual desvinculado de evidencia empírica. La convergencia de estos cuatro campos permite proponer una categoría de síntesis para el proyecto: la base de datos de condiciones de uso como </w:t>
      </w:r>
      <w:r>
        <w:rPr>
          <w:rFonts w:ascii="Georgia" w:cs="Georgia" w:eastAsia="Georgia" w:hAnsi="Georgia"/>
          <w:i/>
          <w:iCs/>
          <w:sz w:val="24"/>
          <w:szCs w:val="24"/>
        </w:rPr>
        <w:t xml:space="preserve">artefacto especulativo de investigación-creación</w:t>
      </w:r>
      <w:r>
        <w:rPr>
          <w:rFonts w:ascii="Georgia" w:cs="Georgia" w:eastAsia="Georgia" w:hAnsi="Georgia"/>
          <w:sz w:val="24"/>
          <w:szCs w:val="24"/>
        </w:rPr>
        <w:t xml:space="preserve"> (retomando el término propuesto en el apartado 2.2), un dispositivo que documenta empíricamente y, al mismo tiempo, interviene especulativamente sobre el objeto que documenta.</w:t>
      </w:r>
    </w:p>
    <w:p>
      <w:pPr>
        <w:pStyle w:val="Heading2"/>
        <w:spacing w:after="160" w:before="300"/>
      </w:pPr>
      <w:r>
        <w:t xml:space="preserve">6.2 Implicancias para el diseño de la base de datos</w:t>
      </w:r>
    </w:p>
    <w:p>
      <w:pPr>
        <w:spacing w:after="240" w:line="360"/>
        <w:ind w:firstLine="480"/>
        <w:jc w:val="both"/>
      </w:pPr>
      <w:r>
        <w:rPr>
          <w:rFonts w:ascii="Georgia" w:cs="Georgia" w:eastAsia="Georgia" w:hAnsi="Georgia"/>
          <w:sz w:val="24"/>
          <w:szCs w:val="24"/>
        </w:rPr>
        <w:t xml:space="preserve">Esta articulación teórica se traduce en decisiones concretas de diseño para el repositorio de datos. En primer lugar, siguiendo a Star (1999) y Bowker y Star (1999), la base de datos debe capturar no solo el contenido vigente de cada cláusula sino su historicidad: las versiones sucesivas de un mismo ToS, las fechas de modificación y los cambios sustantivos introducidos con el tiempo, de modo de volver visible el proceso —normalmente invisible— de transformación silenciosa de estos contratos. En segundo lugar, siguiendo a los STS aplicados a plataformas (Gillespie, 2018; van Dijck et al., 2018; Suzor, 2019), la taxonomía de variables debe incluir explícitamente dimensiones de gobernanza y poder —mecanismos de resolución de disputas, cláusulas de arbitraje obligatorio, jurisdicción aplicable, condiciones de modificación unilateral, alcance de las licencias sobre contenido generado por usuarios— y no limitarse a variables de cumplimiento normativo estándar. En tercer lugar, siguiendo a D'Ignazio y Klein (2020), el diseño de la base de datos debe documentar de manera transparente sus propias decisiones de clasificación y sus límites metodológicos, evitando presentar la sistematización como una operación neutral. En cuarto lugar, siguiendo a Manovich (2001), la estructura de la base de datos debe privilegiar la navegabilidad y la comparación multidimensional por sobre una narrativa única y cerrada, permitiendo a quien consulta construir sus propios recorridos comparativos entre plataformas, sectores y períodos.</w:t>
      </w:r>
    </w:p>
    <w:p>
      <w:pPr>
        <w:pStyle w:val="Heading2"/>
        <w:spacing w:after="160" w:before="300"/>
      </w:pPr>
      <w:r>
        <w:t xml:space="preserve">6.3 Implicancias para las visualizaciones</w:t>
      </w:r>
    </w:p>
    <w:p>
      <w:pPr>
        <w:spacing w:after="240" w:line="360"/>
        <w:ind w:firstLine="480"/>
        <w:jc w:val="both"/>
      </w:pPr>
      <w:r>
        <w:rPr>
          <w:rFonts w:ascii="Georgia" w:cs="Georgia" w:eastAsia="Georgia" w:hAnsi="Georgia"/>
          <w:sz w:val="24"/>
          <w:szCs w:val="24"/>
        </w:rPr>
        <w:t xml:space="preserve">En el plano de las visualizaciones de datos, la articulación entre artes mediales y diseño especulativo sugiere que estas no deben limitarse a la función informativa habitual de un dashboard corporativo, sino asumir explícitamente una función crítica y especulativa, en el linaje de trabajos como </w:t>
      </w:r>
      <w:r>
        <w:rPr>
          <w:rFonts w:ascii="Georgia" w:cs="Georgia" w:eastAsia="Georgia" w:hAnsi="Georgia"/>
          <w:i/>
          <w:iCs/>
          <w:sz w:val="24"/>
          <w:szCs w:val="24"/>
        </w:rPr>
        <w:t xml:space="preserve">Anatomy of an AI System</w:t>
      </w:r>
      <w:r>
        <w:rPr>
          <w:rFonts w:ascii="Georgia" w:cs="Georgia" w:eastAsia="Georgia" w:hAnsi="Georgia"/>
          <w:sz w:val="24"/>
          <w:szCs w:val="24"/>
        </w:rPr>
        <w:t xml:space="preserve"> (Crawford y Joler, 2018): visualizaciones que hagan perceptibles las asimetrías —de extensión textual, de complejidad jurídica, de frecuencia de cambios, de alcance de las cláusulas de recolección de datos— entre plataformas y a través del tiempo, y que inviertan la relación habitual entre plataforma y persona usuaria al poner a esta última en posición de escrutinio comparativo sobre aquella. Esto sitúa a las visualizaciones no como un anexo comunicacional del análisis de datos, sino como una segunda instancia de investigación-creación en sí misma, coherente con el estatuto especulativo del proyecto en su conjunto.</w:t>
      </w:r>
    </w:p>
    <w:p>
      <w:pPr>
        <w:pStyle w:val="Heading1"/>
        <w:spacing w:after="200" w:before="400"/>
      </w:pPr>
      <w:r>
        <w:t xml:space="preserve">7. Conclusiones del capítulo</w:t>
      </w:r>
    </w:p>
    <w:p>
      <w:pPr>
        <w:spacing w:after="240" w:line="360"/>
        <w:ind w:firstLine="480"/>
        <w:jc w:val="both"/>
      </w:pPr>
      <w:r>
        <w:rPr>
          <w:rFonts w:ascii="Georgia" w:cs="Georgia" w:eastAsia="Georgia" w:hAnsi="Georgia"/>
          <w:sz w:val="24"/>
          <w:szCs w:val="24"/>
        </w:rPr>
        <w:t xml:space="preserve">Este marco teórico ha argumentado que la construcción de una base de datos capaz de sistematizar y analizar contratos de condiciones de uso a través de múltiples plataformas y sectores de la sociedad digital requiere una fundamentación que exceda tanto el análisis jurídico como la mera ingeniería de datos. La articulación entre diseño especulativo, artes mediales, humanidades digitales y estudios de ciencia, tecnología y sociedad permite sostener una tesis articulada en cuatro proposiciones convergentes: que los ToS son actantes sociotécnicos que ejercen una forma de gobernanza privada sobre la vida digital (STS); que su sistematización a escala exige métodos computacionales de lectura distante y una reflexión sobre la base de datos como forma cultural no neutra (humanidades digitales); que su visibilización requiere una sensibilidad estética y crítica capaz de volver perceptible una infraestructura deliberadamente invisible (artes mediales); y que el dispositivo resultante —la base de datos y sus visualizaciones— puede y debe funcionar también como un artefacto especulativo que interpela el presente y proyecta futuros alternativos de gobernanza de datos (diseño especulativo).</w:t>
      </w:r>
    </w:p>
    <w:p>
      <w:pPr>
        <w:spacing w:after="240" w:line="360"/>
        <w:ind w:firstLine="480"/>
        <w:jc w:val="both"/>
      </w:pPr>
      <w:r>
        <w:rPr>
          <w:rFonts w:ascii="Georgia" w:cs="Georgia" w:eastAsia="Georgia" w:hAnsi="Georgia"/>
          <w:sz w:val="24"/>
          <w:szCs w:val="24"/>
        </w:rPr>
        <w:t xml:space="preserve">Cabe señalar, como límite explícito de este marco y como tarea pendiente para las etapas siguientes de la investigación, que el andamiaje conceptual aquí construido se apoya mayoritariamente en literatura producida en Europa y Norteamérica; tal como se advirtió en el apartado 2.3, su aplicación a un corpus de plataformas globales analizado desde un programa de investigación situado en Chile exige someter estas categorías a una revisión situada, en diálogo con las tradiciones latinoamericanas de pensamiento decolonial y con las particularidades regionales de regulación de datos. Sobre esta base transdisciplinaria —y con esa salvedad explícita— los capítulos siguientes de la investigación pueden desarrollar con mayor especificidad las decisiones metodológicas de recolección, taxonomía y visualización del corpus de condiciones de uso.</w:t>
      </w:r>
    </w:p>
    <w:p>
      <w:pPr>
        <w:pStyle w:val="Heading1"/>
        <w:pageBreakBefore/>
        <w:spacing w:after="240" w:before="480"/>
      </w:pPr>
      <w:r>
        <w:t xml:space="preserve">Referencias</w:t>
      </w:r>
    </w:p>
    <w:p>
      <w:pPr>
        <w:spacing w:after="200" w:line="276"/>
        <w:ind w:left="720" w:hanging="720"/>
        <w:jc w:val="left"/>
      </w:pPr>
      <w:r>
        <w:rPr>
          <w:rFonts w:ascii="Georgia" w:cs="Georgia" w:eastAsia="Georgia" w:hAnsi="Georgia"/>
          <w:sz w:val="22"/>
          <w:szCs w:val="22"/>
        </w:rPr>
        <w:t xml:space="preserve">Bleecker, J. (2009). </w:t>
      </w:r>
      <w:r>
        <w:rPr>
          <w:rFonts w:ascii="Georgia" w:cs="Georgia" w:eastAsia="Georgia" w:hAnsi="Georgia"/>
          <w:i/>
          <w:iCs/>
          <w:sz w:val="22"/>
          <w:szCs w:val="22"/>
        </w:rPr>
        <w:t xml:space="preserve">Design fiction: A short essay on design, science, fact and fiction</w:t>
      </w:r>
      <w:r>
        <w:rPr>
          <w:rFonts w:ascii="Georgia" w:cs="Georgia" w:eastAsia="Georgia" w:hAnsi="Georgia"/>
          <w:sz w:val="22"/>
          <w:szCs w:val="22"/>
        </w:rPr>
        <w:t xml:space="preserve">. Near Future Laboratory.</w:t>
      </w:r>
    </w:p>
    <w:p>
      <w:pPr>
        <w:spacing w:after="200" w:line="276"/>
        <w:ind w:left="720" w:hanging="720"/>
        <w:jc w:val="left"/>
      </w:pPr>
      <w:r>
        <w:rPr>
          <w:rFonts w:ascii="Georgia" w:cs="Georgia" w:eastAsia="Georgia" w:hAnsi="Georgia"/>
          <w:sz w:val="22"/>
          <w:szCs w:val="22"/>
        </w:rPr>
        <w:t xml:space="preserve">Bowker, G. C., &amp; Star, S. L. (1999). </w:t>
      </w:r>
      <w:r>
        <w:rPr>
          <w:rFonts w:ascii="Georgia" w:cs="Georgia" w:eastAsia="Georgia" w:hAnsi="Georgia"/>
          <w:i/>
          <w:iCs/>
          <w:sz w:val="22"/>
          <w:szCs w:val="22"/>
        </w:rPr>
        <w:t xml:space="preserve">Sorting things out: Classification and its consequences</w:t>
      </w:r>
      <w:r>
        <w:rPr>
          <w:rFonts w:ascii="Georgia" w:cs="Georgia" w:eastAsia="Georgia" w:hAnsi="Georgia"/>
          <w:sz w:val="22"/>
          <w:szCs w:val="22"/>
        </w:rPr>
        <w:t xml:space="preserve">. MIT Press.</w:t>
      </w:r>
    </w:p>
    <w:p>
      <w:pPr>
        <w:spacing w:after="200" w:line="276"/>
        <w:ind w:left="720" w:hanging="720"/>
        <w:jc w:val="left"/>
      </w:pPr>
      <w:r>
        <w:rPr>
          <w:rFonts w:ascii="Georgia" w:cs="Georgia" w:eastAsia="Georgia" w:hAnsi="Georgia"/>
          <w:sz w:val="22"/>
          <w:szCs w:val="22"/>
        </w:rPr>
        <w:t xml:space="preserve">boyd, d., &amp; Crawford, K. (2012). Critical questions for big data: Provocations for a cultural, technological, and scholarly phenomenon. </w:t>
      </w:r>
      <w:r>
        <w:rPr>
          <w:rFonts w:ascii="Georgia" w:cs="Georgia" w:eastAsia="Georgia" w:hAnsi="Georgia"/>
          <w:i/>
          <w:iCs/>
          <w:sz w:val="22"/>
          <w:szCs w:val="22"/>
        </w:rPr>
        <w:t xml:space="preserve">Information, Communication &amp; Society, 15</w:t>
      </w:r>
      <w:r>
        <w:rPr>
          <w:rFonts w:ascii="Georgia" w:cs="Georgia" w:eastAsia="Georgia" w:hAnsi="Georgia"/>
          <w:sz w:val="22"/>
          <w:szCs w:val="22"/>
        </w:rPr>
        <w:t xml:space="preserve">(5), 662–679. https://doi.org/10.1080/1369118X.2012.678878</w:t>
      </w:r>
    </w:p>
    <w:p>
      <w:pPr>
        <w:spacing w:after="200" w:line="276"/>
        <w:ind w:left="720" w:hanging="720"/>
        <w:jc w:val="left"/>
      </w:pPr>
      <w:r>
        <w:rPr>
          <w:rFonts w:ascii="Georgia" w:cs="Georgia" w:eastAsia="Georgia" w:hAnsi="Georgia"/>
          <w:sz w:val="22"/>
          <w:szCs w:val="22"/>
        </w:rPr>
        <w:t xml:space="preserve">Callon, M. (1986). Some elements of a sociology of translation: Domestication of the scallops and the fishermen of St Brieuc Bay. En J. Law (Ed.), </w:t>
      </w:r>
      <w:r>
        <w:rPr>
          <w:rFonts w:ascii="Georgia" w:cs="Georgia" w:eastAsia="Georgia" w:hAnsi="Georgia"/>
          <w:i/>
          <w:iCs/>
          <w:sz w:val="22"/>
          <w:szCs w:val="22"/>
        </w:rPr>
        <w:t xml:space="preserve">Power, action and belief: A new sociology of knowledge?</w:t>
      </w:r>
      <w:r>
        <w:rPr>
          <w:rFonts w:ascii="Georgia" w:cs="Georgia" w:eastAsia="Georgia" w:hAnsi="Georgia"/>
          <w:sz w:val="22"/>
          <w:szCs w:val="22"/>
        </w:rPr>
        <w:t xml:space="preserve"> (pp. 196–223). Routledge &amp; Kegan Paul.</w:t>
      </w:r>
    </w:p>
    <w:p>
      <w:pPr>
        <w:spacing w:after="200" w:line="276"/>
        <w:ind w:left="720" w:hanging="720"/>
        <w:jc w:val="left"/>
      </w:pPr>
      <w:r>
        <w:rPr>
          <w:rFonts w:ascii="Georgia" w:cs="Georgia" w:eastAsia="Georgia" w:hAnsi="Georgia"/>
          <w:sz w:val="22"/>
          <w:szCs w:val="22"/>
        </w:rPr>
        <w:t xml:space="preserve">Cheney-Lippold, J. (2017). </w:t>
      </w:r>
      <w:r>
        <w:rPr>
          <w:rFonts w:ascii="Georgia" w:cs="Georgia" w:eastAsia="Georgia" w:hAnsi="Georgia"/>
          <w:i/>
          <w:iCs/>
          <w:sz w:val="22"/>
          <w:szCs w:val="22"/>
        </w:rPr>
        <w:t xml:space="preserve">We are data: Algorithms and the making of our digital selves</w:t>
      </w:r>
      <w:r>
        <w:rPr>
          <w:rFonts w:ascii="Georgia" w:cs="Georgia" w:eastAsia="Georgia" w:hAnsi="Georgia"/>
          <w:sz w:val="22"/>
          <w:szCs w:val="22"/>
        </w:rPr>
        <w:t xml:space="preserve">. New York University Press.</w:t>
      </w:r>
    </w:p>
    <w:p>
      <w:pPr>
        <w:spacing w:after="200" w:line="276"/>
        <w:ind w:left="720" w:hanging="720"/>
        <w:jc w:val="left"/>
      </w:pPr>
      <w:r>
        <w:rPr>
          <w:rFonts w:ascii="Georgia" w:cs="Georgia" w:eastAsia="Georgia" w:hAnsi="Georgia"/>
          <w:sz w:val="22"/>
          <w:szCs w:val="22"/>
        </w:rPr>
        <w:t xml:space="preserve">Crawford, K., &amp; Joler, V. (2018). </w:t>
      </w:r>
      <w:r>
        <w:rPr>
          <w:rFonts w:ascii="Georgia" w:cs="Georgia" w:eastAsia="Georgia" w:hAnsi="Georgia"/>
          <w:i/>
          <w:iCs/>
          <w:sz w:val="22"/>
          <w:szCs w:val="22"/>
        </w:rPr>
        <w:t xml:space="preserve">Anatomy of an AI system: The Amazon Echo as an anatomical map of human labor, data and planetary resources</w:t>
      </w:r>
      <w:r>
        <w:rPr>
          <w:rFonts w:ascii="Georgia" w:cs="Georgia" w:eastAsia="Georgia" w:hAnsi="Georgia"/>
          <w:sz w:val="22"/>
          <w:szCs w:val="22"/>
        </w:rPr>
        <w:t xml:space="preserve">. AI Now Institute y Share Lab. https://anatomyof.ai</w:t>
      </w:r>
    </w:p>
    <w:p>
      <w:pPr>
        <w:spacing w:after="200" w:line="276"/>
        <w:ind w:left="720" w:hanging="720"/>
        <w:jc w:val="left"/>
      </w:pPr>
      <w:r>
        <w:rPr>
          <w:rFonts w:ascii="Georgia" w:cs="Georgia" w:eastAsia="Georgia" w:hAnsi="Georgia"/>
          <w:sz w:val="22"/>
          <w:szCs w:val="22"/>
        </w:rPr>
        <w:t xml:space="preserve">D'Ignazio, C., &amp; Klein, L. F. (2020). </w:t>
      </w:r>
      <w:r>
        <w:rPr>
          <w:rFonts w:ascii="Georgia" w:cs="Georgia" w:eastAsia="Georgia" w:hAnsi="Georgia"/>
          <w:i/>
          <w:iCs/>
          <w:sz w:val="22"/>
          <w:szCs w:val="22"/>
        </w:rPr>
        <w:t xml:space="preserve">Data feminism</w:t>
      </w:r>
      <w:r>
        <w:rPr>
          <w:rFonts w:ascii="Georgia" w:cs="Georgia" w:eastAsia="Georgia" w:hAnsi="Georgia"/>
          <w:sz w:val="22"/>
          <w:szCs w:val="22"/>
        </w:rPr>
        <w:t xml:space="preserve">. MIT Press.</w:t>
      </w:r>
    </w:p>
    <w:p>
      <w:pPr>
        <w:spacing w:after="200" w:line="276"/>
        <w:ind w:left="720" w:hanging="720"/>
        <w:jc w:val="left"/>
      </w:pPr>
      <w:r>
        <w:rPr>
          <w:rFonts w:ascii="Georgia" w:cs="Georgia" w:eastAsia="Georgia" w:hAnsi="Georgia"/>
          <w:sz w:val="22"/>
          <w:szCs w:val="22"/>
        </w:rPr>
        <w:t xml:space="preserve">Dunne, A. (2005). </w:t>
      </w:r>
      <w:r>
        <w:rPr>
          <w:rFonts w:ascii="Georgia" w:cs="Georgia" w:eastAsia="Georgia" w:hAnsi="Georgia"/>
          <w:i/>
          <w:iCs/>
          <w:sz w:val="22"/>
          <w:szCs w:val="22"/>
        </w:rPr>
        <w:t xml:space="preserve">Hertzian tales: Electronic products, aesthetic experience, and critical design</w:t>
      </w:r>
      <w:r>
        <w:rPr>
          <w:rFonts w:ascii="Georgia" w:cs="Georgia" w:eastAsia="Georgia" w:hAnsi="Georgia"/>
          <w:sz w:val="22"/>
          <w:szCs w:val="22"/>
        </w:rPr>
        <w:t xml:space="preserve">. MIT Press. (Obra original publicada en 1999)</w:t>
      </w:r>
    </w:p>
    <w:p>
      <w:pPr>
        <w:spacing w:after="200" w:line="276"/>
        <w:ind w:left="720" w:hanging="720"/>
        <w:jc w:val="left"/>
      </w:pPr>
      <w:r>
        <w:rPr>
          <w:rFonts w:ascii="Georgia" w:cs="Georgia" w:eastAsia="Georgia" w:hAnsi="Georgia"/>
          <w:sz w:val="22"/>
          <w:szCs w:val="22"/>
        </w:rPr>
        <w:t xml:space="preserve">Dunne, A., &amp; Raby, F. (2013). </w:t>
      </w:r>
      <w:r>
        <w:rPr>
          <w:rFonts w:ascii="Georgia" w:cs="Georgia" w:eastAsia="Georgia" w:hAnsi="Georgia"/>
          <w:i/>
          <w:iCs/>
          <w:sz w:val="22"/>
          <w:szCs w:val="22"/>
        </w:rPr>
        <w:t xml:space="preserve">Speculative everything: Design, fiction, and social dreaming</w:t>
      </w:r>
      <w:r>
        <w:rPr>
          <w:rFonts w:ascii="Georgia" w:cs="Georgia" w:eastAsia="Georgia" w:hAnsi="Georgia"/>
          <w:sz w:val="22"/>
          <w:szCs w:val="22"/>
        </w:rPr>
        <w:t xml:space="preserve">. MIT Press.</w:t>
      </w:r>
    </w:p>
    <w:p>
      <w:pPr>
        <w:spacing w:after="200" w:line="276"/>
        <w:ind w:left="720" w:hanging="720"/>
        <w:jc w:val="left"/>
      </w:pPr>
      <w:r>
        <w:rPr>
          <w:rFonts w:ascii="Georgia" w:cs="Georgia" w:eastAsia="Georgia" w:hAnsi="Georgia"/>
          <w:sz w:val="22"/>
          <w:szCs w:val="22"/>
        </w:rPr>
        <w:t xml:space="preserve">Escobar, A. (2018). </w:t>
      </w:r>
      <w:r>
        <w:rPr>
          <w:rFonts w:ascii="Georgia" w:cs="Georgia" w:eastAsia="Georgia" w:hAnsi="Georgia"/>
          <w:i/>
          <w:iCs/>
          <w:sz w:val="22"/>
          <w:szCs w:val="22"/>
        </w:rPr>
        <w:t xml:space="preserve">Designs for the pluriverse: Radical interdependence, autonomy, and the making of worlds</w:t>
      </w:r>
      <w:r>
        <w:rPr>
          <w:rFonts w:ascii="Georgia" w:cs="Georgia" w:eastAsia="Georgia" w:hAnsi="Georgia"/>
          <w:sz w:val="22"/>
          <w:szCs w:val="22"/>
        </w:rPr>
        <w:t xml:space="preserve">. Duke University Press.</w:t>
      </w:r>
    </w:p>
    <w:p>
      <w:pPr>
        <w:spacing w:after="200" w:line="276"/>
        <w:ind w:left="720" w:hanging="720"/>
        <w:jc w:val="left"/>
      </w:pPr>
      <w:r>
        <w:rPr>
          <w:rFonts w:ascii="Georgia" w:cs="Georgia" w:eastAsia="Georgia" w:hAnsi="Georgia"/>
          <w:sz w:val="22"/>
          <w:szCs w:val="22"/>
        </w:rPr>
        <w:t xml:space="preserve">Fuller, M. (Ed.). (2008). </w:t>
      </w:r>
      <w:r>
        <w:rPr>
          <w:rFonts w:ascii="Georgia" w:cs="Georgia" w:eastAsia="Georgia" w:hAnsi="Georgia"/>
          <w:i/>
          <w:iCs/>
          <w:sz w:val="22"/>
          <w:szCs w:val="22"/>
        </w:rPr>
        <w:t xml:space="preserve">Software studies: A lexicon</w:t>
      </w:r>
      <w:r>
        <w:rPr>
          <w:rFonts w:ascii="Georgia" w:cs="Georgia" w:eastAsia="Georgia" w:hAnsi="Georgia"/>
          <w:sz w:val="22"/>
          <w:szCs w:val="22"/>
        </w:rPr>
        <w:t xml:space="preserve">. MIT Press.</w:t>
      </w:r>
    </w:p>
    <w:p>
      <w:pPr>
        <w:spacing w:after="200" w:line="276"/>
        <w:ind w:left="720" w:hanging="720"/>
        <w:jc w:val="left"/>
      </w:pPr>
      <w:r>
        <w:rPr>
          <w:rFonts w:ascii="Georgia" w:cs="Georgia" w:eastAsia="Georgia" w:hAnsi="Georgia"/>
          <w:sz w:val="22"/>
          <w:szCs w:val="22"/>
        </w:rPr>
        <w:t xml:space="preserve">Galloway, A. R. (2012). </w:t>
      </w:r>
      <w:r>
        <w:rPr>
          <w:rFonts w:ascii="Georgia" w:cs="Georgia" w:eastAsia="Georgia" w:hAnsi="Georgia"/>
          <w:i/>
          <w:iCs/>
          <w:sz w:val="22"/>
          <w:szCs w:val="22"/>
        </w:rPr>
        <w:t xml:space="preserve">The interface effect</w:t>
      </w:r>
      <w:r>
        <w:rPr>
          <w:rFonts w:ascii="Georgia" w:cs="Georgia" w:eastAsia="Georgia" w:hAnsi="Georgia"/>
          <w:sz w:val="22"/>
          <w:szCs w:val="22"/>
        </w:rPr>
        <w:t xml:space="preserve">. Polity Press.</w:t>
      </w:r>
    </w:p>
    <w:p>
      <w:pPr>
        <w:spacing w:after="200" w:line="276"/>
        <w:ind w:left="720" w:hanging="720"/>
        <w:jc w:val="left"/>
      </w:pPr>
      <w:r>
        <w:rPr>
          <w:rFonts w:ascii="Georgia" w:cs="Georgia" w:eastAsia="Georgia" w:hAnsi="Georgia"/>
          <w:sz w:val="22"/>
          <w:szCs w:val="22"/>
        </w:rPr>
        <w:t xml:space="preserve">Gillespie, T. (2018). </w:t>
      </w:r>
      <w:r>
        <w:rPr>
          <w:rFonts w:ascii="Georgia" w:cs="Georgia" w:eastAsia="Georgia" w:hAnsi="Georgia"/>
          <w:i/>
          <w:iCs/>
          <w:sz w:val="22"/>
          <w:szCs w:val="22"/>
        </w:rPr>
        <w:t xml:space="preserve">Custodians of the internet: Platforms, content moderation, and the hidden decisions that shape social media</w:t>
      </w:r>
      <w:r>
        <w:rPr>
          <w:rFonts w:ascii="Georgia" w:cs="Georgia" w:eastAsia="Georgia" w:hAnsi="Georgia"/>
          <w:sz w:val="22"/>
          <w:szCs w:val="22"/>
        </w:rPr>
        <w:t xml:space="preserve">. Yale University Press.</w:t>
      </w:r>
    </w:p>
    <w:p>
      <w:pPr>
        <w:spacing w:after="200" w:line="276"/>
        <w:ind w:left="720" w:hanging="720"/>
        <w:jc w:val="left"/>
      </w:pPr>
      <w:r>
        <w:rPr>
          <w:rFonts w:ascii="Georgia" w:cs="Georgia" w:eastAsia="Georgia" w:hAnsi="Georgia"/>
          <w:sz w:val="22"/>
          <w:szCs w:val="22"/>
        </w:rPr>
        <w:t xml:space="preserve">Latour, B. (2005). </w:t>
      </w:r>
      <w:r>
        <w:rPr>
          <w:rFonts w:ascii="Georgia" w:cs="Georgia" w:eastAsia="Georgia" w:hAnsi="Georgia"/>
          <w:i/>
          <w:iCs/>
          <w:sz w:val="22"/>
          <w:szCs w:val="22"/>
        </w:rPr>
        <w:t xml:space="preserve">Reassembling the social: An introduction to actor-network-theory</w:t>
      </w:r>
      <w:r>
        <w:rPr>
          <w:rFonts w:ascii="Georgia" w:cs="Georgia" w:eastAsia="Georgia" w:hAnsi="Georgia"/>
          <w:sz w:val="22"/>
          <w:szCs w:val="22"/>
        </w:rPr>
        <w:t xml:space="preserve">. Oxford University Press.</w:t>
      </w:r>
    </w:p>
    <w:p>
      <w:pPr>
        <w:spacing w:after="200" w:line="276"/>
        <w:ind w:left="720" w:hanging="720"/>
        <w:jc w:val="left"/>
      </w:pPr>
      <w:r>
        <w:rPr>
          <w:rFonts w:ascii="Georgia" w:cs="Georgia" w:eastAsia="Georgia" w:hAnsi="Georgia"/>
          <w:sz w:val="22"/>
          <w:szCs w:val="22"/>
        </w:rPr>
        <w:t xml:space="preserve">Manovich, L. (2001). </w:t>
      </w:r>
      <w:r>
        <w:rPr>
          <w:rFonts w:ascii="Georgia" w:cs="Georgia" w:eastAsia="Georgia" w:hAnsi="Georgia"/>
          <w:i/>
          <w:iCs/>
          <w:sz w:val="22"/>
          <w:szCs w:val="22"/>
        </w:rPr>
        <w:t xml:space="preserve">The language of new media</w:t>
      </w:r>
      <w:r>
        <w:rPr>
          <w:rFonts w:ascii="Georgia" w:cs="Georgia" w:eastAsia="Georgia" w:hAnsi="Georgia"/>
          <w:sz w:val="22"/>
          <w:szCs w:val="22"/>
        </w:rPr>
        <w:t xml:space="preserve">. MIT Press.</w:t>
      </w:r>
    </w:p>
    <w:p>
      <w:pPr>
        <w:spacing w:after="200" w:line="276"/>
        <w:ind w:left="720" w:hanging="720"/>
        <w:jc w:val="left"/>
      </w:pPr>
      <w:r>
        <w:rPr>
          <w:rFonts w:ascii="Georgia" w:cs="Georgia" w:eastAsia="Georgia" w:hAnsi="Georgia"/>
          <w:sz w:val="22"/>
          <w:szCs w:val="22"/>
        </w:rPr>
        <w:t xml:space="preserve">McDonald, A. M., &amp; Cranor, L. F. (2008). The cost of reading privacy policies. </w:t>
      </w:r>
      <w:r>
        <w:rPr>
          <w:rFonts w:ascii="Georgia" w:cs="Georgia" w:eastAsia="Georgia" w:hAnsi="Georgia"/>
          <w:i/>
          <w:iCs/>
          <w:sz w:val="22"/>
          <w:szCs w:val="22"/>
        </w:rPr>
        <w:t xml:space="preserve">I/S: A Journal of Law and Policy for the Information Society, 4</w:t>
      </w:r>
      <w:r>
        <w:rPr>
          <w:rFonts w:ascii="Georgia" w:cs="Georgia" w:eastAsia="Georgia" w:hAnsi="Georgia"/>
          <w:sz w:val="22"/>
          <w:szCs w:val="22"/>
        </w:rPr>
        <w:t xml:space="preserve">(3), 543–568.</w:t>
      </w:r>
    </w:p>
    <w:p>
      <w:pPr>
        <w:spacing w:after="200" w:line="276"/>
        <w:ind w:left="720" w:hanging="720"/>
        <w:jc w:val="left"/>
      </w:pPr>
      <w:r>
        <w:rPr>
          <w:rFonts w:ascii="Georgia" w:cs="Georgia" w:eastAsia="Georgia" w:hAnsi="Georgia"/>
          <w:sz w:val="22"/>
          <w:szCs w:val="22"/>
        </w:rPr>
        <w:t xml:space="preserve">Montfort, N., &amp; Bogost, I. (2009). </w:t>
      </w:r>
      <w:r>
        <w:rPr>
          <w:rFonts w:ascii="Georgia" w:cs="Georgia" w:eastAsia="Georgia" w:hAnsi="Georgia"/>
          <w:i/>
          <w:iCs/>
          <w:sz w:val="22"/>
          <w:szCs w:val="22"/>
        </w:rPr>
        <w:t xml:space="preserve">Racing the beam: The Atari video computer system</w:t>
      </w:r>
      <w:r>
        <w:rPr>
          <w:rFonts w:ascii="Georgia" w:cs="Georgia" w:eastAsia="Georgia" w:hAnsi="Georgia"/>
          <w:sz w:val="22"/>
          <w:szCs w:val="22"/>
        </w:rPr>
        <w:t xml:space="preserve">. MIT Press.</w:t>
      </w:r>
    </w:p>
    <w:p>
      <w:pPr>
        <w:spacing w:after="200" w:line="276"/>
        <w:ind w:left="720" w:hanging="720"/>
        <w:jc w:val="left"/>
      </w:pPr>
      <w:r>
        <w:rPr>
          <w:rFonts w:ascii="Georgia" w:cs="Georgia" w:eastAsia="Georgia" w:hAnsi="Georgia"/>
          <w:sz w:val="22"/>
          <w:szCs w:val="22"/>
        </w:rPr>
        <w:t xml:space="preserve">Moretti, F. (2013). </w:t>
      </w:r>
      <w:r>
        <w:rPr>
          <w:rFonts w:ascii="Georgia" w:cs="Georgia" w:eastAsia="Georgia" w:hAnsi="Georgia"/>
          <w:i/>
          <w:iCs/>
          <w:sz w:val="22"/>
          <w:szCs w:val="22"/>
        </w:rPr>
        <w:t xml:space="preserve">Distant reading</w:t>
      </w:r>
      <w:r>
        <w:rPr>
          <w:rFonts w:ascii="Georgia" w:cs="Georgia" w:eastAsia="Georgia" w:hAnsi="Georgia"/>
          <w:sz w:val="22"/>
          <w:szCs w:val="22"/>
        </w:rPr>
        <w:t xml:space="preserve">. Verso.</w:t>
      </w:r>
    </w:p>
    <w:p>
      <w:pPr>
        <w:spacing w:after="200" w:line="276"/>
        <w:ind w:left="720" w:hanging="720"/>
        <w:jc w:val="left"/>
      </w:pPr>
      <w:r>
        <w:rPr>
          <w:rFonts w:ascii="Georgia" w:cs="Georgia" w:eastAsia="Georgia" w:hAnsi="Georgia"/>
          <w:sz w:val="22"/>
          <w:szCs w:val="22"/>
        </w:rPr>
        <w:t xml:space="preserve">Obar, J. A., &amp; Oeldorf-Hirsch, A. (2020). The biggest lie on the Internet: Ignoring the privacy policies and terms of service policies of social networking services. </w:t>
      </w:r>
      <w:r>
        <w:rPr>
          <w:rFonts w:ascii="Georgia" w:cs="Georgia" w:eastAsia="Georgia" w:hAnsi="Georgia"/>
          <w:i/>
          <w:iCs/>
          <w:sz w:val="22"/>
          <w:szCs w:val="22"/>
        </w:rPr>
        <w:t xml:space="preserve">Information, Communication &amp; Society, 23</w:t>
      </w:r>
      <w:r>
        <w:rPr>
          <w:rFonts w:ascii="Georgia" w:cs="Georgia" w:eastAsia="Georgia" w:hAnsi="Georgia"/>
          <w:sz w:val="22"/>
          <w:szCs w:val="22"/>
        </w:rPr>
        <w:t xml:space="preserve">(1), 128–147. https://doi.org/10.1080/1369118X.2018.1486870</w:t>
      </w:r>
    </w:p>
    <w:p>
      <w:pPr>
        <w:spacing w:after="200" w:line="276"/>
        <w:ind w:left="720" w:hanging="720"/>
        <w:jc w:val="left"/>
      </w:pPr>
      <w:r>
        <w:rPr>
          <w:rFonts w:ascii="Georgia" w:cs="Georgia" w:eastAsia="Georgia" w:hAnsi="Georgia"/>
          <w:sz w:val="22"/>
          <w:szCs w:val="22"/>
        </w:rPr>
        <w:t xml:space="preserve">Parikka, J. (2012). </w:t>
      </w:r>
      <w:r>
        <w:rPr>
          <w:rFonts w:ascii="Georgia" w:cs="Georgia" w:eastAsia="Georgia" w:hAnsi="Georgia"/>
          <w:i/>
          <w:iCs/>
          <w:sz w:val="22"/>
          <w:szCs w:val="22"/>
        </w:rPr>
        <w:t xml:space="preserve">What is media archaeology?</w:t>
      </w:r>
      <w:r>
        <w:rPr>
          <w:rFonts w:ascii="Georgia" w:cs="Georgia" w:eastAsia="Georgia" w:hAnsi="Georgia"/>
          <w:sz w:val="22"/>
          <w:szCs w:val="22"/>
        </w:rPr>
        <w:t xml:space="preserve"> Polity Press.</w:t>
      </w:r>
    </w:p>
    <w:p>
      <w:pPr>
        <w:spacing w:after="200" w:line="276"/>
        <w:ind w:left="720" w:hanging="720"/>
        <w:jc w:val="left"/>
      </w:pPr>
      <w:r>
        <w:rPr>
          <w:rFonts w:ascii="Georgia" w:cs="Georgia" w:eastAsia="Georgia" w:hAnsi="Georgia"/>
          <w:sz w:val="22"/>
          <w:szCs w:val="22"/>
        </w:rPr>
        <w:t xml:space="preserve">Raley, R. (2009). </w:t>
      </w:r>
      <w:r>
        <w:rPr>
          <w:rFonts w:ascii="Georgia" w:cs="Georgia" w:eastAsia="Georgia" w:hAnsi="Georgia"/>
          <w:i/>
          <w:iCs/>
          <w:sz w:val="22"/>
          <w:szCs w:val="22"/>
        </w:rPr>
        <w:t xml:space="preserve">Tactical media</w:t>
      </w:r>
      <w:r>
        <w:rPr>
          <w:rFonts w:ascii="Georgia" w:cs="Georgia" w:eastAsia="Georgia" w:hAnsi="Georgia"/>
          <w:sz w:val="22"/>
          <w:szCs w:val="22"/>
        </w:rPr>
        <w:t xml:space="preserve">. University of Minnesota Press.</w:t>
      </w:r>
    </w:p>
    <w:p>
      <w:pPr>
        <w:spacing w:after="200" w:line="276"/>
        <w:ind w:left="720" w:hanging="720"/>
        <w:jc w:val="left"/>
      </w:pPr>
      <w:r>
        <w:rPr>
          <w:rFonts w:ascii="Georgia" w:cs="Georgia" w:eastAsia="Georgia" w:hAnsi="Georgia"/>
          <w:sz w:val="22"/>
          <w:szCs w:val="22"/>
        </w:rPr>
        <w:t xml:space="preserve">Star, S. L. (1999). The ethnography of infrastructure. </w:t>
      </w:r>
      <w:r>
        <w:rPr>
          <w:rFonts w:ascii="Georgia" w:cs="Georgia" w:eastAsia="Georgia" w:hAnsi="Georgia"/>
          <w:i/>
          <w:iCs/>
          <w:sz w:val="22"/>
          <w:szCs w:val="22"/>
        </w:rPr>
        <w:t xml:space="preserve">American Behavioral Scientist, 43</w:t>
      </w:r>
      <w:r>
        <w:rPr>
          <w:rFonts w:ascii="Georgia" w:cs="Georgia" w:eastAsia="Georgia" w:hAnsi="Georgia"/>
          <w:sz w:val="22"/>
          <w:szCs w:val="22"/>
        </w:rPr>
        <w:t xml:space="preserve">(3), 377–391. https://doi.org/10.1177/00027649921955326</w:t>
      </w:r>
    </w:p>
    <w:p>
      <w:pPr>
        <w:spacing w:after="200" w:line="276"/>
        <w:ind w:left="720" w:hanging="720"/>
        <w:jc w:val="left"/>
      </w:pPr>
      <w:r>
        <w:rPr>
          <w:rFonts w:ascii="Georgia" w:cs="Georgia" w:eastAsia="Georgia" w:hAnsi="Georgia"/>
          <w:sz w:val="22"/>
          <w:szCs w:val="22"/>
        </w:rPr>
        <w:t xml:space="preserve">Suzor, N. P. (2019). </w:t>
      </w:r>
      <w:r>
        <w:rPr>
          <w:rFonts w:ascii="Georgia" w:cs="Georgia" w:eastAsia="Georgia" w:hAnsi="Georgia"/>
          <w:i/>
          <w:iCs/>
          <w:sz w:val="22"/>
          <w:szCs w:val="22"/>
        </w:rPr>
        <w:t xml:space="preserve">Lawless: The secret rules that govern our digital lives</w:t>
      </w:r>
      <w:r>
        <w:rPr>
          <w:rFonts w:ascii="Georgia" w:cs="Georgia" w:eastAsia="Georgia" w:hAnsi="Georgia"/>
          <w:sz w:val="22"/>
          <w:szCs w:val="22"/>
        </w:rPr>
        <w:t xml:space="preserve">. Cambridge University Press.</w:t>
      </w:r>
    </w:p>
    <w:p>
      <w:pPr>
        <w:spacing w:after="200" w:line="276"/>
        <w:ind w:left="720" w:hanging="720"/>
        <w:jc w:val="left"/>
      </w:pPr>
      <w:r>
        <w:rPr>
          <w:rFonts w:ascii="Georgia" w:cs="Georgia" w:eastAsia="Georgia" w:hAnsi="Georgia"/>
          <w:sz w:val="22"/>
          <w:szCs w:val="22"/>
        </w:rPr>
        <w:t xml:space="preserve">Terranova, T. (2000). Free labor: Producing culture for the digital economy. </w:t>
      </w:r>
      <w:r>
        <w:rPr>
          <w:rFonts w:ascii="Georgia" w:cs="Georgia" w:eastAsia="Georgia" w:hAnsi="Georgia"/>
          <w:i/>
          <w:iCs/>
          <w:sz w:val="22"/>
          <w:szCs w:val="22"/>
        </w:rPr>
        <w:t xml:space="preserve">Social Text, 18</w:t>
      </w:r>
      <w:r>
        <w:rPr>
          <w:rFonts w:ascii="Georgia" w:cs="Georgia" w:eastAsia="Georgia" w:hAnsi="Georgia"/>
          <w:sz w:val="22"/>
          <w:szCs w:val="22"/>
        </w:rPr>
        <w:t xml:space="preserve">(2), 33–58.</w:t>
      </w:r>
    </w:p>
    <w:p>
      <w:pPr>
        <w:spacing w:after="200" w:line="276"/>
        <w:ind w:left="720" w:hanging="720"/>
        <w:jc w:val="left"/>
      </w:pPr>
      <w:r>
        <w:rPr>
          <w:rFonts w:ascii="Georgia" w:cs="Georgia" w:eastAsia="Georgia" w:hAnsi="Georgia"/>
          <w:sz w:val="22"/>
          <w:szCs w:val="22"/>
        </w:rPr>
        <w:t xml:space="preserve">Van Dijck, J., Poell, T., &amp; de Waal, M. (2018). </w:t>
      </w:r>
      <w:r>
        <w:rPr>
          <w:rFonts w:ascii="Georgia" w:cs="Georgia" w:eastAsia="Georgia" w:hAnsi="Georgia"/>
          <w:i/>
          <w:iCs/>
          <w:sz w:val="22"/>
          <w:szCs w:val="22"/>
        </w:rPr>
        <w:t xml:space="preserve">The platform society: Public values in a connective world</w:t>
      </w:r>
      <w:r>
        <w:rPr>
          <w:rFonts w:ascii="Georgia" w:cs="Georgia" w:eastAsia="Georgia" w:hAnsi="Georgia"/>
          <w:sz w:val="22"/>
          <w:szCs w:val="22"/>
        </w:rPr>
        <w:t xml:space="preserve">. Oxford University Press.</w:t>
      </w:r>
    </w:p>
    <w:p>
      <w:pPr>
        <w:spacing w:after="200" w:line="276"/>
        <w:ind w:left="720" w:hanging="720"/>
        <w:jc w:val="left"/>
      </w:pPr>
      <w:r>
        <w:rPr>
          <w:rFonts w:ascii="Georgia" w:cs="Georgia" w:eastAsia="Georgia" w:hAnsi="Georgia"/>
          <w:sz w:val="22"/>
          <w:szCs w:val="22"/>
        </w:rPr>
        <w:t xml:space="preserve">Zuboff, S. (2019). </w:t>
      </w:r>
      <w:r>
        <w:rPr>
          <w:rFonts w:ascii="Georgia" w:cs="Georgia" w:eastAsia="Georgia" w:hAnsi="Georgia"/>
          <w:i/>
          <w:iCs/>
          <w:sz w:val="22"/>
          <w:szCs w:val="22"/>
        </w:rPr>
        <w:t xml:space="preserve">The age of surveillance capitalism: The fight for a human future at the new frontier of power</w:t>
      </w:r>
      <w:r>
        <w:rPr>
          <w:rFonts w:ascii="Georgia" w:cs="Georgia" w:eastAsia="Georgia" w:hAnsi="Georgia"/>
          <w:sz w:val="22"/>
          <w:szCs w:val="22"/>
        </w:rPr>
        <w:t xml:space="preserve">. PublicAffairs.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888888"/>
        <w:sz w:val="16"/>
        <w:szCs w:val="16"/>
      </w:rPr>
      <w:t xml:space="preserve">Marco teórico — Repositorio de Condiciones de 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00"/>
    </w:pPr>
    <w:rPr>
      <w:rFonts w:ascii="Georgia" w:cs="Georgia" w:eastAsia="Georgia" w:hAnsi="Georgia"/>
      <w:b/>
      <w:bCs/>
      <w:color w:val="1F3864"/>
      <w:sz w:val="28"/>
      <w:szCs w:val="28"/>
    </w:rPr>
  </w:style>
  <w:style w:type="paragraph" w:styleId="Heading2">
    <w:name w:val="Heading 2"/>
    <w:basedOn w:val="Normal"/>
    <w:next w:val="Normal"/>
    <w:qFormat/>
    <w:pPr>
      <w:keepNext/>
      <w:spacing w:after="160" w:before="300"/>
    </w:pPr>
    <w:rPr>
      <w:rFonts w:ascii="Georgia" w:cs="Georgia" w:eastAsia="Georgia" w:hAnsi="Georgia"/>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2026-09-02T13:43:45.787Z</dcterms:created>
  <dcterms:modified xsi:type="dcterms:W3CDTF">2026-09-02T13:43:45.807Z</dcterms:modified>
</cp:coreProperties>
</file>

<file path=docProps/custom.xml><?xml version="1.0" encoding="utf-8"?>
<Properties xmlns="http://schemas.openxmlformats.org/officeDocument/2006/custom-properties" xmlns:vt="http://schemas.openxmlformats.org/officeDocument/2006/docPropsVTypes"/>
</file>