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2"/>
          <w:szCs w:val="32"/>
        </w:rPr>
        <w:t xml:space="preserve">De la base de datos al paper</w:t>
      </w:r>
    </w:p>
    <w:p>
      <w:pPr>
        <w:spacing w:after="480"/>
        <w:jc w:val="center"/>
      </w:pPr>
      <w:r>
        <w:rPr>
          <w:rFonts w:ascii="Georgia" w:cs="Georgia" w:eastAsia="Georgia" w:hAnsi="Georgia"/>
          <w:b/>
          <w:bCs/>
          <w:i/>
          <w:iCs/>
          <w:color w:val="444444"/>
          <w:sz w:val="26"/>
          <w:szCs w:val="26"/>
        </w:rPr>
        <w:t xml:space="preserve">Propuesta de resumen extendido y estructura de artículo para el número especial “Algorithmic Sociality” de Convergence (SAGE)</w:t>
      </w:r>
    </w:p>
    <w:p>
      <w:pPr>
        <w:pStyle w:val="Heading1"/>
        <w:spacing w:after="200" w:before="420"/>
      </w:pPr>
      <w:r>
        <w:t xml:space="preserve">1. Nota metodológica</w:t>
      </w:r>
    </w:p>
    <w:p>
      <w:pPr>
        <w:spacing w:after="220" w:line="350"/>
        <w:jc w:val="both"/>
      </w:pPr>
      <w:r>
        <w:rPr>
          <w:rFonts w:ascii="Georgia" w:cs="Georgia" w:eastAsia="Georgia" w:hAnsi="Georgia"/>
          <w:sz w:val="24"/>
          <w:szCs w:val="24"/>
        </w:rPr>
        <w:t xml:space="preserve">Este documento traduce la base de datos ampliada de Términos de Servicio (20 plataformas, 30 variables) en un resumen extendido listo para adaptar y enviar a la convocatoria “Algorithmic Sociality: Platforms, Connection, and the Reconfiguration of Digital Relations” de Convergence (SAGE), cuyo plazo de resúmenes vence el 1 de octubre de 2026. El argumento que se propone no fuerza los datos hacia el eje del call: emergió directamente de las nueve variables nuevas investigadas para esta ampliación, en particular del cruce entre “versión localizada para Chile” y “uso declarado de recomendación algorítmica”, que produjo una separación empírica inusualmente limpia entre dos tipos de plataforma.</w:t>
      </w:r>
    </w:p>
    <w:p>
      <w:pPr>
        <w:spacing w:after="220" w:line="350"/>
        <w:jc w:val="both"/>
      </w:pPr>
      <w:r>
        <w:rPr>
          <w:rFonts w:ascii="Georgia" w:cs="Georgia" w:eastAsia="Georgia" w:hAnsi="Georgia"/>
          <w:sz w:val="24"/>
          <w:szCs w:val="24"/>
        </w:rPr>
        <w:t xml:space="preserve">El resumen extendido está escrito en inglés, como exige la convocatoria, y sigue exactamente el formato que pide el llamado: pregunta de investigación, argumento, marco teórico, metodología y contribución, en aproximadamente 500 palabras más referencias. Está pensado como borrador de trabajo — antes de enviarlo conviene revisar autoría, afiliación institucional y ajustar cualquier matiz que el proceso de escritura del capítulo de tesis haya precisado entre tanto.</w:t>
      </w:r>
    </w:p>
    <w:p>
      <w:pPr>
        <w:pStyle w:val="Heading1"/>
        <w:spacing w:after="200" w:before="420"/>
      </w:pPr>
      <w:r>
        <w:t xml:space="preserve">2. Extended Abstract (borrador listo para adaptar)</w:t>
      </w:r>
    </w:p>
    <w:p>
      <w:pPr>
        <w:spacing w:after="240"/>
        <w:jc w:val="left"/>
      </w:pPr>
      <w:r>
        <w:rPr>
          <w:rFonts w:ascii="Georgia" w:cs="Georgia" w:eastAsia="Georgia" w:hAnsi="Georgia"/>
          <w:b/>
          <w:bCs/>
          <w:sz w:val="25"/>
          <w:szCs w:val="25"/>
        </w:rPr>
        <w:t xml:space="preserve">Localized for Whom? Terms of Service as Contractual Infrastructure of Algorithmic Sociality in a Global South Platform Ecosystem</w:t>
      </w:r>
    </w:p>
    <w:p>
      <w:pPr>
        <w:spacing w:after="220" w:line="350"/>
        <w:jc w:val="both"/>
      </w:pPr>
      <w:r>
        <w:rPr>
          <w:rFonts w:ascii="Georgia" w:cs="Georgia" w:eastAsia="Georgia" w:hAnsi="Georgia"/>
          <w:sz w:val="24"/>
          <w:szCs w:val="24"/>
        </w:rPr>
        <w:t xml:space="preserve">When platform architectures shift from the social graph to algorithmic recommendation, the pathways through which others become visible are reorganised by systems that are, in the first instance, legal artefacts: authorised, bounded, and made enforceable, or not, by Terms of Service (ToS) and privacy policies. This paper asks what the contractual layer beneath algorithmic sociality reveals when read comparatively, across sectors and across a Global South market that recommendation-centred platform theory rarely examines in its own right.</w:t>
      </w:r>
    </w:p>
    <w:p>
      <w:pPr>
        <w:spacing w:after="220" w:line="350"/>
        <w:jc w:val="both"/>
      </w:pPr>
      <w:r>
        <w:rPr>
          <w:rFonts w:ascii="Georgia" w:cs="Georgia" w:eastAsia="Georgia" w:hAnsi="Georgia"/>
          <w:sz w:val="24"/>
          <w:szCs w:val="24"/>
        </w:rPr>
        <w:t xml:space="preserve">Drawing on science and technology studies' account of infrastructure as invisible until it breaks down (Star, 1999) and of platforms as private governance regimes exercising quasi-jurisdictional authority with limited accountability (Gillespie, 2018; Suzor, 2019; Van Dijck, Poell, &amp; de Waal, 2018), alongside boyd's (2010) framing of networked publics, we treat ToS not as neutral description but as actants that authorise, and thereby help constitute, the recommendation-driven relations this special issue examines.</w:t>
      </w:r>
    </w:p>
    <w:p>
      <w:pPr>
        <w:spacing w:after="220" w:line="350"/>
        <w:jc w:val="both"/>
      </w:pPr>
      <w:r>
        <w:rPr>
          <w:rFonts w:ascii="Georgia" w:cs="Georgia" w:eastAsia="Georgia" w:hAnsi="Georgia"/>
          <w:sz w:val="24"/>
          <w:szCs w:val="24"/>
        </w:rPr>
        <w:t xml:space="preserve">The paper draws on an original, systematically coded corpus of the Terms of Service and privacy policies of twenty major platforms operating in Chile, spanning social media and messaging, e-commerce and delivery, banking, government services, and streaming platforms, built through primary-source legal analysis conducted in September 2026, on the eve of Chile's new data protection law (Ley 21.719) entering into force. Each platform was coded across a controlled-vocabulary schema capturing whether algorithmic recommendation is contractually acknowledged, whether users can meaningfully opt out of content personalisation as distinct from advertising, whether generative AI use is disclosed, and, the paper's central comparative axis, whether the platform maintains a jurisdictionally localised version of its terms for Chile or extends a global, foreign-jurisdiction document.</w:t>
      </w:r>
    </w:p>
    <w:p>
      <w:pPr>
        <w:spacing w:after="220" w:line="350"/>
        <w:jc w:val="both"/>
      </w:pPr>
      <w:r>
        <w:rPr>
          <w:rFonts w:ascii="Georgia" w:cs="Georgia" w:eastAsia="Georgia" w:hAnsi="Georgia"/>
          <w:sz w:val="24"/>
          <w:szCs w:val="24"/>
        </w:rPr>
        <w:t xml:space="preserve">Three findings structure the argument. First, legal localisation is inversely related to how central recommendation is to a platform's value proposition: none of the nine social-media, messaging, streaming, or general-service platforms in the corpus maintain a jurisdictionally localised version of their terms for Chile, while all eleven transactional platforms in the sample, spanning e-commerce, delivery, banking, and government services, do. Second, meaningful opt-out is rare even where recommendation is acknowledged: only one of the twenty platforms is coded as offering full opt-out of personalisation, and the modal response across the corpus, fifteen of twenty, is partial control, typically limited to advertising rather than to the recommendation engine itself. Third, generative AI is now disclosed by seventeen of the twenty platforms studied, not only social and streaming platforms but three of Chile's four major banks and the national tax authority, suggesting the contractual logic this special issue associates with algorithmic sociality is diffusing into state and financial relations, not only peer sociality.</w:t>
      </w:r>
    </w:p>
    <w:p>
      <w:pPr>
        <w:spacing w:after="220" w:line="350"/>
        <w:jc w:val="both"/>
      </w:pPr>
      <w:r>
        <w:rPr>
          <w:rFonts w:ascii="Georgia" w:cs="Georgia" w:eastAsia="Georgia" w:hAnsi="Georgia"/>
          <w:sz w:val="24"/>
          <w:szCs w:val="24"/>
        </w:rPr>
        <w:t xml:space="preserve">The paper contributes an empirically grounded, comparative account of the legal infrastructure of algorithmic sociality from an under-examined Global South platform ecosystem, and argues that where a platform locates its jurisdiction is itself a relational signal: a first, contractual answer to the question of whom a platform considers worth being accountable to.</w:t>
      </w:r>
    </w:p>
    <w:p>
      <w:pPr>
        <w:spacing w:after="200" w:line="350"/>
        <w:jc w:val="both"/>
      </w:pPr>
      <w:r>
        <w:rPr>
          <w:rFonts w:ascii="Georgia" w:cs="Georgia" w:eastAsia="Georgia" w:hAnsi="Georgia"/>
          <w:i/>
          <w:iCs/>
          <w:sz w:val="24"/>
          <w:szCs w:val="24"/>
        </w:rPr>
        <w:t xml:space="preserve">Keywords: algorithmic sociality, Terms of Service, platform governance, Global South, Chile, recommendation systems</w:t>
      </w:r>
    </w:p>
    <w:p>
      <w:pPr>
        <w:spacing w:after="160" w:before="100"/>
      </w:pPr>
      <w:r>
        <w:rPr>
          <w:rFonts w:ascii="Georgia" w:cs="Georgia" w:eastAsia="Georgia" w:hAnsi="Georgia"/>
          <w:b/>
          <w:bCs/>
          <w:sz w:val="24"/>
          <w:szCs w:val="24"/>
        </w:rPr>
        <w:t xml:space="preserve">References</w:t>
      </w:r>
    </w:p>
    <w:p>
      <w:pPr>
        <w:spacing w:after="160" w:line="280"/>
        <w:ind w:left="720" w:hanging="720"/>
      </w:pPr>
      <w:r>
        <w:rPr>
          <w:rFonts w:ascii="Georgia" w:cs="Georgia" w:eastAsia="Georgia" w:hAnsi="Georgia"/>
          <w:sz w:val="21"/>
          <w:szCs w:val="21"/>
        </w:rPr>
        <w:t xml:space="preserve">boyd, d. (2010). Social network sites as networked publics: Affordances, dynamics, and implications. In Z. Papacharissi (Ed.), A networked self: Identity, community, and culture on social network sites (pp. 47-66). Routledge.</w:t>
      </w:r>
    </w:p>
    <w:p>
      <w:pPr>
        <w:spacing w:after="160" w:line="280"/>
        <w:ind w:left="720" w:hanging="720"/>
      </w:pPr>
      <w:r>
        <w:rPr>
          <w:rFonts w:ascii="Georgia" w:cs="Georgia" w:eastAsia="Georgia" w:hAnsi="Georgia"/>
          <w:sz w:val="21"/>
          <w:szCs w:val="21"/>
        </w:rPr>
        <w:t xml:space="preserve">Gillespie, T. (2018). Custodians of the internet: Platforms, content moderation, and the hidden decisions that shape social media. Yale University Press.</w:t>
      </w:r>
    </w:p>
    <w:p>
      <w:pPr>
        <w:spacing w:after="160" w:line="280"/>
        <w:ind w:left="720" w:hanging="720"/>
      </w:pPr>
      <w:r>
        <w:rPr>
          <w:rFonts w:ascii="Georgia" w:cs="Georgia" w:eastAsia="Georgia" w:hAnsi="Georgia"/>
          <w:sz w:val="21"/>
          <w:szCs w:val="21"/>
        </w:rPr>
        <w:t xml:space="preserve">Star, S. L. (1999). The ethnography of infrastructure. American Behavioral Scientist, 43(3), 377-391.</w:t>
      </w:r>
    </w:p>
    <w:p>
      <w:pPr>
        <w:spacing w:after="160" w:line="280"/>
        <w:ind w:left="720" w:hanging="720"/>
      </w:pPr>
      <w:r>
        <w:rPr>
          <w:rFonts w:ascii="Georgia" w:cs="Georgia" w:eastAsia="Georgia" w:hAnsi="Georgia"/>
          <w:sz w:val="21"/>
          <w:szCs w:val="21"/>
        </w:rPr>
        <w:t xml:space="preserve">Suzor, N. P. (2019). Lawless: The secret rules that govern our digital lives. Cambridge University Press.</w:t>
      </w:r>
    </w:p>
    <w:p>
      <w:pPr>
        <w:spacing w:after="160" w:line="280"/>
        <w:ind w:left="720" w:hanging="720"/>
      </w:pPr>
      <w:r>
        <w:rPr>
          <w:rFonts w:ascii="Georgia" w:cs="Georgia" w:eastAsia="Georgia" w:hAnsi="Georgia"/>
          <w:sz w:val="21"/>
          <w:szCs w:val="21"/>
        </w:rPr>
        <w:t xml:space="preserve">Van Dijck, J., Poell, T., &amp; de Waal, M. (2018). The platform society: Public values in a connective world. Oxford University Press.</w:t>
      </w:r>
    </w:p>
    <w:p>
      <w:pPr>
        <w:pStyle w:val="Heading1"/>
        <w:spacing w:after="200" w:before="420"/>
      </w:pPr>
      <w:r>
        <w:t xml:space="preserve">3. Biografía de autor/a (plantilla — completar antes de enviar)</w:t>
      </w:r>
    </w:p>
    <w:p>
      <w:pPr>
        <w:spacing w:after="220" w:line="350"/>
        <w:jc w:val="both"/>
      </w:pPr>
      <w:r>
        <w:rPr>
          <w:rFonts w:ascii="Georgia" w:cs="Georgia" w:eastAsia="Georgia" w:hAnsi="Georgia"/>
          <w:i/>
          <w:iCs/>
          <w:sz w:val="24"/>
          <w:szCs w:val="24"/>
        </w:rPr>
        <w:t xml:space="preserve">La convocatoria pide una biografía de ~100 palabras por autor/a. No se completa aquí con datos no confirmados; se deja la plantilla para editar directamente:</w:t>
      </w:r>
    </w:p>
    <w:p>
      <w:pPr>
        <w:pBdr>
          <w:left w:val="single" w:color="AAAAAA" w:sz="12" w:space="8"/>
        </w:pBdr>
        <w:spacing w:after="300" w:line="350"/>
        <w:ind w:left="400"/>
      </w:pPr>
      <w:r>
        <w:rPr>
          <w:rFonts w:ascii="Georgia" w:cs="Georgia" w:eastAsia="Georgia" w:hAnsi="Georgia"/>
          <w:i/>
          <w:iCs/>
          <w:sz w:val="24"/>
          <w:szCs w:val="24"/>
        </w:rPr>
        <w:t xml:space="preserve">[Nombre] es [rol/título — ej. estudiante de magíster/doctorado, investigador/a independiente, diseñador/a] en [institución], donde investiga [líneas de investigación: diseño especulativo, humanidades digitales, gobernanza de plataformas, protección de datos]. Su proyecto actual construye una base de datos comparada de condiciones de uso de plataformas digitales en Chile para analizar críticamente la relación entre diseño de interfaz, infraestructura contractual y sociality algorítmica. Contacto: [correo].</w:t>
      </w:r>
    </w:p>
    <w:p>
      <w:pPr>
        <w:pStyle w:val="Heading1"/>
        <w:spacing w:after="200" w:before="420"/>
      </w:pPr>
      <w:r>
        <w:t xml:space="preserve">4. Evidencia empírica clave</w:t>
      </w:r>
    </w:p>
    <w:p>
      <w:pPr>
        <w:spacing w:after="220" w:line="350"/>
        <w:jc w:val="both"/>
      </w:pPr>
      <w:r>
        <w:rPr>
          <w:rFonts w:ascii="Georgia" w:cs="Georgia" w:eastAsia="Georgia" w:hAnsi="Georgia"/>
          <w:sz w:val="24"/>
          <w:szCs w:val="24"/>
        </w:rPr>
        <w:t xml:space="preserve">La tabla resume el hallazgo central: ninguna de las nueve plataformas de redes sociales, mensajería, streaming o servicios generales del corpus mantiene una versión de sus términos jurisdiccionalmente localizada para Chile, mientras que las once plataformas transaccionales de la muestra —comercio electrónico, delivery, banca y servicios de gobierno— sí la tienen. La separación es total: cero excepciones en 20 casos.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2750"/>
        <w:gridCol w:w="3500"/>
      </w:tblGrid>
      <w:tr>
        <w:tc>
          <w:tcPr>
            <w:shd w:fill="1F3864" w:val="clear"/>
            <w:tcMar>
              <w:top w:type="dxa" w:w="80"/>
              <w:left w:type="dxa" w:w="100"/>
              <w:bottom w:type="dxa" w:w="80"/>
              <w:right w:type="dxa" w:w="100"/>
            </w:tcMar>
            <w:vAlign w:val="center"/>
          </w:tcPr>
          <w:p>
            <w:r>
              <w:rPr>
                <w:rFonts w:ascii="Georgia" w:cs="Georgia" w:eastAsia="Georgia" w:hAnsi="Georgia"/>
                <w:b/>
                <w:bCs/>
                <w:color w:val="FFFFFF"/>
                <w:sz w:val="20"/>
                <w:szCs w:val="20"/>
              </w:rPr>
              <w:t xml:space="preserve">Categoría</w:t>
            </w:r>
          </w:p>
        </w:tc>
        <w:tc>
          <w:tcPr>
            <w:shd w:fill="1F3864" w:val="clear"/>
            <w:tcMar>
              <w:top w:type="dxa" w:w="80"/>
              <w:left w:type="dxa" w:w="100"/>
              <w:bottom w:type="dxa" w:w="80"/>
              <w:right w:type="dxa" w:w="100"/>
            </w:tcMar>
            <w:vAlign w:val="center"/>
          </w:tcPr>
          <w:p>
            <w:r>
              <w:rPr>
                <w:rFonts w:ascii="Georgia" w:cs="Georgia" w:eastAsia="Georgia" w:hAnsi="Georgia"/>
                <w:b/>
                <w:bCs/>
                <w:color w:val="FFFFFF"/>
                <w:sz w:val="20"/>
                <w:szCs w:val="20"/>
              </w:rPr>
              <w:t xml:space="preserve">N</w:t>
            </w:r>
          </w:p>
        </w:tc>
        <w:tc>
          <w:tcPr>
            <w:shd w:fill="1F3864" w:val="clear"/>
            <w:tcMar>
              <w:top w:type="dxa" w:w="80"/>
              <w:left w:type="dxa" w:w="100"/>
              <w:bottom w:type="dxa" w:w="80"/>
              <w:right w:type="dxa" w:w="100"/>
            </w:tcMar>
            <w:vAlign w:val="center"/>
          </w:tcPr>
          <w:p>
            <w:r>
              <w:rPr>
                <w:rFonts w:ascii="Georgia" w:cs="Georgia" w:eastAsia="Georgia" w:hAnsi="Georgia"/>
                <w:b/>
                <w:bCs/>
                <w:color w:val="FFFFFF"/>
                <w:sz w:val="20"/>
                <w:szCs w:val="20"/>
              </w:rPr>
              <w:t xml:space="preserve">¿Localizada para Chile?</w:t>
            </w:r>
          </w:p>
        </w:tc>
        <w:tc>
          <w:tcPr>
            <w:shd w:fill="1F3864" w:val="clear"/>
            <w:tcMar>
              <w:top w:type="dxa" w:w="80"/>
              <w:left w:type="dxa" w:w="100"/>
              <w:bottom w:type="dxa" w:w="80"/>
              <w:right w:type="dxa" w:w="100"/>
            </w:tcMar>
            <w:vAlign w:val="center"/>
          </w:tcPr>
          <w:p>
            <w:r>
              <w:rPr>
                <w:rFonts w:ascii="Georgia" w:cs="Georgia" w:eastAsia="Georgia" w:hAnsi="Georgia"/>
                <w:b/>
                <w:bCs/>
                <w:color w:val="FFFFFF"/>
                <w:sz w:val="20"/>
                <w:szCs w:val="20"/>
              </w:rPr>
              <w:t xml:space="preserve">Ejemplos</w:t>
            </w:r>
          </w:p>
        </w:tc>
      </w:tr>
      <w:tr>
        <w:tc>
          <w:tcPr>
            <w:tcMar>
              <w:top w:type="dxa" w:w="80"/>
              <w:left w:type="dxa" w:w="100"/>
              <w:bottom w:type="dxa" w:w="80"/>
              <w:right w:type="dxa" w:w="100"/>
            </w:tcMar>
          </w:tcPr>
          <w:p>
            <w:r>
              <w:rPr>
                <w:rFonts w:ascii="Georgia" w:cs="Georgia" w:eastAsia="Georgia" w:hAnsi="Georgia"/>
                <w:sz w:val="20"/>
                <w:szCs w:val="20"/>
              </w:rPr>
              <w:t xml:space="preserve">Redes sociales y mensajería</w:t>
            </w:r>
          </w:p>
        </w:tc>
        <w:tc>
          <w:tcPr>
            <w:tcMar>
              <w:top w:type="dxa" w:w="80"/>
              <w:left w:type="dxa" w:w="100"/>
              <w:bottom w:type="dxa" w:w="80"/>
              <w:right w:type="dxa" w:w="100"/>
            </w:tcMar>
          </w:tcPr>
          <w:p>
            <w:r>
              <w:rPr>
                <w:rFonts w:ascii="Georgia" w:cs="Georgia" w:eastAsia="Georgia" w:hAnsi="Georgia"/>
                <w:sz w:val="20"/>
                <w:szCs w:val="20"/>
              </w:rPr>
              <w:t xml:space="preserve">5</w:t>
            </w:r>
          </w:p>
        </w:tc>
        <w:tc>
          <w:tcPr>
            <w:shd w:fill="F2F2F2" w:val="clear"/>
            <w:tcMar>
              <w:top w:type="dxa" w:w="80"/>
              <w:left w:type="dxa" w:w="100"/>
              <w:bottom w:type="dxa" w:w="80"/>
              <w:right w:type="dxa" w:w="100"/>
            </w:tcMar>
          </w:tcPr>
          <w:p>
            <w:r>
              <w:rPr>
                <w:rFonts w:ascii="Georgia" w:cs="Georgia" w:eastAsia="Georgia" w:hAnsi="Georgia"/>
                <w:sz w:val="20"/>
                <w:szCs w:val="20"/>
              </w:rPr>
              <w:t xml:space="preserve">No (4) / Parcial (1)</w:t>
            </w:r>
          </w:p>
        </w:tc>
        <w:tc>
          <w:tcPr>
            <w:tcMar>
              <w:top w:type="dxa" w:w="80"/>
              <w:left w:type="dxa" w:w="100"/>
              <w:bottom w:type="dxa" w:w="80"/>
              <w:right w:type="dxa" w:w="100"/>
            </w:tcMar>
          </w:tcPr>
          <w:p>
            <w:r>
              <w:rPr>
                <w:rFonts w:ascii="Georgia" w:cs="Georgia" w:eastAsia="Georgia" w:hAnsi="Georgia"/>
                <w:sz w:val="20"/>
                <w:szCs w:val="20"/>
              </w:rPr>
              <w:t xml:space="preserve">Facebook, Instagram, WhatsApp, TikTok, X</w:t>
            </w:r>
          </w:p>
        </w:tc>
      </w:tr>
      <w:tr>
        <w:tc>
          <w:tcPr>
            <w:tcMar>
              <w:top w:type="dxa" w:w="80"/>
              <w:left w:type="dxa" w:w="100"/>
              <w:bottom w:type="dxa" w:w="80"/>
              <w:right w:type="dxa" w:w="100"/>
            </w:tcMar>
          </w:tcPr>
          <w:p>
            <w:r>
              <w:rPr>
                <w:rFonts w:ascii="Georgia" w:cs="Georgia" w:eastAsia="Georgia" w:hAnsi="Georgia"/>
                <w:sz w:val="20"/>
                <w:szCs w:val="20"/>
              </w:rPr>
              <w:t xml:space="preserve">Streaming y servicios generales</w:t>
            </w:r>
          </w:p>
        </w:tc>
        <w:tc>
          <w:tcPr>
            <w:tcMar>
              <w:top w:type="dxa" w:w="80"/>
              <w:left w:type="dxa" w:w="100"/>
              <w:bottom w:type="dxa" w:w="80"/>
              <w:right w:type="dxa" w:w="100"/>
            </w:tcMar>
          </w:tcPr>
          <w:p>
            <w:r>
              <w:rPr>
                <w:rFonts w:ascii="Georgia" w:cs="Georgia" w:eastAsia="Georgia" w:hAnsi="Georgia"/>
                <w:sz w:val="20"/>
                <w:szCs w:val="20"/>
              </w:rPr>
              <w:t xml:space="preserve">4</w:t>
            </w:r>
          </w:p>
        </w:tc>
        <w:tc>
          <w:tcPr>
            <w:shd w:fill="F2F2F2" w:val="clear"/>
            <w:tcMar>
              <w:top w:type="dxa" w:w="80"/>
              <w:left w:type="dxa" w:w="100"/>
              <w:bottom w:type="dxa" w:w="80"/>
              <w:right w:type="dxa" w:w="100"/>
            </w:tcMar>
          </w:tcPr>
          <w:p>
            <w:r>
              <w:rPr>
                <w:rFonts w:ascii="Georgia" w:cs="Georgia" w:eastAsia="Georgia" w:hAnsi="Georgia"/>
                <w:sz w:val="20"/>
                <w:szCs w:val="20"/>
              </w:rPr>
              <w:t xml:space="preserve">No especifica (1) / Parcial (3)</w:t>
            </w:r>
          </w:p>
        </w:tc>
        <w:tc>
          <w:tcPr>
            <w:tcMar>
              <w:top w:type="dxa" w:w="80"/>
              <w:left w:type="dxa" w:w="100"/>
              <w:bottom w:type="dxa" w:w="80"/>
              <w:right w:type="dxa" w:w="100"/>
            </w:tcMar>
          </w:tcPr>
          <w:p>
            <w:r>
              <w:rPr>
                <w:rFonts w:ascii="Georgia" w:cs="Georgia" w:eastAsia="Georgia" w:hAnsi="Georgia"/>
                <w:sz w:val="20"/>
                <w:szCs w:val="20"/>
              </w:rPr>
              <w:t xml:space="preserve">Netflix, YouTube, Spotify, Google</w:t>
            </w:r>
          </w:p>
        </w:tc>
      </w:tr>
      <w:tr>
        <w:tc>
          <w:tcPr>
            <w:tcMar>
              <w:top w:type="dxa" w:w="80"/>
              <w:left w:type="dxa" w:w="100"/>
              <w:bottom w:type="dxa" w:w="80"/>
              <w:right w:type="dxa" w:w="100"/>
            </w:tcMar>
          </w:tcPr>
          <w:p>
            <w:r>
              <w:rPr>
                <w:rFonts w:ascii="Georgia" w:cs="Georgia" w:eastAsia="Georgia" w:hAnsi="Georgia"/>
                <w:sz w:val="20"/>
                <w:szCs w:val="20"/>
              </w:rPr>
              <w:t xml:space="preserve">E-commerce y delivery</w:t>
            </w:r>
          </w:p>
        </w:tc>
        <w:tc>
          <w:tcPr>
            <w:tcMar>
              <w:top w:type="dxa" w:w="80"/>
              <w:left w:type="dxa" w:w="100"/>
              <w:bottom w:type="dxa" w:w="80"/>
              <w:right w:type="dxa" w:w="100"/>
            </w:tcMar>
          </w:tcPr>
          <w:p>
            <w:r>
              <w:rPr>
                <w:rFonts w:ascii="Georgia" w:cs="Georgia" w:eastAsia="Georgia" w:hAnsi="Georgia"/>
                <w:sz w:val="20"/>
                <w:szCs w:val="20"/>
              </w:rPr>
              <w:t xml:space="preserve">4</w:t>
            </w:r>
          </w:p>
        </w:tc>
        <w:tc>
          <w:tcPr>
            <w:shd w:fill="F2F2F2" w:val="clear"/>
            <w:tcMar>
              <w:top w:type="dxa" w:w="80"/>
              <w:left w:type="dxa" w:w="100"/>
              <w:bottom w:type="dxa" w:w="80"/>
              <w:right w:type="dxa" w:w="100"/>
            </w:tcMar>
          </w:tcPr>
          <w:p>
            <w:r>
              <w:rPr>
                <w:rFonts w:ascii="Georgia" w:cs="Georgia" w:eastAsia="Georgia" w:hAnsi="Georgia"/>
                <w:sz w:val="20"/>
                <w:szCs w:val="20"/>
              </w:rPr>
              <w:t xml:space="preserve">Sí (4)</w:t>
            </w:r>
          </w:p>
        </w:tc>
        <w:tc>
          <w:tcPr>
            <w:tcMar>
              <w:top w:type="dxa" w:w="80"/>
              <w:left w:type="dxa" w:w="100"/>
              <w:bottom w:type="dxa" w:w="80"/>
              <w:right w:type="dxa" w:w="100"/>
            </w:tcMar>
          </w:tcPr>
          <w:p>
            <w:r>
              <w:rPr>
                <w:rFonts w:ascii="Georgia" w:cs="Georgia" w:eastAsia="Georgia" w:hAnsi="Georgia"/>
                <w:sz w:val="20"/>
                <w:szCs w:val="20"/>
              </w:rPr>
              <w:t xml:space="preserve">Mercado Libre, Falabella, Uber, Rappi</w:t>
            </w:r>
          </w:p>
        </w:tc>
      </w:tr>
      <w:tr>
        <w:tc>
          <w:tcPr>
            <w:tcMar>
              <w:top w:type="dxa" w:w="80"/>
              <w:left w:type="dxa" w:w="100"/>
              <w:bottom w:type="dxa" w:w="80"/>
              <w:right w:type="dxa" w:w="100"/>
            </w:tcMar>
          </w:tcPr>
          <w:p>
            <w:r>
              <w:rPr>
                <w:rFonts w:ascii="Georgia" w:cs="Georgia" w:eastAsia="Georgia" w:hAnsi="Georgia"/>
                <w:sz w:val="20"/>
                <w:szCs w:val="20"/>
              </w:rPr>
              <w:t xml:space="preserve">Banca</w:t>
            </w:r>
          </w:p>
        </w:tc>
        <w:tc>
          <w:tcPr>
            <w:tcMar>
              <w:top w:type="dxa" w:w="80"/>
              <w:left w:type="dxa" w:w="100"/>
              <w:bottom w:type="dxa" w:w="80"/>
              <w:right w:type="dxa" w:w="100"/>
            </w:tcMar>
          </w:tcPr>
          <w:p>
            <w:r>
              <w:rPr>
                <w:rFonts w:ascii="Georgia" w:cs="Georgia" w:eastAsia="Georgia" w:hAnsi="Georgia"/>
                <w:sz w:val="20"/>
                <w:szCs w:val="20"/>
              </w:rPr>
              <w:t xml:space="preserve">4</w:t>
            </w:r>
          </w:p>
        </w:tc>
        <w:tc>
          <w:tcPr>
            <w:shd w:fill="F2F2F2" w:val="clear"/>
            <w:tcMar>
              <w:top w:type="dxa" w:w="80"/>
              <w:left w:type="dxa" w:w="100"/>
              <w:bottom w:type="dxa" w:w="80"/>
              <w:right w:type="dxa" w:w="100"/>
            </w:tcMar>
          </w:tcPr>
          <w:p>
            <w:r>
              <w:rPr>
                <w:rFonts w:ascii="Georgia" w:cs="Georgia" w:eastAsia="Georgia" w:hAnsi="Georgia"/>
                <w:sz w:val="20"/>
                <w:szCs w:val="20"/>
              </w:rPr>
              <w:t xml:space="preserve">Sí (4)</w:t>
            </w:r>
          </w:p>
        </w:tc>
        <w:tc>
          <w:tcPr>
            <w:tcMar>
              <w:top w:type="dxa" w:w="80"/>
              <w:left w:type="dxa" w:w="100"/>
              <w:bottom w:type="dxa" w:w="80"/>
              <w:right w:type="dxa" w:w="100"/>
            </w:tcMar>
          </w:tcPr>
          <w:p>
            <w:r>
              <w:rPr>
                <w:rFonts w:ascii="Georgia" w:cs="Georgia" w:eastAsia="Georgia" w:hAnsi="Georgia"/>
                <w:sz w:val="20"/>
                <w:szCs w:val="20"/>
              </w:rPr>
              <w:t xml:space="preserve">Santander, Banco de Chile, BCI, BancoEstado</w:t>
            </w:r>
          </w:p>
        </w:tc>
      </w:tr>
      <w:tr>
        <w:tc>
          <w:tcPr>
            <w:tcMar>
              <w:top w:type="dxa" w:w="80"/>
              <w:left w:type="dxa" w:w="100"/>
              <w:bottom w:type="dxa" w:w="80"/>
              <w:right w:type="dxa" w:w="100"/>
            </w:tcMar>
          </w:tcPr>
          <w:p>
            <w:r>
              <w:rPr>
                <w:rFonts w:ascii="Georgia" w:cs="Georgia" w:eastAsia="Georgia" w:hAnsi="Georgia"/>
                <w:sz w:val="20"/>
                <w:szCs w:val="20"/>
              </w:rPr>
              <w:t xml:space="preserve">Gobierno y salud</w:t>
            </w:r>
          </w:p>
        </w:tc>
        <w:tc>
          <w:tcPr>
            <w:tcMar>
              <w:top w:type="dxa" w:w="80"/>
              <w:left w:type="dxa" w:w="100"/>
              <w:bottom w:type="dxa" w:w="80"/>
              <w:right w:type="dxa" w:w="100"/>
            </w:tcMar>
          </w:tcPr>
          <w:p>
            <w:r>
              <w:rPr>
                <w:rFonts w:ascii="Georgia" w:cs="Georgia" w:eastAsia="Georgia" w:hAnsi="Georgia"/>
                <w:sz w:val="20"/>
                <w:szCs w:val="20"/>
              </w:rPr>
              <w:t xml:space="preserve">3</w:t>
            </w:r>
          </w:p>
        </w:tc>
        <w:tc>
          <w:tcPr>
            <w:shd w:fill="F2F2F2" w:val="clear"/>
            <w:tcMar>
              <w:top w:type="dxa" w:w="80"/>
              <w:left w:type="dxa" w:w="100"/>
              <w:bottom w:type="dxa" w:w="80"/>
              <w:right w:type="dxa" w:w="100"/>
            </w:tcMar>
          </w:tcPr>
          <w:p>
            <w:r>
              <w:rPr>
                <w:rFonts w:ascii="Georgia" w:cs="Georgia" w:eastAsia="Georgia" w:hAnsi="Georgia"/>
                <w:sz w:val="20"/>
                <w:szCs w:val="20"/>
              </w:rPr>
              <w:t xml:space="preserve">Sí (3)</w:t>
            </w:r>
          </w:p>
        </w:tc>
        <w:tc>
          <w:tcPr>
            <w:tcMar>
              <w:top w:type="dxa" w:w="80"/>
              <w:left w:type="dxa" w:w="100"/>
              <w:bottom w:type="dxa" w:w="80"/>
              <w:right w:type="dxa" w:w="100"/>
            </w:tcMar>
          </w:tcPr>
          <w:p>
            <w:r>
              <w:rPr>
                <w:rFonts w:ascii="Georgia" w:cs="Georgia" w:eastAsia="Georgia" w:hAnsi="Georgia"/>
                <w:sz w:val="20"/>
                <w:szCs w:val="20"/>
              </w:rPr>
              <w:t xml:space="preserve">ClaveÚnica/ChileAtiende, SII, Fonasa</w:t>
            </w:r>
          </w:p>
        </w:tc>
      </w:tr>
    </w:tbl>
    <w:p>
      <w:pPr>
        <w:spacing w:after="200"/>
      </w:pPr>
    </w:p>
    <w:p>
      <w:pPr>
        <w:spacing w:after="220" w:line="350"/>
        <w:jc w:val="both"/>
      </w:pPr>
      <w:r>
        <w:rPr>
          <w:rFonts w:ascii="Georgia" w:cs="Georgia" w:eastAsia="Georgia" w:hAnsi="Georgia"/>
          <w:sz w:val="24"/>
          <w:szCs w:val="24"/>
        </w:rPr>
        <w:t xml:space="preserve">Otros dos patrones respaldan el argumento: (a) solo 1 de las 20 plataformas (Uber/Uber Eats) ofrece algo codificable como opt-out completo de personalización — la respuesta modal (15 de 20) es control parcial, casi siempre limitado a publicidad y no al motor de recomendación; y (b) 17 de 20 plataformas ya declaran uso de IA generativa, incluyendo 3 de los 4 bancos estudiados y el SII, lo que sugiere que la lógica contractual de la “sociality algorítmica” se está extendiendo más allá de las redes sociales hacia las relaciones estatales y financieras.</w:t>
      </w:r>
    </w:p>
    <w:p>
      <w:pPr>
        <w:pStyle w:val="Heading1"/>
        <w:spacing w:after="200" w:before="420"/>
      </w:pPr>
      <w:r>
        <w:t xml:space="preserve">5. Propuesta de estructura del paper completo (manuscrito final, marzo 2027)</w:t>
      </w:r>
    </w:p>
    <w:p>
      <w:pPr>
        <w:spacing w:after="220" w:line="350"/>
        <w:jc w:val="both"/>
      </w:pPr>
      <w:r>
        <w:rPr>
          <w:rFonts w:ascii="Georgia" w:cs="Georgia" w:eastAsia="Georgia" w:hAnsi="Georgia"/>
          <w:sz w:val="24"/>
          <w:szCs w:val="24"/>
        </w:rPr>
        <w:t xml:space="preserve">Estructura pensada para una revista de humanidades digitales/media studies, con extensión típica de 7.000-9.000 palabras. Los títulos de sección se dan en inglés (formato de envío); la descripción, en español, es para planificación interna.</w:t>
      </w:r>
    </w:p>
    <w:p>
      <w:pPr>
        <w:spacing w:after="80" w:before="220"/>
      </w:pPr>
      <w:r>
        <w:rPr>
          <w:rFonts w:ascii="Georgia" w:cs="Georgia" w:eastAsia="Georgia" w:hAnsi="Georgia"/>
          <w:b/>
          <w:bCs/>
          <w:color w:val="2E5395"/>
          <w:sz w:val="23"/>
          <w:szCs w:val="23"/>
        </w:rPr>
        <w:t xml:space="preserve">1. Introduction</w:t>
      </w:r>
    </w:p>
    <w:p>
      <w:pPr>
        <w:spacing w:after="160" w:line="350"/>
        <w:jc w:val="both"/>
      </w:pPr>
      <w:r>
        <w:rPr>
          <w:rFonts w:ascii="Georgia" w:cs="Georgia" w:eastAsia="Georgia" w:hAnsi="Georgia"/>
          <w:sz w:val="24"/>
          <w:szCs w:val="24"/>
        </w:rPr>
        <w:t xml:space="preserve">Presenta el problema: la sociality algorítmica tiene una capa contractual poco estudiada. Plantea la pregunta de investigación y adelanta el hallazgo de la asimetría de localización.</w:t>
      </w:r>
    </w:p>
    <w:p>
      <w:pPr>
        <w:spacing w:after="80" w:before="220"/>
      </w:pPr>
      <w:r>
        <w:rPr>
          <w:rFonts w:ascii="Georgia" w:cs="Georgia" w:eastAsia="Georgia" w:hAnsi="Georgia"/>
          <w:b/>
          <w:bCs/>
          <w:color w:val="2E5395"/>
          <w:sz w:val="23"/>
          <w:szCs w:val="23"/>
        </w:rPr>
        <w:t xml:space="preserve">2. Theoretical Framework: Contracts as Sociotechnical Infrastructure</w:t>
      </w:r>
    </w:p>
    <w:p>
      <w:pPr>
        <w:spacing w:after="160" w:line="350"/>
        <w:jc w:val="both"/>
      </w:pPr>
      <w:r>
        <w:rPr>
          <w:rFonts w:ascii="Georgia" w:cs="Georgia" w:eastAsia="Georgia" w:hAnsi="Georgia"/>
          <w:sz w:val="24"/>
          <w:szCs w:val="24"/>
        </w:rPr>
        <w:t xml:space="preserve">Desarrolla en extenso el marco ya construido para la tesis — STS (Latour, Star, Gillespie, Suzor, Zuboff), humanidades digitales (Manovich, Moretti), artes mediales (arqueología de medios, arte de datos) y diseño especulativo (Dunne &amp; Raby, con la salvedad decolonial de Escobar) — y lo articula específicamente con la literatura de “networked publics” (boyd, 2010) y sociality algorítmica que define este número especial.</w:t>
      </w:r>
    </w:p>
    <w:p>
      <w:pPr>
        <w:spacing w:after="80" w:before="220"/>
      </w:pPr>
      <w:r>
        <w:rPr>
          <w:rFonts w:ascii="Georgia" w:cs="Georgia" w:eastAsia="Georgia" w:hAnsi="Georgia"/>
          <w:b/>
          <w:bCs/>
          <w:color w:val="2E5395"/>
          <w:sz w:val="23"/>
          <w:szCs w:val="23"/>
        </w:rPr>
        <w:t xml:space="preserve">3. Regulatory Context: Chile Between Ley 19.628 and Ley 21.719</w:t>
      </w:r>
    </w:p>
    <w:p>
      <w:pPr>
        <w:spacing w:after="160" w:line="350"/>
        <w:jc w:val="both"/>
      </w:pPr>
      <w:r>
        <w:rPr>
          <w:rFonts w:ascii="Georgia" w:cs="Georgia" w:eastAsia="Georgia" w:hAnsi="Georgia"/>
          <w:sz w:val="24"/>
          <w:szCs w:val="24"/>
        </w:rPr>
        <w:t xml:space="preserve">Sitúa el caso chileno: transición regulatoria en curso (nueva Agencia de Protección de Datos, vigencia plena en diciembre de 2026) y lo que eso implica para leer el corpus como un corte sincrónico en un momento de cambio normativo.</w:t>
      </w:r>
    </w:p>
    <w:p>
      <w:pPr>
        <w:spacing w:after="80" w:before="220"/>
      </w:pPr>
      <w:r>
        <w:rPr>
          <w:rFonts w:ascii="Georgia" w:cs="Georgia" w:eastAsia="Georgia" w:hAnsi="Georgia"/>
          <w:b/>
          <w:bCs/>
          <w:color w:val="2E5395"/>
          <w:sz w:val="23"/>
          <w:szCs w:val="23"/>
        </w:rPr>
        <w:t xml:space="preserve">4. Methodology: Building a Comparative ToS Corpus</w:t>
      </w:r>
    </w:p>
    <w:p>
      <w:pPr>
        <w:spacing w:after="160" w:line="350"/>
        <w:jc w:val="both"/>
      </w:pPr>
      <w:r>
        <w:rPr>
          <w:rFonts w:ascii="Georgia" w:cs="Georgia" w:eastAsia="Georgia" w:hAnsi="Georgia"/>
          <w:sz w:val="24"/>
          <w:szCs w:val="24"/>
        </w:rPr>
        <w:t xml:space="preserve">Describe la construcción del corpus (20 plataformas, 5 sectores, 30 variables, vocabulario controlado), el proceso de codificación, y discute honestamente las limitaciones: bloqueos por robots.txt en Meta/TikTok/LinkedIn, inaccesibilidad reiterada de BancoEstado, y la distinción metodológica entre lo declarado en el ToS mismo y lo declarado en documentación no contractual (páginas de ayuda, centros de transparencia).</w:t>
      </w:r>
    </w:p>
    <w:p>
      <w:pPr>
        <w:spacing w:after="80" w:before="220"/>
      </w:pPr>
      <w:r>
        <w:rPr>
          <w:rFonts w:ascii="Georgia" w:cs="Georgia" w:eastAsia="Georgia" w:hAnsi="Georgia"/>
          <w:b/>
          <w:bCs/>
          <w:color w:val="2E5395"/>
          <w:sz w:val="23"/>
          <w:szCs w:val="23"/>
        </w:rPr>
        <w:t xml:space="preserve">5. Findings</w:t>
      </w:r>
    </w:p>
    <w:p>
      <w:pPr>
        <w:spacing w:after="160" w:line="350"/>
        <w:jc w:val="both"/>
      </w:pPr>
      <w:r>
        <w:rPr>
          <w:rFonts w:ascii="Georgia" w:cs="Georgia" w:eastAsia="Georgia" w:hAnsi="Georgia"/>
          <w:sz w:val="24"/>
          <w:szCs w:val="24"/>
        </w:rPr>
        <w:t xml:space="preserve">Tres subsecciones, una por hallazgo: (5.1) la asimetría de localización jurídica; (5.2) la ilusión del opt-out (control de publicidad vs. control de la curación); (5.3) la difusión de la IA generativa más allá de las redes sociales, hacia banca y administración tributaria.</w:t>
      </w:r>
    </w:p>
    <w:p>
      <w:pPr>
        <w:spacing w:after="80" w:before="220"/>
      </w:pPr>
      <w:r>
        <w:rPr>
          <w:rFonts w:ascii="Georgia" w:cs="Georgia" w:eastAsia="Georgia" w:hAnsi="Georgia"/>
          <w:b/>
          <w:bCs/>
          <w:color w:val="2E5395"/>
          <w:sz w:val="23"/>
          <w:szCs w:val="23"/>
        </w:rPr>
        <w:t xml:space="preserve">6. Discussion: Extending Algorithmic Sociality Beyond Social Media</w:t>
      </w:r>
    </w:p>
    <w:p>
      <w:pPr>
        <w:spacing w:after="160" w:line="350"/>
        <w:jc w:val="both"/>
      </w:pPr>
      <w:r>
        <w:rPr>
          <w:rFonts w:ascii="Georgia" w:cs="Georgia" w:eastAsia="Georgia" w:hAnsi="Georgia"/>
          <w:sz w:val="24"/>
          <w:szCs w:val="24"/>
        </w:rPr>
        <w:t xml:space="preserve">Argumenta que el concepto de sociality algorítmica, tal como lo plantea la convocatoria, debería extenderse a relaciones Estado-ciudadanía y banco-cliente, no solo a redes sociales; y que la localización jurídica es en sí misma una señal relacional — un indicador contractual de a quién una plataforma considera necesario rendirle cuentas.</w:t>
      </w:r>
    </w:p>
    <w:p>
      <w:pPr>
        <w:spacing w:after="80" w:before="220"/>
      </w:pPr>
      <w:r>
        <w:rPr>
          <w:rFonts w:ascii="Georgia" w:cs="Georgia" w:eastAsia="Georgia" w:hAnsi="Georgia"/>
          <w:b/>
          <w:bCs/>
          <w:color w:val="2E5395"/>
          <w:sz w:val="23"/>
          <w:szCs w:val="23"/>
        </w:rPr>
        <w:t xml:space="preserve">7. Conclusion</w:t>
      </w:r>
    </w:p>
    <w:p>
      <w:pPr>
        <w:spacing w:after="160" w:line="350"/>
        <w:jc w:val="both"/>
      </w:pPr>
      <w:r>
        <w:rPr>
          <w:rFonts w:ascii="Georgia" w:cs="Georgia" w:eastAsia="Georgia" w:hAnsi="Georgia"/>
          <w:sz w:val="24"/>
          <w:szCs w:val="24"/>
        </w:rPr>
        <w:t xml:space="preserve">Cierra retomando la contribución al eje Norte/Sur del call: Chile como caso de estudio de “soberanía regulatoria asíncrona” frente a plataformas globales, y agenda de investigación futura (verificación manual de las políticas bloqueadas, ampliación comparativa a otros países de la región).</w:t>
      </w:r>
    </w:p>
    <w:p>
      <w:pPr>
        <w:spacing w:after="80" w:before="220"/>
      </w:pPr>
      <w:r>
        <w:rPr>
          <w:rFonts w:ascii="Georgia" w:cs="Georgia" w:eastAsia="Georgia" w:hAnsi="Georgia"/>
          <w:b/>
          <w:bCs/>
          <w:color w:val="2E5395"/>
          <w:sz w:val="23"/>
          <w:szCs w:val="23"/>
        </w:rPr>
        <w:t xml:space="preserve">References</w:t>
      </w:r>
    </w:p>
    <w:p>
      <w:pPr>
        <w:spacing w:after="160" w:line="350"/>
        <w:jc w:val="both"/>
      </w:pPr>
      <w:r>
        <w:rPr>
          <w:rFonts w:ascii="Georgia" w:cs="Georgia" w:eastAsia="Georgia" w:hAnsi="Georgia"/>
          <w:sz w:val="24"/>
          <w:szCs w:val="24"/>
        </w:rPr>
        <w:t xml:space="preserve">Bibliografía completa combinando las referencias del marco teórico de tesis ya construido con la literatura específica de platform studies y sociality algorítmica citada en el resumen extendido.</w:t>
      </w:r>
    </w:p>
    <w:p>
      <w:pPr>
        <w:pStyle w:val="Heading1"/>
        <w:spacing w:after="200" w:before="420"/>
      </w:pPr>
      <w:r>
        <w:t xml:space="preserve">6. Próximos pasos sugeridos</w:t>
      </w:r>
    </w:p>
    <w:p>
      <w:pPr>
        <w:spacing w:after="220" w:line="350"/>
        <w:jc w:val="both"/>
      </w:pPr>
      <w:r>
        <w:rPr>
          <w:rFonts w:ascii="Georgia" w:cs="Georgia" w:eastAsia="Georgia" w:hAnsi="Georgia"/>
          <w:sz w:val="24"/>
          <w:szCs w:val="24"/>
        </w:rPr>
        <w:t xml:space="preserve">Antes del 1 de octubre de 2026: decidir autoría y afiliación para completar la biografía; considerar si vale la pena verificar manualmente (navegador, no automatizado) las políticas que bloquearon el acceso automatizado — Meta, TikTok, LinkedIn y especialmente BancoEstado y ChileAtiende, cuyos datos hoy dependen de fuentes secundarias; y revisar si el marco teórico de tesis ya escrito (diseño especulativo, artes mediales, humanidades digitales, STS) necesita algún ajuste de énfasis para funcionar como Sección 2 del paper completo, dado que este resumen extendido ya asume esa 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88888"/>
        <w:sz w:val="16"/>
        <w:szCs w:val="16"/>
      </w:rPr>
      <w:t xml:space="preserve">Propuesta de paper — Algorithmic Sociality (Convergence)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00"/>
    </w:pPr>
    <w:rPr>
      <w:rFonts w:ascii="Georgia" w:cs="Georgia" w:eastAsia="Georgia" w:hAnsi="Georgia"/>
      <w:b/>
      <w:bCs/>
      <w:color w:val="1F3864"/>
      <w:sz w:val="28"/>
      <w:szCs w:val="28"/>
    </w:rPr>
  </w:style>
  <w:style w:type="paragraph" w:styleId="Heading2">
    <w:name w:val="Heading 2"/>
    <w:basedOn w:val="Normal"/>
    <w:next w:val="Normal"/>
    <w:qFormat/>
    <w:pPr>
      <w:keepNext/>
      <w:spacing w:after="140" w:before="300"/>
    </w:pPr>
    <w:rPr>
      <w:rFonts w:ascii="Georgia" w:cs="Georgia" w:eastAsia="Georgia" w:hAnsi="Georgia"/>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2026-09-02T18:35:03.102Z</dcterms:created>
  <dcterms:modified xsi:type="dcterms:W3CDTF">2026-09-02T18:35:03.102Z</dcterms:modified>
</cp:coreProperties>
</file>

<file path=docProps/custom.xml><?xml version="1.0" encoding="utf-8"?>
<Properties xmlns="http://schemas.openxmlformats.org/officeDocument/2006/custom-properties" xmlns:vt="http://schemas.openxmlformats.org/officeDocument/2006/docPropsVTypes"/>
</file>