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0D9488"/>
          <w:sz w:val="48"/>
          <w:szCs w:val="48"/>
        </w:rPr>
        <w:t xml:space="preserve">CIVICSCALE</w:t>
      </w:r>
    </w:p>
    <w:p>
      <w:pPr>
        <w:spacing w:before="0" w:after="60"/>
        <w:jc w:val="center"/>
      </w:pPr>
      <w:r>
        <w:rPr>
          <w:rFonts w:ascii="Arial" w:cs="Arial" w:eastAsia="Arial" w:hAnsi="Arial"/>
          <w:color w:val="64748B"/>
          <w:sz w:val="28"/>
          <w:szCs w:val="28"/>
        </w:rPr>
        <w:t xml:space="preserve">civicscale.ai — Homepage Copy</w:t>
      </w:r>
    </w:p>
    <w:p>
      <w:pPr>
        <w:spacing w:before="0" w:after="60"/>
        <w:jc w:val="center"/>
      </w:pPr>
      <w:r>
        <w:rPr>
          <w:rFonts w:ascii="Arial" w:cs="Arial" w:eastAsia="Arial" w:hAnsi="Arial"/>
          <w:i/>
          <w:iCs/>
          <w:color w:val="64748B"/>
          <w:sz w:val="20"/>
          <w:szCs w:val="20"/>
        </w:rPr>
        <w:t xml:space="preserve">Session F Design Document · March 2026</w:t>
      </w:r>
    </w:p>
    <w:p>
      <w:pPr>
        <w:spacing w:before="0" w:after="240"/>
        <w:jc w:val="center"/>
      </w:pPr>
      <w:r>
        <w:rPr>
          <w:rFonts w:ascii="Arial" w:cs="Arial" w:eastAsia="Arial" w:hAnsi="Arial"/>
          <w:i/>
          <w:iCs/>
          <w:color w:val="64748B"/>
          <w:sz w:val="20"/>
          <w:szCs w:val="20"/>
        </w:rPr>
        <w:t xml:space="preserve">Final copy for Claude Code handoff</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1. HERO</w:t>
      </w:r>
    </w:p>
    <w:p>
      <w:pPr>
        <w:spacing w:before="60" w:after="60"/>
      </w:pPr>
      <w:r>
        <w:rPr>
          <w:rFonts w:ascii="Arial" w:cs="Arial" w:eastAsia="Arial" w:hAnsi="Arial"/>
          <w:i/>
          <w:iCs/>
          <w:color w:val="64748B"/>
          <w:sz w:val="18"/>
          <w:szCs w:val="18"/>
        </w:rPr>
        <w:t xml:space="preserve">Large, centered. Primary entry point for all audiences.</w:t>
      </w:r>
    </w:p>
    <w:p>
      <w:pPr>
        <w:spacing w:before="240" w:after="80"/>
      </w:pPr>
      <w:r>
        <w:rPr>
          <w:rFonts w:ascii="Arial" w:cs="Arial" w:eastAsia="Arial" w:hAnsi="Arial"/>
          <w:b/>
          <w:bCs/>
          <w:color w:val="1E293B"/>
          <w:sz w:val="24"/>
          <w:szCs w:val="24"/>
        </w:rPr>
        <w:t xml:space="preserve">Headline</w:t>
      </w:r>
    </w:p>
    <w:p>
      <w:pPr>
        <w:spacing w:before="80" w:after="120"/>
      </w:pPr>
      <w:r>
        <w:rPr>
          <w:rFonts w:ascii="Arial" w:cs="Arial" w:eastAsia="Arial" w:hAnsi="Arial"/>
          <w:b/>
          <w:bCs/>
          <w:color w:val="1E293B"/>
          <w:sz w:val="28"/>
          <w:szCs w:val="28"/>
        </w:rPr>
        <w:t xml:space="preserve">The system knows what you’re owed.</w:t>
      </w:r>
    </w:p>
    <w:p>
      <w:pPr>
        <w:spacing w:before="80" w:after="120"/>
      </w:pPr>
      <w:r>
        <w:rPr>
          <w:rFonts w:ascii="Arial" w:cs="Arial" w:eastAsia="Arial" w:hAnsi="Arial"/>
          <w:b/>
          <w:bCs/>
          <w:color w:val="1E293B"/>
          <w:sz w:val="28"/>
          <w:szCs w:val="28"/>
        </w:rPr>
        <w:t xml:space="preserve">Now you do too.</w:t>
      </w:r>
    </w:p>
    <w:p>
      <w:pPr>
        <w:spacing w:before="240" w:after="80"/>
      </w:pPr>
      <w:r>
        <w:rPr>
          <w:rFonts w:ascii="Arial" w:cs="Arial" w:eastAsia="Arial" w:hAnsi="Arial"/>
          <w:b/>
          <w:bCs/>
          <w:color w:val="1E293B"/>
          <w:sz w:val="24"/>
          <w:szCs w:val="24"/>
        </w:rPr>
        <w:t xml:space="preserve">Subhead</w:t>
      </w:r>
    </w:p>
    <w:p>
      <w:pPr>
        <w:spacing w:before="80" w:after="120"/>
      </w:pPr>
      <w:r>
        <w:rPr>
          <w:rFonts w:ascii="Arial" w:cs="Arial" w:eastAsia="Arial" w:hAnsi="Arial"/>
          <w:color w:val="1E293B"/>
          <w:sz w:val="22"/>
          <w:szCs w:val="22"/>
        </w:rPr>
        <w:t xml:space="preserve">Healthcare billing is complex — and complexity has a natural consequence: the parties with the most experience navigating it develop an analytical advantage over those who encounter it occasionally. CivicScale puts the same analytical infrastructure on your side — for employers, brokers, providers, and patients.</w:t>
      </w:r>
    </w:p>
    <w:p>
      <w:pPr>
        <w:spacing w:before="240" w:after="80"/>
      </w:pPr>
      <w:r>
        <w:rPr>
          <w:rFonts w:ascii="Arial" w:cs="Arial" w:eastAsia="Arial" w:hAnsi="Arial"/>
          <w:b/>
          <w:bCs/>
          <w:color w:val="1E293B"/>
          <w:sz w:val="24"/>
          <w:szCs w:val="24"/>
        </w:rPr>
        <w:t xml:space="preserve">Primary CTAs</w:t>
      </w:r>
    </w:p>
    <w:p>
      <w:pPr>
        <w:spacing w:before="100" w:after="60"/>
      </w:pPr>
      <w:r>
        <w:rPr>
          <w:rFonts w:ascii="Arial" w:cs="Arial" w:eastAsia="Arial" w:hAnsi="Arial"/>
          <w:b/>
          <w:bCs/>
          <w:color w:val="0D9488"/>
          <w:sz w:val="22"/>
          <w:szCs w:val="22"/>
        </w:rPr>
        <w:t xml:space="preserve">▶  I’m a benefits broker →  — links to /broker</w:t>
      </w:r>
    </w:p>
    <w:p>
      <w:pPr>
        <w:spacing w:before="100" w:after="60"/>
      </w:pPr>
      <w:r>
        <w:rPr>
          <w:rFonts w:ascii="Arial" w:cs="Arial" w:eastAsia="Arial" w:hAnsi="Arial"/>
          <w:b/>
          <w:bCs/>
          <w:color w:val="0D9488"/>
          <w:sz w:val="22"/>
          <w:szCs w:val="22"/>
        </w:rPr>
        <w:t xml:space="preserve">▶  I manage employee benefits →  — links to /billing/employer</w:t>
      </w:r>
    </w:p>
    <w:p>
      <w:pPr>
        <w:spacing w:before="60" w:after="60"/>
      </w:pPr>
      <w:r>
        <w:rPr>
          <w:rFonts w:ascii="Arial" w:cs="Arial" w:eastAsia="Arial" w:hAnsi="Arial"/>
          <w:i/>
          <w:iCs/>
          <w:color w:val="64748B"/>
          <w:sz w:val="18"/>
          <w:szCs w:val="18"/>
        </w:rPr>
        <w:t xml:space="preserve">Trust line beneath CTAs: No credit card required for first 30 days · Cancel anytime</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2. THE PROBLEM</w:t>
      </w:r>
    </w:p>
    <w:p>
      <w:pPr>
        <w:pStyle w:val="Heading2"/>
        <w:spacing w:before="360" w:after="120"/>
      </w:pPr>
      <w:r>
        <w:rPr>
          <w:rFonts w:ascii="Arial" w:cs="Arial" w:eastAsia="Arial" w:hAnsi="Arial"/>
          <w:b/>
          <w:bCs/>
          <w:color w:val="0D9488"/>
          <w:sz w:val="28"/>
          <w:szCs w:val="28"/>
        </w:rPr>
        <w:t xml:space="preserve">Complex systems favor those who understand them</w:t>
      </w:r>
    </w:p>
    <w:p>
      <w:pPr>
        <w:spacing w:before="80" w:after="120"/>
      </w:pPr>
      <w:r>
        <w:rPr>
          <w:rFonts w:ascii="Arial" w:cs="Arial" w:eastAsia="Arial" w:hAnsi="Arial"/>
          <w:color w:val="1E293B"/>
          <w:sz w:val="22"/>
          <w:szCs w:val="22"/>
        </w:rPr>
        <w:t xml:space="preserve">American healthcare billing is genuinely complex — and that complexity has a natural consequence: the parties with the most experience navigating it develop an analytical advantage over those who encounter it occasionally.</w:t>
      </w:r>
    </w:p>
    <w:p>
      <w:pPr>
        <w:spacing w:before="80" w:after="120"/>
      </w:pPr>
      <w:r>
        <w:rPr>
          <w:rFonts w:ascii="Arial" w:cs="Arial" w:eastAsia="Arial" w:hAnsi="Arial"/>
          <w:color w:val="1E293B"/>
          <w:sz w:val="22"/>
          <w:szCs w:val="22"/>
        </w:rPr>
        <w:t xml:space="preserve">Carriers process millions of claims a year. A self-insured employer processes their own. A physician practice negotiates contracts with dozens of payers simultaneously. A patient receives an explanation of benefits once or twice and is expected to evaluate it accurately.</w:t>
      </w:r>
    </w:p>
    <w:p>
      <w:pPr>
        <w:spacing w:before="80" w:after="120"/>
      </w:pPr>
      <w:r>
        <w:rPr>
          <w:rFonts w:ascii="Arial" w:cs="Arial" w:eastAsia="Arial" w:hAnsi="Arial"/>
          <w:color w:val="1E293B"/>
          <w:sz w:val="22"/>
          <w:szCs w:val="22"/>
        </w:rPr>
        <w:t xml:space="preserve">This isn’t malice. It’s the predictable result of asymmetric experience meeting asymmetric data access. The carrier knows exactly what the contracted rate is. The employer, the provider, and the patient often don’t — or can’t verify it quickly enough to act.</w:t>
      </w:r>
    </w:p>
    <w:p>
      <w:pPr>
        <w:spacing w:before="80" w:after="120"/>
      </w:pPr>
      <w:r>
        <w:rPr>
          <w:rFonts w:ascii="Arial" w:cs="Arial" w:eastAsia="Arial" w:hAnsi="Arial"/>
          <w:color w:val="1E293B"/>
          <w:sz w:val="22"/>
          <w:szCs w:val="22"/>
        </w:rPr>
        <w:t xml:space="preserve">AI changes this equation. For the first time, the analytical depth that used to require a hospital revenue cycle department or a specialized billing attorney is available to anyone who needs it — at the moment they need it, in language they can actually use.</w:t>
      </w:r>
    </w:p>
    <w:p>
      <w:pPr>
        <w:spacing w:before="80" w:after="120"/>
      </w:pPr>
      <w:r>
        <w:rPr>
          <w:rFonts w:ascii="Arial" w:cs="Arial" w:eastAsia="Arial" w:hAnsi="Arial"/>
          <w:b/>
          <w:bCs/>
          <w:color w:val="1E293B"/>
          <w:sz w:val="22"/>
          <w:szCs w:val="22"/>
        </w:rPr>
        <w:t xml:space="preserve">That’s what CivicScale builds.</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3. THE FOUR PRODUCTS</w:t>
      </w:r>
    </w:p>
    <w:p>
      <w:pPr>
        <w:pStyle w:val="Heading2"/>
        <w:spacing w:before="360" w:after="120"/>
      </w:pPr>
      <w:r>
        <w:rPr>
          <w:rFonts w:ascii="Arial" w:cs="Arial" w:eastAsia="Arial" w:hAnsi="Arial"/>
          <w:b/>
          <w:bCs/>
          <w:color w:val="0D9488"/>
          <w:sz w:val="28"/>
          <w:szCs w:val="28"/>
        </w:rPr>
        <w:t xml:space="preserve">One engine. Four surfaces.</w:t>
      </w:r>
    </w:p>
    <w:p>
      <w:pPr>
        <w:spacing w:before="240" w:after="80"/>
      </w:pPr>
      <w:r>
        <w:rPr>
          <w:rFonts w:ascii="Arial" w:cs="Arial" w:eastAsia="Arial" w:hAnsi="Arial"/>
          <w:b/>
          <w:bCs/>
          <w:color w:val="1E293B"/>
          <w:sz w:val="24"/>
          <w:szCs w:val="24"/>
        </w:rPr>
        <w:t xml:space="preserve">PARITY EMPLOYER</w:t>
      </w:r>
    </w:p>
    <w:p>
      <w:pPr>
        <w:spacing w:before="200" w:after="60"/>
      </w:pPr>
      <w:r>
        <w:rPr>
          <w:rFonts w:ascii="Arial" w:cs="Arial" w:eastAsia="Arial" w:hAnsi="Arial"/>
          <w:b/>
          <w:bCs/>
          <w:i/>
          <w:iCs/>
          <w:color w:val="64748B"/>
          <w:sz w:val="20"/>
          <w:szCs w:val="20"/>
        </w:rPr>
        <w:t xml:space="preserve">For HR directors and benefits managers at self-insured companies</w:t>
      </w:r>
    </w:p>
    <w:p>
      <w:pPr>
        <w:spacing w:before="80" w:after="120"/>
      </w:pPr>
      <w:r>
        <w:rPr>
          <w:rFonts w:ascii="Arial" w:cs="Arial" w:eastAsia="Arial" w:hAnsi="Arial"/>
          <w:color w:val="1E293B"/>
          <w:sz w:val="22"/>
          <w:szCs w:val="22"/>
        </w:rPr>
        <w:t xml:space="preserve">Self-insured employers carry significant financial risk — and make consequential plan decisions — with limited visibility into how their claims are actually being processed.</w:t>
      </w:r>
    </w:p>
    <w:p>
      <w:pPr>
        <w:pStyle w:val="ListParagraph"/>
        <w:numPr>
          <w:ilvl w:val="0"/>
          <w:numId w:val="2"/>
        </w:numPr>
        <w:spacing w:before="60" w:after="60"/>
      </w:pPr>
      <w:r>
        <w:rPr>
          <w:rFonts w:ascii="Arial" w:cs="Arial" w:eastAsia="Arial" w:hAnsi="Arial"/>
          <w:color w:val="1E293B"/>
          <w:sz w:val="22"/>
          <w:szCs w:val="22"/>
        </w:rPr>
        <w:t xml:space="preserve">Benchmark your claims against Medicare rates by procedure, provider, and geography</w:t>
      </w:r>
    </w:p>
    <w:p>
      <w:pPr>
        <w:pStyle w:val="ListParagraph"/>
        <w:numPr>
          <w:ilvl w:val="0"/>
          <w:numId w:val="2"/>
        </w:numPr>
        <w:spacing w:before="60" w:after="60"/>
      </w:pPr>
      <w:r>
        <w:rPr>
          <w:rFonts w:ascii="Arial" w:cs="Arial" w:eastAsia="Arial" w:hAnsi="Arial"/>
          <w:color w:val="1E293B"/>
          <w:sz w:val="22"/>
          <w:szCs w:val="22"/>
        </w:rPr>
        <w:t xml:space="preserve">Identify variance in how your 835 data compares to contracted and benchmark rates</w:t>
      </w:r>
    </w:p>
    <w:p>
      <w:pPr>
        <w:pStyle w:val="ListParagraph"/>
        <w:numPr>
          <w:ilvl w:val="0"/>
          <w:numId w:val="2"/>
        </w:numPr>
        <w:spacing w:before="60" w:after="60"/>
      </w:pPr>
      <w:r>
        <w:rPr>
          <w:rFonts w:ascii="Arial" w:cs="Arial" w:eastAsia="Arial" w:hAnsi="Arial"/>
          <w:color w:val="1E293B"/>
          <w:sz w:val="22"/>
          <w:szCs w:val="22"/>
        </w:rPr>
        <w:t xml:space="preserve">Benchmark your pharmacy spend against NADAC drug acquisition costs</w:t>
      </w:r>
    </w:p>
    <w:p>
      <w:pPr>
        <w:pStyle w:val="ListParagraph"/>
        <w:numPr>
          <w:ilvl w:val="0"/>
          <w:numId w:val="2"/>
        </w:numPr>
        <w:spacing w:before="60" w:after="60"/>
      </w:pPr>
      <w:r>
        <w:rPr>
          <w:rFonts w:ascii="Arial" w:cs="Arial" w:eastAsia="Arial" w:hAnsi="Arial"/>
          <w:color w:val="1E293B"/>
          <w:sz w:val="22"/>
          <w:szCs w:val="22"/>
        </w:rPr>
        <w:t xml:space="preserve">Get a plain-language analysis your CFO and benefits committee can act on</w:t>
      </w:r>
    </w:p>
    <w:p>
      <w:pPr>
        <w:spacing w:before="100" w:after="60"/>
      </w:pPr>
      <w:r>
        <w:rPr>
          <w:rFonts w:ascii="Arial" w:cs="Arial" w:eastAsia="Arial" w:hAnsi="Arial"/>
          <w:b/>
          <w:bCs/>
          <w:color w:val="0D9488"/>
          <w:sz w:val="22"/>
          <w:szCs w:val="22"/>
        </w:rPr>
        <w:t xml:space="preserve">▶  Start Free Trial →     ▶  See a Demo →</w:t>
      </w:r>
    </w:p>
    <w:p>
      <w:pPr>
        <w:spacing w:before="240" w:after="80"/>
      </w:pPr>
      <w:r>
        <w:rPr>
          <w:rFonts w:ascii="Arial" w:cs="Arial" w:eastAsia="Arial" w:hAnsi="Arial"/>
          <w:b/>
          <w:bCs/>
          <w:color w:val="1E293B"/>
          <w:sz w:val="24"/>
          <w:szCs w:val="24"/>
        </w:rPr>
        <w:t xml:space="preserve">PARITY BROKER</w:t>
      </w:r>
    </w:p>
    <w:p>
      <w:pPr>
        <w:spacing w:before="200" w:after="60"/>
      </w:pPr>
      <w:r>
        <w:rPr>
          <w:rFonts w:ascii="Arial" w:cs="Arial" w:eastAsia="Arial" w:hAnsi="Arial"/>
          <w:b/>
          <w:bCs/>
          <w:i/>
          <w:iCs/>
          <w:color w:val="64748B"/>
          <w:sz w:val="20"/>
          <w:szCs w:val="20"/>
        </w:rPr>
        <w:t xml:space="preserve">For independent benefits brokers — integrated with Employer</w:t>
      </w:r>
    </w:p>
    <w:p>
      <w:pPr>
        <w:spacing w:before="80" w:after="120"/>
      </w:pPr>
      <w:r>
        <w:rPr>
          <w:rFonts w:ascii="Arial" w:cs="Arial" w:eastAsia="Arial" w:hAnsi="Arial"/>
          <w:color w:val="1E293B"/>
          <w:sz w:val="22"/>
          <w:szCs w:val="22"/>
        </w:rPr>
        <w:t xml:space="preserve">Independent brokers serve their clients best when they bring data to every conversation — at renewal, at benchmarking, and at plan design. Until now, assembling that data required resources most independent firms don’t have.</w:t>
      </w:r>
    </w:p>
    <w:p>
      <w:pPr>
        <w:pStyle w:val="ListParagraph"/>
        <w:numPr>
          <w:ilvl w:val="0"/>
          <w:numId w:val="2"/>
        </w:numPr>
        <w:spacing w:before="60" w:after="60"/>
      </w:pPr>
      <w:r>
        <w:rPr>
          <w:rFonts w:ascii="Arial" w:cs="Arial" w:eastAsia="Arial" w:hAnsi="Arial"/>
          <w:color w:val="1E293B"/>
          <w:sz w:val="22"/>
          <w:szCs w:val="22"/>
        </w:rPr>
        <w:t xml:space="preserve">Benchmark any prospective client’s plan in minutes — before you win the account</w:t>
      </w:r>
    </w:p>
    <w:p>
      <w:pPr>
        <w:pStyle w:val="ListParagraph"/>
        <w:numPr>
          <w:ilvl w:val="0"/>
          <w:numId w:val="2"/>
        </w:numPr>
        <w:spacing w:before="60" w:after="60"/>
      </w:pPr>
      <w:r>
        <w:rPr>
          <w:rFonts w:ascii="Arial" w:cs="Arial" w:eastAsia="Arial" w:hAnsi="Arial"/>
          <w:color w:val="1E293B"/>
          <w:sz w:val="22"/>
          <w:szCs w:val="22"/>
        </w:rPr>
        <w:t xml:space="preserve">Upload 835 claims data and get a full Level 2 analysis to bring to renewals</w:t>
      </w:r>
    </w:p>
    <w:p>
      <w:pPr>
        <w:pStyle w:val="ListParagraph"/>
        <w:numPr>
          <w:ilvl w:val="0"/>
          <w:numId w:val="2"/>
        </w:numPr>
        <w:spacing w:before="60" w:after="60"/>
      </w:pPr>
      <w:r>
        <w:rPr>
          <w:rFonts w:ascii="Arial" w:cs="Arial" w:eastAsia="Arial" w:hAnsi="Arial"/>
          <w:color w:val="1E293B"/>
          <w:sz w:val="22"/>
          <w:szCs w:val="22"/>
        </w:rPr>
        <w:t xml:space="preserve">Generate CAA-compliant data request letters automatically</w:t>
      </w:r>
    </w:p>
    <w:p>
      <w:pPr>
        <w:pStyle w:val="ListParagraph"/>
        <w:numPr>
          <w:ilvl w:val="0"/>
          <w:numId w:val="2"/>
        </w:numPr>
        <w:spacing w:before="60" w:after="60"/>
      </w:pPr>
      <w:r>
        <w:rPr>
          <w:rFonts w:ascii="Arial" w:cs="Arial" w:eastAsia="Arial" w:hAnsi="Arial"/>
          <w:color w:val="1E293B"/>
          <w:sz w:val="22"/>
          <w:szCs w:val="22"/>
        </w:rPr>
        <w:t xml:space="preserve">Track your entire book of business in one dashboard</w:t>
      </w:r>
    </w:p>
    <w:p>
      <w:pPr>
        <w:spacing w:before="100" w:after="60"/>
      </w:pPr>
      <w:r>
        <w:rPr>
          <w:rFonts w:ascii="Arial" w:cs="Arial" w:eastAsia="Arial" w:hAnsi="Arial"/>
          <w:b/>
          <w:bCs/>
          <w:color w:val="0D9488"/>
          <w:sz w:val="22"/>
          <w:szCs w:val="22"/>
        </w:rPr>
        <w:t xml:space="preserve">▶  Get Started Free →     ▶  See a Demo →</w:t>
      </w:r>
    </w:p>
    <w:p>
      <w:pPr>
        <w:spacing w:before="240" w:after="80"/>
      </w:pPr>
      <w:r>
        <w:rPr>
          <w:rFonts w:ascii="Arial" w:cs="Arial" w:eastAsia="Arial" w:hAnsi="Arial"/>
          <w:b/>
          <w:bCs/>
          <w:color w:val="1E293B"/>
          <w:sz w:val="24"/>
          <w:szCs w:val="24"/>
        </w:rPr>
        <w:t xml:space="preserve">PARITY PROVIDER</w:t>
      </w:r>
    </w:p>
    <w:p>
      <w:pPr>
        <w:spacing w:before="200" w:after="60"/>
      </w:pPr>
      <w:r>
        <w:rPr>
          <w:rFonts w:ascii="Arial" w:cs="Arial" w:eastAsia="Arial" w:hAnsi="Arial"/>
          <w:b/>
          <w:bCs/>
          <w:i/>
          <w:iCs/>
          <w:color w:val="64748B"/>
          <w:sz w:val="20"/>
          <w:szCs w:val="20"/>
        </w:rPr>
        <w:t xml:space="preserve">For physician practices and billing directors — at provider.civicscale.ai</w:t>
      </w:r>
    </w:p>
    <w:p>
      <w:pPr>
        <w:spacing w:before="80" w:after="120"/>
      </w:pPr>
      <w:r>
        <w:rPr>
          <w:rFonts w:ascii="Arial" w:cs="Arial" w:eastAsia="Arial" w:hAnsi="Arial"/>
          <w:color w:val="1E293B"/>
          <w:sz w:val="22"/>
          <w:szCs w:val="22"/>
        </w:rPr>
        <w:t xml:space="preserve">Physician practices negotiate contracts carefully — but verifying payer adherence to those contracts across hundreds of monthly remittances is beyond the capacity of most billing teams.</w:t>
      </w:r>
    </w:p>
    <w:p>
      <w:pPr>
        <w:pStyle w:val="ListParagraph"/>
        <w:numPr>
          <w:ilvl w:val="0"/>
          <w:numId w:val="2"/>
        </w:numPr>
        <w:spacing w:before="60" w:after="60"/>
      </w:pPr>
      <w:r>
        <w:rPr>
          <w:rFonts w:ascii="Arial" w:cs="Arial" w:eastAsia="Arial" w:hAnsi="Arial"/>
          <w:color w:val="1E293B"/>
          <w:sz w:val="22"/>
          <w:szCs w:val="22"/>
        </w:rPr>
        <w:t xml:space="preserve">Upload your 835 remittance files and compare payments against your contracted rates systematically</w:t>
      </w:r>
    </w:p>
    <w:p>
      <w:pPr>
        <w:pStyle w:val="ListParagraph"/>
        <w:numPr>
          <w:ilvl w:val="0"/>
          <w:numId w:val="2"/>
        </w:numPr>
        <w:spacing w:before="60" w:after="60"/>
      </w:pPr>
      <w:r>
        <w:rPr>
          <w:rFonts w:ascii="Arial" w:cs="Arial" w:eastAsia="Arial" w:hAnsi="Arial"/>
          <w:color w:val="1E293B"/>
          <w:sz w:val="22"/>
          <w:szCs w:val="22"/>
        </w:rPr>
        <w:t xml:space="preserve">Understand denial patterns by payer and reason code — with appeal-worthiness context</w:t>
      </w:r>
    </w:p>
    <w:p>
      <w:pPr>
        <w:pStyle w:val="ListParagraph"/>
        <w:numPr>
          <w:ilvl w:val="0"/>
          <w:numId w:val="2"/>
        </w:numPr>
        <w:spacing w:before="60" w:after="60"/>
      </w:pPr>
      <w:r>
        <w:rPr>
          <w:rFonts w:ascii="Arial" w:cs="Arial" w:eastAsia="Arial" w:hAnsi="Arial"/>
          <w:color w:val="1E293B"/>
          <w:sz w:val="22"/>
          <w:szCs w:val="22"/>
        </w:rPr>
        <w:t xml:space="preserve">Generate AI-drafted appeal letters grounded in specific CMS guidelines and your contract terms</w:t>
      </w:r>
    </w:p>
    <w:p>
      <w:pPr>
        <w:pStyle w:val="ListParagraph"/>
        <w:numPr>
          <w:ilvl w:val="0"/>
          <w:numId w:val="2"/>
        </w:numPr>
        <w:spacing w:before="60" w:after="60"/>
      </w:pPr>
      <w:r>
        <w:rPr>
          <w:rFonts w:ascii="Arial" w:cs="Arial" w:eastAsia="Arial" w:hAnsi="Arial"/>
          <w:color w:val="1E293B"/>
          <w:sz w:val="22"/>
          <w:szCs w:val="22"/>
        </w:rPr>
        <w:t xml:space="preserve">Track contract adherence trends month over month</w:t>
      </w:r>
    </w:p>
    <w:p>
      <w:pPr>
        <w:spacing w:before="100" w:after="60"/>
      </w:pPr>
      <w:r>
        <w:rPr>
          <w:rFonts w:ascii="Arial" w:cs="Arial" w:eastAsia="Arial" w:hAnsi="Arial"/>
          <w:b/>
          <w:bCs/>
          <w:color w:val="0D9488"/>
          <w:sz w:val="22"/>
          <w:szCs w:val="22"/>
        </w:rPr>
        <w:t xml:space="preserve">▶  Request a Demo →  — links to provider.civicscale.ai</w:t>
      </w:r>
    </w:p>
    <w:p>
      <w:pPr>
        <w:spacing w:before="240" w:after="80"/>
      </w:pPr>
      <w:r>
        <w:rPr>
          <w:rFonts w:ascii="Arial" w:cs="Arial" w:eastAsia="Arial" w:hAnsi="Arial"/>
          <w:b/>
          <w:bCs/>
          <w:color w:val="1E293B"/>
          <w:sz w:val="24"/>
          <w:szCs w:val="24"/>
        </w:rPr>
        <w:t xml:space="preserve">PARITY HEALTH</w:t>
      </w:r>
    </w:p>
    <w:p>
      <w:pPr>
        <w:spacing w:before="200" w:after="60"/>
      </w:pPr>
      <w:r>
        <w:rPr>
          <w:rFonts w:ascii="Arial" w:cs="Arial" w:eastAsia="Arial" w:hAnsi="Arial"/>
          <w:b/>
          <w:bCs/>
          <w:i/>
          <w:iCs/>
          <w:color w:val="64748B"/>
          <w:sz w:val="20"/>
          <w:szCs w:val="20"/>
        </w:rPr>
        <w:t xml:space="preserve">For patients and consumers — at health.civicscale.ai</w:t>
      </w:r>
    </w:p>
    <w:p>
      <w:pPr>
        <w:spacing w:before="80" w:after="120"/>
      </w:pPr>
      <w:r>
        <w:rPr>
          <w:rFonts w:ascii="Arial" w:cs="Arial" w:eastAsia="Arial" w:hAnsi="Arial"/>
          <w:color w:val="1E293B"/>
          <w:sz w:val="22"/>
          <w:szCs w:val="22"/>
        </w:rPr>
        <w:t xml:space="preserve">Medical bills and insurance denials arrive with limited explanation. Understanding them — and knowing whether to act — shouldn’t require a billing specialist.</w:t>
      </w:r>
    </w:p>
    <w:p>
      <w:pPr>
        <w:pStyle w:val="ListParagraph"/>
        <w:numPr>
          <w:ilvl w:val="0"/>
          <w:numId w:val="2"/>
        </w:numPr>
        <w:spacing w:before="60" w:after="60"/>
      </w:pPr>
      <w:r>
        <w:rPr>
          <w:rFonts w:ascii="Arial" w:cs="Arial" w:eastAsia="Arial" w:hAnsi="Arial"/>
          <w:color w:val="1E293B"/>
          <w:sz w:val="22"/>
          <w:szCs w:val="22"/>
        </w:rPr>
        <w:t xml:space="preserve">Upload any itemized bill and see how each charge compares to Medicare benchmark rates</w:t>
      </w:r>
    </w:p>
    <w:p>
      <w:pPr>
        <w:pStyle w:val="ListParagraph"/>
        <w:numPr>
          <w:ilvl w:val="0"/>
          <w:numId w:val="2"/>
        </w:numPr>
        <w:spacing w:before="60" w:after="60"/>
      </w:pPr>
      <w:r>
        <w:rPr>
          <w:rFonts w:ascii="Arial" w:cs="Arial" w:eastAsia="Arial" w:hAnsi="Arial"/>
          <w:color w:val="1E293B"/>
          <w:sz w:val="22"/>
          <w:szCs w:val="22"/>
        </w:rPr>
        <w:t xml:space="preserve">Upload a denial letter and get a plain-language explanation of the reasoning behind it — and whether it’s worth appealing</w:t>
      </w:r>
    </w:p>
    <w:p>
      <w:pPr>
        <w:pStyle w:val="ListParagraph"/>
        <w:numPr>
          <w:ilvl w:val="0"/>
          <w:numId w:val="2"/>
        </w:numPr>
        <w:spacing w:before="60" w:after="60"/>
      </w:pPr>
      <w:r>
        <w:rPr>
          <w:rFonts w:ascii="Arial" w:cs="Arial" w:eastAsia="Arial" w:hAnsi="Arial"/>
          <w:color w:val="1E293B"/>
          <w:sz w:val="22"/>
          <w:szCs w:val="22"/>
        </w:rPr>
        <w:t xml:space="preserve">Generate a formal appeal letter built around the specific criterion your insurer cited</w:t>
      </w:r>
    </w:p>
    <w:p>
      <w:pPr>
        <w:spacing w:before="100" w:after="60"/>
      </w:pPr>
      <w:r>
        <w:rPr>
          <w:rFonts w:ascii="Arial" w:cs="Arial" w:eastAsia="Arial" w:hAnsi="Arial"/>
          <w:b/>
          <w:bCs/>
          <w:color w:val="0D9488"/>
          <w:sz w:val="22"/>
          <w:szCs w:val="22"/>
        </w:rPr>
        <w:t xml:space="preserve">▶  Analyze My Bill →     ▶  Analyze My Denial →  — links to health.civicscale.ai</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4. WHAT MAKES US DIFFERENT</w:t>
      </w:r>
    </w:p>
    <w:p>
      <w:pPr>
        <w:pStyle w:val="Heading2"/>
        <w:spacing w:before="360" w:after="120"/>
      </w:pPr>
      <w:r>
        <w:rPr>
          <w:rFonts w:ascii="Arial" w:cs="Arial" w:eastAsia="Arial" w:hAnsi="Arial"/>
          <w:b/>
          <w:bCs/>
          <w:color w:val="0D9488"/>
          <w:sz w:val="28"/>
          <w:szCs w:val="28"/>
        </w:rPr>
        <w:t xml:space="preserve">The Parity Engine</w:t>
      </w:r>
    </w:p>
    <w:p>
      <w:pPr>
        <w:spacing w:before="80" w:after="120"/>
      </w:pPr>
      <w:r>
        <w:rPr>
          <w:rFonts w:ascii="Arial" w:cs="Arial" w:eastAsia="Arial" w:hAnsi="Arial"/>
          <w:color w:val="1E293B"/>
          <w:sz w:val="22"/>
          <w:szCs w:val="22"/>
        </w:rPr>
        <w:t xml:space="preserve">Most analytics tools in healthcare billing are rules-based: they apply fixed logic to structured data and produce tables. They work well when data is clean and complete. They don’t read a PDF, interpret a denial letter, or explain what a finding means for someone who isn’t a billing specialist.</w:t>
      </w:r>
    </w:p>
    <w:p>
      <w:pPr>
        <w:spacing w:before="80" w:after="120"/>
      </w:pPr>
      <w:r>
        <w:rPr>
          <w:rFonts w:ascii="Arial" w:cs="Arial" w:eastAsia="Arial" w:hAnsi="Arial"/>
          <w:color w:val="1E293B"/>
          <w:sz w:val="22"/>
          <w:szCs w:val="22"/>
        </w:rPr>
        <w:t xml:space="preserve">The Parity Engine is built differently.</w:t>
      </w:r>
    </w:p>
    <w:p>
      <w:pPr>
        <w:spacing w:before="80" w:after="120"/>
      </w:pPr>
      <w:r>
        <w:rPr>
          <w:rFonts w:ascii="Arial" w:cs="Arial" w:eastAsia="Arial" w:hAnsi="Arial"/>
          <w:color w:val="1E293B"/>
          <w:sz w:val="22"/>
          <w:szCs w:val="22"/>
        </w:rPr>
        <w:t xml:space="preserve">It accepts any document format — 835 EDI files, PDFs, spreadsheets, screenshots, pasted text — and extracts structured data that feeds the same analytical pipeline regardless of how the information arrived. It applies 841,000 CMS physician fee schedule rates, 2.2 million NCCI edit pairs, and current NADAC drug acquisition costs to every analysis. Every output includes a plain-language explanation written for the person who needs to act on it.</w:t>
      </w:r>
    </w:p>
    <w:p>
      <w:pPr>
        <w:spacing w:before="240" w:after="80"/>
      </w:pPr>
      <w:r>
        <w:rPr>
          <w:rFonts w:ascii="Arial" w:cs="Arial" w:eastAsia="Arial" w:hAnsi="Arial"/>
          <w:b/>
          <w:bCs/>
          <w:color w:val="1E293B"/>
          <w:sz w:val="24"/>
          <w:szCs w:val="24"/>
        </w:rPr>
        <w:t xml:space="preserve">Analytical Paths</w:t>
      </w:r>
    </w:p>
    <w:p>
      <w:pPr>
        <w:spacing w:before="80" w:after="120"/>
      </w:pPr>
      <w:r>
        <w:rPr>
          <w:rFonts w:ascii="Arial" w:cs="Arial" w:eastAsia="Arial" w:hAnsi="Arial"/>
          <w:color w:val="1E293B"/>
          <w:sz w:val="22"/>
          <w:szCs w:val="22"/>
        </w:rPr>
        <w:t xml:space="preserve">The deepest capability is what we call Analytical Paths.</w:t>
      </w:r>
    </w:p>
    <w:p>
      <w:pPr>
        <w:spacing w:before="80" w:after="120"/>
      </w:pPr>
      <w:r>
        <w:rPr>
          <w:rFonts w:ascii="Arial" w:cs="Arial" w:eastAsia="Arial" w:hAnsi="Arial"/>
          <w:color w:val="1E293B"/>
          <w:sz w:val="22"/>
          <w:szCs w:val="22"/>
        </w:rPr>
        <w:t xml:space="preserve">When two parties reach different conclusions from the same data — a payer and a provider on a denied claim, a carrier and an employer on a contract rate — the difference is almost always in the analytical weights each applied: which factors they emphasized, which they de-prioritized, and what assumptions those choices required. These choices are rarely made visible.</w:t>
      </w:r>
    </w:p>
    <w:p>
      <w:pPr>
        <w:spacing w:before="80" w:after="120"/>
      </w:pPr>
      <w:r>
        <w:rPr>
          <w:rFonts w:ascii="Arial" w:cs="Arial" w:eastAsia="Arial" w:hAnsi="Arial"/>
          <w:color w:val="1E293B"/>
          <w:sz w:val="22"/>
          <w:szCs w:val="22"/>
        </w:rPr>
        <w:t xml:space="preserve">Analytical Paths surfaces them. In denial management, it identifies the specific analytical path a payer followed — which factors drove the decision, what the denial position assumes about the clinical record, and where documentation exists that addresses those assumptions directly. An appeal built on this analysis can respond to the actual reasoning, not just the outcome.</w:t>
      </w:r>
    </w:p>
    <w:p>
      <w:pPr>
        <w:spacing w:before="80" w:after="120"/>
      </w:pPr>
      <w:r>
        <w:rPr>
          <w:rFonts w:ascii="Arial" w:cs="Arial" w:eastAsia="Arial" w:hAnsi="Arial"/>
          <w:color w:val="1E293B"/>
          <w:sz w:val="22"/>
          <w:szCs w:val="22"/>
        </w:rPr>
        <w:t xml:space="preserve">This is what makes the difference between a tool that reports what happened and one that helps you understand why — and what to do about it.</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5. THE COST CURVE</w:t>
      </w:r>
    </w:p>
    <w:p>
      <w:pPr>
        <w:pStyle w:val="Heading2"/>
        <w:spacing w:before="360" w:after="120"/>
      </w:pPr>
      <w:r>
        <w:rPr>
          <w:rFonts w:ascii="Arial" w:cs="Arial" w:eastAsia="Arial" w:hAnsi="Arial"/>
          <w:b/>
          <w:bCs/>
          <w:color w:val="0D9488"/>
          <w:sz w:val="28"/>
          <w:szCs w:val="28"/>
        </w:rPr>
        <w:t xml:space="preserve">What AI actually changes</w:t>
      </w:r>
    </w:p>
    <w:p>
      <w:pPr>
        <w:spacing w:before="80" w:after="120"/>
      </w:pPr>
      <w:r>
        <w:rPr>
          <w:rFonts w:ascii="Arial" w:cs="Arial" w:eastAsia="Arial" w:hAnsi="Arial"/>
          <w:color w:val="1E293B"/>
          <w:sz w:val="22"/>
          <w:szCs w:val="22"/>
        </w:rPr>
        <w:t xml:space="preserve">The analytical work CivicScale performs isn’t new. Physician practices have always been able to hire billing attorneys to audit payer contracts. Self-insured employers have always been able to engage benefits consultants to benchmark their claims. Patients have always been able to retain advocates to fight denials.</w:t>
      </w:r>
    </w:p>
    <w:p>
      <w:pPr>
        <w:spacing w:before="80" w:after="120"/>
      </w:pPr>
      <w:r>
        <w:rPr>
          <w:rFonts w:ascii="Arial" w:cs="Arial" w:eastAsia="Arial" w:hAnsi="Arial"/>
          <w:color w:val="1E293B"/>
          <w:sz w:val="22"/>
          <w:szCs w:val="22"/>
        </w:rPr>
        <w:t xml:space="preserve">The barrier was never knowledge. It was cost.</w:t>
      </w:r>
    </w:p>
    <w:p>
      <w:pPr>
        <w:spacing w:before="80" w:after="120"/>
      </w:pPr>
      <w:r>
        <w:rPr>
          <w:rFonts w:ascii="Arial" w:cs="Arial" w:eastAsia="Arial" w:hAnsi="Arial"/>
          <w:color w:val="1E293B"/>
          <w:sz w:val="22"/>
          <w:szCs w:val="22"/>
        </w:rPr>
        <w:t xml:space="preserve">A thorough contract compliance audit from a specialized revenue cycle firm runs tens of thousands of dollars. A benefits consultant engagement for a mid-size employer can exceed six figures annually. A billing advocate charges by the hour for work that most patients need done once, urgently, without warning.</w:t>
      </w:r>
    </w:p>
    <w:p>
      <w:pPr>
        <w:spacing w:before="80" w:after="120"/>
      </w:pPr>
      <w:r>
        <w:rPr>
          <w:rFonts w:ascii="Arial" w:cs="Arial" w:eastAsia="Arial" w:hAnsi="Arial"/>
          <w:color w:val="1E293B"/>
          <w:sz w:val="22"/>
          <w:szCs w:val="22"/>
        </w:rPr>
        <w:t xml:space="preserve">AI doesn’t replace that expertise. What it does is make a substantial portion of that analytical work available at a cost that any employer, any practice, and any patient can access — without a procurement process, without a retainer, and without waiting.</w:t>
      </w:r>
    </w:p>
    <w:p>
      <w:pPr>
        <w:spacing w:before="80" w:after="120"/>
      </w:pPr>
      <w:r>
        <w:rPr>
          <w:rFonts w:ascii="Arial" w:cs="Arial" w:eastAsia="Arial" w:hAnsi="Arial"/>
          <w:color w:val="1E293B"/>
          <w:sz w:val="22"/>
          <w:szCs w:val="22"/>
        </w:rPr>
        <w:t xml:space="preserve">This is what democratization looks like in practice: not a better version of the same tool, but the same category of analytical capability made available to everyone it was previously priced out of reach for.</w:t>
      </w:r>
    </w:p>
    <w:p>
      <w:pPr>
        <w:spacing w:before="80" w:after="120"/>
      </w:pPr>
      <w:r>
        <w:rPr>
          <w:rFonts w:ascii="Arial" w:cs="Arial" w:eastAsia="Arial" w:hAnsi="Arial"/>
          <w:color w:val="1E293B"/>
          <w:sz w:val="22"/>
          <w:szCs w:val="22"/>
        </w:rPr>
        <w:t xml:space="preserve">The incumbent systems will adapt. The cost curve doesn’t reverse. And the patients, practices, and employers who previously had no access to this kind of analysis now do.</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6. WHY NOT JUST ASK AN AI?</w:t>
      </w:r>
    </w:p>
    <w:p>
      <w:pPr>
        <w:pStyle w:val="Heading2"/>
        <w:spacing w:before="360" w:after="120"/>
      </w:pPr>
      <w:r>
        <w:rPr>
          <w:rFonts w:ascii="Arial" w:cs="Arial" w:eastAsia="Arial" w:hAnsi="Arial"/>
          <w:b/>
          <w:bCs/>
          <w:color w:val="0D9488"/>
          <w:sz w:val="28"/>
          <w:szCs w:val="28"/>
        </w:rPr>
        <w:t xml:space="preserve">General intelligence vs. specific infrastructure</w:t>
      </w:r>
    </w:p>
    <w:p>
      <w:pPr>
        <w:spacing w:before="80" w:after="120"/>
      </w:pPr>
      <w:r>
        <w:rPr>
          <w:rFonts w:ascii="Arial" w:cs="Arial" w:eastAsia="Arial" w:hAnsi="Arial"/>
          <w:color w:val="1E293B"/>
          <w:sz w:val="22"/>
          <w:szCs w:val="22"/>
        </w:rPr>
        <w:t xml:space="preserve">It’s a fair question. AI tools are widely available, increasingly capable, and free or nearly free to access. Why use CivicScale when you can ask ChatGPT?</w:t>
      </w:r>
    </w:p>
    <w:p>
      <w:pPr>
        <w:spacing w:before="80" w:after="120"/>
      </w:pPr>
      <w:r>
        <w:rPr>
          <w:rFonts w:ascii="Arial" w:cs="Arial" w:eastAsia="Arial" w:hAnsi="Arial"/>
          <w:color w:val="1E293B"/>
          <w:sz w:val="22"/>
          <w:szCs w:val="22"/>
        </w:rPr>
        <w:t xml:space="preserve">The honest answer is that general-purpose AI is genuinely useful for understanding how healthcare billing works. For getting a specific, actionable finding about your situation, it has structural limitations — and CivicScale is built to address each one.</w:t>
      </w:r>
    </w:p>
    <w:p>
      <w:pPr>
        <w:spacing w:before="240" w:after="80"/>
      </w:pPr>
      <w:r>
        <w:rPr>
          <w:rFonts w:ascii="Arial" w:cs="Arial" w:eastAsia="Arial" w:hAnsi="Arial"/>
          <w:b/>
          <w:bCs/>
          <w:color w:val="1E293B"/>
          <w:sz w:val="24"/>
          <w:szCs w:val="24"/>
        </w:rPr>
        <w:t xml:space="preserve">It doesn’t have your data</w:t>
      </w:r>
    </w:p>
    <w:p>
      <w:pPr>
        <w:spacing w:before="80" w:after="120"/>
      </w:pPr>
      <w:r>
        <w:rPr>
          <w:rFonts w:ascii="Arial" w:cs="Arial" w:eastAsia="Arial" w:hAnsi="Arial"/>
          <w:color w:val="1E293B"/>
          <w:sz w:val="22"/>
          <w:szCs w:val="22"/>
        </w:rPr>
        <w:t xml:space="preserve">The finding that matters isn’t “how does Medicare benchmark CPT 99214.” It’s “here is how your specific charge, from this specific payer, in this specific geography, compares to the current benchmark.” That analysis requires your 835 file, your EOB, or your denial letter. General-purpose AI has none of it.</w:t>
      </w:r>
    </w:p>
    <w:p>
      <w:pPr>
        <w:spacing w:before="240" w:after="80"/>
      </w:pPr>
      <w:r>
        <w:rPr>
          <w:rFonts w:ascii="Arial" w:cs="Arial" w:eastAsia="Arial" w:hAnsi="Arial"/>
          <w:b/>
          <w:bCs/>
          <w:color w:val="1E293B"/>
          <w:sz w:val="24"/>
          <w:szCs w:val="24"/>
        </w:rPr>
        <w:t xml:space="preserve">It doesn’t have current reference data</w:t>
      </w:r>
    </w:p>
    <w:p>
      <w:pPr>
        <w:spacing w:before="80" w:after="120"/>
      </w:pPr>
      <w:r>
        <w:rPr>
          <w:rFonts w:ascii="Arial" w:cs="Arial" w:eastAsia="Arial" w:hAnsi="Arial"/>
          <w:color w:val="1E293B"/>
          <w:sz w:val="22"/>
          <w:szCs w:val="22"/>
        </w:rPr>
        <w:t xml:space="preserve">The Parity Engine queries live CMS fee schedules, current NADAC drug acquisition costs, and updated NCCI edit pairs at the moment of analysis. General-purpose AI works from training data with a fixed cutoff. In a domain where rates change annually and locality adjustments matter, that distinction is the difference between a benchmark and a guess.</w:t>
      </w:r>
    </w:p>
    <w:p>
      <w:pPr>
        <w:spacing w:before="240" w:after="80"/>
      </w:pPr>
      <w:r>
        <w:rPr>
          <w:rFonts w:ascii="Arial" w:cs="Arial" w:eastAsia="Arial" w:hAnsi="Arial"/>
          <w:b/>
          <w:bCs/>
          <w:color w:val="1E293B"/>
          <w:sz w:val="24"/>
          <w:szCs w:val="24"/>
        </w:rPr>
        <w:t xml:space="preserve">It produces a conversation, not a professional document</w:t>
      </w:r>
    </w:p>
    <w:p>
      <w:pPr>
        <w:spacing w:before="80" w:after="120"/>
      </w:pPr>
      <w:r>
        <w:rPr>
          <w:rFonts w:ascii="Arial" w:cs="Arial" w:eastAsia="Arial" w:hAnsi="Arial"/>
          <w:color w:val="1E293B"/>
          <w:sz w:val="22"/>
          <w:szCs w:val="22"/>
        </w:rPr>
        <w:t xml:space="preserve">A CivicScale output is a signed, formatted, citable document — a PDF audit report, a CAA-compliant letter addressed to a specific carrier, an appeal that references a specific CMS guideline by number. A broker cannot show a client a ChatGPT conversation. They can show them a CivicScale benchmark report. For consequential decisions, the distance from “AI told me” to “here is the specific CMS reference that supports this position” is the distance between an opinion and an argument.</w:t>
      </w:r>
    </w:p>
    <w:p>
      <w:pPr>
        <w:spacing w:before="240" w:after="80"/>
      </w:pPr>
      <w:r>
        <w:rPr>
          <w:rFonts w:ascii="Arial" w:cs="Arial" w:eastAsia="Arial" w:hAnsi="Arial"/>
          <w:b/>
          <w:bCs/>
          <w:color w:val="1E293B"/>
          <w:sz w:val="24"/>
          <w:szCs w:val="24"/>
        </w:rPr>
        <w:t xml:space="preserve">It doesn’t maintain analytical state</w:t>
      </w:r>
    </w:p>
    <w:p>
      <w:pPr>
        <w:spacing w:before="80" w:after="120"/>
      </w:pPr>
      <w:r>
        <w:rPr>
          <w:rFonts w:ascii="Arial" w:cs="Arial" w:eastAsia="Arial" w:hAnsi="Arial"/>
          <w:color w:val="1E293B"/>
          <w:sz w:val="22"/>
          <w:szCs w:val="22"/>
        </w:rPr>
        <w:t xml:space="preserve">The Parity Engine maintains analytical state over time. It compares your January remittance to your March remittance. It identifies that your denial rate with Aetna increased 12% between periods. It flags that a specific CPT code paid correctly in January is now being systematically underpaid. A chatbot cannot do this — it has no memory of January.</w:t>
      </w:r>
    </w:p>
    <w:p>
      <w:pPr>
        <w:spacing w:before="240" w:after="80"/>
      </w:pPr>
      <w:r>
        <w:rPr>
          <w:rFonts w:ascii="Arial" w:cs="Arial" w:eastAsia="Arial" w:hAnsi="Arial"/>
          <w:b/>
          <w:bCs/>
          <w:color w:val="1E293B"/>
          <w:sz w:val="24"/>
          <w:szCs w:val="24"/>
        </w:rPr>
        <w:t xml:space="preserve">It doesn’t accumulate</w:t>
      </w:r>
    </w:p>
    <w:p>
      <w:pPr>
        <w:spacing w:before="80" w:after="120"/>
      </w:pPr>
      <w:r>
        <w:rPr>
          <w:rFonts w:ascii="Arial" w:cs="Arial" w:eastAsia="Arial" w:hAnsi="Arial"/>
          <w:color w:val="1E293B"/>
          <w:sz w:val="22"/>
          <w:szCs w:val="22"/>
        </w:rPr>
        <w:t xml:space="preserve">Every analysis CivicScale performs contributes a structured observation to a proprietary benchmark database. Over time, the Parity Engine doesn’t just know what Medicare says CPT 99213 should cost — it knows what Cigna actually paid for it across thousands of real claims in specific geographies over time. That data point is worth more than any model. No amount of prompting any AI will ever produce it, because it requires the persistent infrastructure that transforms individual analyses into a continuously maintained analytical surface.</w:t>
      </w:r>
    </w:p>
    <w:p>
      <w:pPr>
        <w:spacing w:before="80" w:after="120"/>
      </w:pPr>
      <w:r>
        <w:rPr>
          <w:rFonts w:ascii="Arial" w:cs="Arial" w:eastAsia="Arial" w:hAnsi="Arial"/>
          <w:b/>
          <w:bCs/>
          <w:color w:val="1E293B"/>
          <w:sz w:val="22"/>
          <w:szCs w:val="22"/>
        </w:rPr>
        <w:t xml:space="preserve">The tools that made CivicScale possible are the same tools available to anyone. The workflow, the reference data, the professional document output, and the proprietary observations database are not.</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7. THE DATA FLYWHEEL</w:t>
      </w:r>
    </w:p>
    <w:p>
      <w:pPr>
        <w:pStyle w:val="Heading2"/>
        <w:spacing w:before="360" w:after="120"/>
      </w:pPr>
      <w:r>
        <w:rPr>
          <w:rFonts w:ascii="Arial" w:cs="Arial" w:eastAsia="Arial" w:hAnsi="Arial"/>
          <w:b/>
          <w:bCs/>
          <w:color w:val="0D9488"/>
          <w:sz w:val="28"/>
          <w:szCs w:val="28"/>
        </w:rPr>
        <w:t xml:space="preserve">Every analysis makes the next one more accurate</w:t>
      </w:r>
    </w:p>
    <w:p>
      <w:pPr>
        <w:spacing w:before="80" w:after="120"/>
      </w:pPr>
      <w:r>
        <w:rPr>
          <w:rFonts w:ascii="Arial" w:cs="Arial" w:eastAsia="Arial" w:hAnsi="Arial"/>
          <w:color w:val="1E293B"/>
          <w:sz w:val="22"/>
          <w:szCs w:val="22"/>
        </w:rPr>
        <w:t xml:space="preserve">Every bill analyzed through Parity Health contributes an anonymized benchmark observation to CivicScale’s commercial rate database — CPT code, amount, insurer, region, provider specialty. No patient name, no provider name, no personal information of any kind.</w:t>
      </w:r>
    </w:p>
    <w:p>
      <w:pPr>
        <w:spacing w:before="80" w:after="120"/>
      </w:pPr>
      <w:r>
        <w:rPr>
          <w:rFonts w:ascii="Arial" w:cs="Arial" w:eastAsia="Arial" w:hAnsi="Arial"/>
          <w:color w:val="1E293B"/>
          <w:sz w:val="22"/>
          <w:szCs w:val="22"/>
        </w:rPr>
        <w:t xml:space="preserve">Medicare rates are public. Hospital negotiated rates are becoming public. But what commercial insurers actually pay for outpatient physician services — broken down by insurer, procedure, and geography — exists nowhere. CivicScale is building that database from the ground up, one analysis at a time.</w:t>
      </w:r>
    </w:p>
    <w:p>
      <w:pPr>
        <w:spacing w:before="80" w:after="120"/>
      </w:pPr>
      <w:r>
        <w:rPr>
          <w:rFonts w:ascii="Arial" w:cs="Arial" w:eastAsia="Arial" w:hAnsi="Arial"/>
          <w:color w:val="1E293B"/>
          <w:sz w:val="22"/>
          <w:szCs w:val="22"/>
        </w:rPr>
        <w:t xml:space="preserve">At scale, this becomes the reference dataset that makes every future analysis more accurate, more local, and more actionable than anything built on public data alone. The advantage compounds with every user.</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8. THE BIGGER VISION</w:t>
      </w:r>
    </w:p>
    <w:p>
      <w:pPr>
        <w:pStyle w:val="Heading2"/>
        <w:spacing w:before="360" w:after="120"/>
      </w:pPr>
      <w:r>
        <w:rPr>
          <w:rFonts w:ascii="Arial" w:cs="Arial" w:eastAsia="Arial" w:hAnsi="Arial"/>
          <w:b/>
          <w:bCs/>
          <w:color w:val="0D9488"/>
          <w:sz w:val="28"/>
          <w:szCs w:val="28"/>
        </w:rPr>
        <w:t xml:space="preserve">Healthcare is where we start</w:t>
      </w:r>
    </w:p>
    <w:p>
      <w:pPr>
        <w:spacing w:before="80" w:after="120"/>
      </w:pPr>
      <w:r>
        <w:rPr>
          <w:rFonts w:ascii="Arial" w:cs="Arial" w:eastAsia="Arial" w:hAnsi="Arial"/>
          <w:color w:val="1E293B"/>
          <w:sz w:val="22"/>
          <w:szCs w:val="22"/>
        </w:rPr>
        <w:t xml:space="preserve">The same dynamic — complex rules, asymmetric data access, analytical infrastructure concentrated on one side of the transaction — exists in property tax assessment, insurance underwriting, utility rate classification, and financial services. In every case, the rules theoretically protect everyone. In every case, understanding them deeply favors those with the resources to do so.</w:t>
      </w:r>
    </w:p>
    <w:p>
      <w:pPr>
        <w:spacing w:before="80" w:after="120"/>
      </w:pPr>
      <w:r>
        <w:rPr>
          <w:rFonts w:ascii="Arial" w:cs="Arial" w:eastAsia="Arial" w:hAnsi="Arial"/>
          <w:color w:val="1E293B"/>
          <w:sz w:val="22"/>
          <w:szCs w:val="22"/>
        </w:rPr>
        <w:t xml:space="preserve">AI is changing that balance permanently. The analytical work that once required specialized expertise can now be performed at scale, in plain language, for anyone who needs it.</w:t>
      </w:r>
    </w:p>
    <w:p>
      <w:pPr>
        <w:spacing w:before="80" w:after="120"/>
      </w:pPr>
      <w:r>
        <w:rPr>
          <w:rFonts w:ascii="Arial" w:cs="Arial" w:eastAsia="Arial" w:hAnsi="Arial"/>
          <w:color w:val="1E293B"/>
          <w:sz w:val="22"/>
          <w:szCs w:val="22"/>
        </w:rPr>
        <w:t xml:space="preserve">CivicScale starts in healthcare because the conditions are particularly well-suited: Medicare provides a public reference price, price transparency regulations have made unprecedented amounts of data available, and the CAA and No Surprises Act are accelerating that trend. The Parity Engine is being built and validated here.</w:t>
      </w:r>
    </w:p>
    <w:p>
      <w:pPr>
        <w:spacing w:before="80" w:after="120"/>
      </w:pPr>
      <w:r>
        <w:rPr>
          <w:rFonts w:ascii="Arial" w:cs="Arial" w:eastAsia="Arial" w:hAnsi="Arial"/>
          <w:color w:val="1E293B"/>
          <w:sz w:val="22"/>
          <w:szCs w:val="22"/>
        </w:rPr>
        <w:t xml:space="preserve">But the same architecture — benchmark comparison, anomaly detection, Analytical Paths, plain-language explanation — applies wherever complex systems create information gaps. The mission is to make accurate, neutral analysis available to every party in every transaction where it matters.</w:t>
      </w:r>
    </w:p>
    <w:p>
      <w:pPr>
        <w:spacing w:before="360" w:after="120"/>
        <w:jc w:val="center"/>
      </w:pPr>
      <w:r>
        <w:rPr>
          <w:rFonts w:ascii="Arial" w:cs="Arial" w:eastAsia="Arial" w:hAnsi="Arial"/>
          <w:b/>
          <w:bCs/>
          <w:i/>
          <w:iCs/>
          <w:color w:val="0D9488"/>
          <w:sz w:val="26"/>
          <w:szCs w:val="26"/>
        </w:rPr>
        <w:t xml:space="preserve">The evidence should be clear. The numbers should be right.</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9. FOOTER CTAs</w:t>
      </w:r>
    </w:p>
    <w:p>
      <w:pPr>
        <w:spacing w:before="60" w:after="60"/>
      </w:pPr>
      <w:r>
        <w:rPr>
          <w:rFonts w:ascii="Arial" w:cs="Arial" w:eastAsia="Arial" w:hAnsi="Arial"/>
          <w:i/>
          <w:iCs/>
          <w:color w:val="64748B"/>
          <w:sz w:val="18"/>
          <w:szCs w:val="18"/>
        </w:rPr>
        <w:t xml:space="preserve">One per product. Consistent with CTA conventions throughout.</w:t>
      </w:r>
    </w:p>
    <w:p>
      <w:pPr>
        <w:spacing w:before="80" w:after="120"/>
      </w:pPr>
      <w:r>
        <w:rPr>
          <w:rFonts w:ascii="Arial" w:cs="Arial" w:eastAsia="Arial" w:hAnsi="Arial"/>
          <w:b/>
          <w:bCs/>
          <w:color w:val="1E293B"/>
          <w:sz w:val="22"/>
          <w:szCs w:val="22"/>
        </w:rPr>
        <w:t xml:space="preserve">For brokers:</w:t>
      </w:r>
    </w:p>
    <w:p>
      <w:pPr>
        <w:spacing w:before="100" w:after="60"/>
      </w:pPr>
      <w:r>
        <w:rPr>
          <w:rFonts w:ascii="Arial" w:cs="Arial" w:eastAsia="Arial" w:hAnsi="Arial"/>
          <w:b/>
          <w:bCs/>
          <w:color w:val="0D9488"/>
          <w:sz w:val="22"/>
          <w:szCs w:val="22"/>
        </w:rPr>
        <w:t xml:space="preserve">Get Started Free — no credit card required  →  /broker</w:t>
      </w:r>
    </w:p>
    <w:p>
      <w:pPr>
        <w:spacing w:before="80" w:after="120"/>
      </w:pPr>
      <w:r>
        <w:rPr>
          <w:rFonts w:ascii="Arial" w:cs="Arial" w:eastAsia="Arial" w:hAnsi="Arial"/>
          <w:b/>
          <w:bCs/>
          <w:color w:val="1E293B"/>
          <w:sz w:val="22"/>
          <w:szCs w:val="22"/>
        </w:rPr>
        <w:t xml:space="preserve">For employers:</w:t>
      </w:r>
    </w:p>
    <w:p>
      <w:pPr>
        <w:spacing w:before="100" w:after="60"/>
      </w:pPr>
      <w:r>
        <w:rPr>
          <w:rFonts w:ascii="Arial" w:cs="Arial" w:eastAsia="Arial" w:hAnsi="Arial"/>
          <w:b/>
          <w:bCs/>
          <w:color w:val="0D9488"/>
          <w:sz w:val="22"/>
          <w:szCs w:val="22"/>
        </w:rPr>
        <w:t xml:space="preserve">Start Your Free 30-Day Trial  →  /billing/employer</w:t>
      </w:r>
    </w:p>
    <w:p>
      <w:pPr>
        <w:spacing w:before="80" w:after="120"/>
      </w:pPr>
      <w:r>
        <w:rPr>
          <w:rFonts w:ascii="Arial" w:cs="Arial" w:eastAsia="Arial" w:hAnsi="Arial"/>
          <w:b/>
          <w:bCs/>
          <w:color w:val="1E293B"/>
          <w:sz w:val="22"/>
          <w:szCs w:val="22"/>
        </w:rPr>
        <w:t xml:space="preserve">For providers:</w:t>
      </w:r>
    </w:p>
    <w:p>
      <w:pPr>
        <w:spacing w:before="100" w:after="60"/>
      </w:pPr>
      <w:r>
        <w:rPr>
          <w:rFonts w:ascii="Arial" w:cs="Arial" w:eastAsia="Arial" w:hAnsi="Arial"/>
          <w:b/>
          <w:bCs/>
          <w:color w:val="0D9488"/>
          <w:sz w:val="22"/>
          <w:szCs w:val="22"/>
        </w:rPr>
        <w:t xml:space="preserve">Request a Demo  →  provider.civicscale.ai</w:t>
      </w:r>
    </w:p>
    <w:p>
      <w:pPr>
        <w:spacing w:before="80" w:after="120"/>
      </w:pPr>
      <w:r>
        <w:rPr>
          <w:rFonts w:ascii="Arial" w:cs="Arial" w:eastAsia="Arial" w:hAnsi="Arial"/>
          <w:b/>
          <w:bCs/>
          <w:color w:val="1E293B"/>
          <w:sz w:val="22"/>
          <w:szCs w:val="22"/>
        </w:rPr>
        <w:t xml:space="preserve">For patients:</w:t>
      </w:r>
    </w:p>
    <w:p>
      <w:pPr>
        <w:spacing w:before="100" w:after="60"/>
      </w:pPr>
      <w:r>
        <w:rPr>
          <w:rFonts w:ascii="Arial" w:cs="Arial" w:eastAsia="Arial" w:hAnsi="Arial"/>
          <w:b/>
          <w:bCs/>
          <w:color w:val="0D9488"/>
          <w:sz w:val="22"/>
          <w:szCs w:val="22"/>
        </w:rPr>
        <w:t xml:space="preserve">Analyze Your Bill or Denial  →  health.civicscale.ai</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10. DESIGN NOTES FOR CLAUDE CODE</w:t>
      </w:r>
    </w:p>
    <w:p>
      <w:pPr>
        <w:pStyle w:val="Heading2"/>
        <w:spacing w:before="360" w:after="120"/>
      </w:pPr>
      <w:r>
        <w:rPr>
          <w:rFonts w:ascii="Arial" w:cs="Arial" w:eastAsia="Arial" w:hAnsi="Arial"/>
          <w:b/>
          <w:bCs/>
          <w:color w:val="0D9488"/>
          <w:sz w:val="28"/>
          <w:szCs w:val="28"/>
        </w:rPr>
        <w:t xml:space="preserve">Architecture</w:t>
      </w:r>
    </w:p>
    <w:p>
      <w:pPr>
        <w:pStyle w:val="ListParagraph"/>
        <w:numPr>
          <w:ilvl w:val="0"/>
          <w:numId w:val="2"/>
        </w:numPr>
        <w:spacing w:before="60" w:after="60"/>
      </w:pPr>
      <w:r>
        <w:rPr>
          <w:rFonts w:ascii="Arial" w:cs="Arial" w:eastAsia="Arial" w:hAnsi="Arial"/>
          <w:color w:val="1E293B"/>
          <w:sz w:val="22"/>
          <w:szCs w:val="22"/>
        </w:rPr>
        <w:t xml:space="preserve">civicscale.ai — this homepage (broker + employer primary CTAs)</w:t>
      </w:r>
    </w:p>
    <w:p>
      <w:pPr>
        <w:pStyle w:val="ListParagraph"/>
        <w:numPr>
          <w:ilvl w:val="0"/>
          <w:numId w:val="2"/>
        </w:numPr>
        <w:spacing w:before="60" w:after="60"/>
      </w:pPr>
      <w:r>
        <w:rPr>
          <w:rFonts w:ascii="Arial" w:cs="Arial" w:eastAsia="Arial" w:hAnsi="Arial"/>
          <w:color w:val="1E293B"/>
          <w:sz w:val="22"/>
          <w:szCs w:val="22"/>
        </w:rPr>
        <w:t xml:space="preserve">health.civicscale.ai — Parity Health consumer app (live ✅)</w:t>
      </w:r>
    </w:p>
    <w:p>
      <w:pPr>
        <w:pStyle w:val="ListParagraph"/>
        <w:numPr>
          <w:ilvl w:val="0"/>
          <w:numId w:val="2"/>
        </w:numPr>
        <w:spacing w:before="60" w:after="60"/>
      </w:pPr>
      <w:r>
        <w:rPr>
          <w:rFonts w:ascii="Arial" w:cs="Arial" w:eastAsia="Arial" w:hAnsi="Arial"/>
          <w:color w:val="1E293B"/>
          <w:sz w:val="22"/>
          <w:szCs w:val="22"/>
        </w:rPr>
        <w:t xml:space="preserve">provider.civicscale.ai — Parity Provider standalone entry point</w:t>
      </w:r>
    </w:p>
    <w:p>
      <w:pPr>
        <w:pStyle w:val="ListParagraph"/>
        <w:numPr>
          <w:ilvl w:val="0"/>
          <w:numId w:val="2"/>
        </w:numPr>
        <w:spacing w:before="60" w:after="60"/>
      </w:pPr>
      <w:r>
        <w:rPr>
          <w:rFonts w:ascii="Arial" w:cs="Arial" w:eastAsia="Arial" w:hAnsi="Arial"/>
          <w:color w:val="1E293B"/>
          <w:sz w:val="22"/>
          <w:szCs w:val="22"/>
        </w:rPr>
        <w:t xml:space="preserve">No separate investor subdomain — homepage carries full platform story</w:t>
      </w:r>
    </w:p>
    <w:p>
      <w:pPr>
        <w:pStyle w:val="Heading2"/>
        <w:spacing w:before="360" w:after="120"/>
      </w:pPr>
      <w:r>
        <w:rPr>
          <w:rFonts w:ascii="Arial" w:cs="Arial" w:eastAsia="Arial" w:hAnsi="Arial"/>
          <w:b/>
          <w:bCs/>
          <w:color w:val="0D9488"/>
          <w:sz w:val="28"/>
          <w:szCs w:val="28"/>
        </w:rPr>
        <w:t xml:space="preserve">Tone</w:t>
      </w:r>
    </w:p>
    <w:p>
      <w:pPr>
        <w:pStyle w:val="ListParagraph"/>
        <w:numPr>
          <w:ilvl w:val="0"/>
          <w:numId w:val="2"/>
        </w:numPr>
        <w:spacing w:before="60" w:after="60"/>
      </w:pPr>
      <w:r>
        <w:rPr>
          <w:rFonts w:ascii="Arial" w:cs="Arial" w:eastAsia="Arial" w:hAnsi="Arial"/>
          <w:color w:val="1E293B"/>
          <w:sz w:val="22"/>
          <w:szCs w:val="22"/>
        </w:rPr>
        <w:t xml:space="preserve">Direct and data-confident — never salesy</w:t>
      </w:r>
    </w:p>
    <w:p>
      <w:pPr>
        <w:pStyle w:val="ListParagraph"/>
        <w:numPr>
          <w:ilvl w:val="0"/>
          <w:numId w:val="2"/>
        </w:numPr>
        <w:spacing w:before="60" w:after="60"/>
      </w:pPr>
      <w:r>
        <w:rPr>
          <w:rFonts w:ascii="Arial" w:cs="Arial" w:eastAsia="Arial" w:hAnsi="Arial"/>
          <w:color w:val="1E293B"/>
          <w:sz w:val="22"/>
          <w:szCs w:val="22"/>
        </w:rPr>
        <w:t xml:space="preserve">Does not demonize carriers, payers, or the system</w:t>
      </w:r>
    </w:p>
    <w:p>
      <w:pPr>
        <w:pStyle w:val="ListParagraph"/>
        <w:numPr>
          <w:ilvl w:val="0"/>
          <w:numId w:val="2"/>
        </w:numPr>
        <w:spacing w:before="60" w:after="60"/>
      </w:pPr>
      <w:r>
        <w:rPr>
          <w:rFonts w:ascii="Arial" w:cs="Arial" w:eastAsia="Arial" w:hAnsi="Arial"/>
          <w:color w:val="1E293B"/>
          <w:sz w:val="22"/>
          <w:szCs w:val="22"/>
        </w:rPr>
        <w:t xml:space="preserve">Describes structural conditions, not adversaries</w:t>
      </w:r>
    </w:p>
    <w:p>
      <w:pPr>
        <w:pStyle w:val="ListParagraph"/>
        <w:numPr>
          <w:ilvl w:val="0"/>
          <w:numId w:val="2"/>
        </w:numPr>
        <w:spacing w:before="60" w:after="60"/>
      </w:pPr>
      <w:r>
        <w:rPr>
          <w:rFonts w:ascii="Arial" w:cs="Arial" w:eastAsia="Arial" w:hAnsi="Arial"/>
          <w:color w:val="1E293B"/>
          <w:sz w:val="22"/>
          <w:szCs w:val="22"/>
        </w:rPr>
        <w:t xml:space="preserve">Acknowledges complexity honestly before explaining how we address it</w:t>
      </w:r>
    </w:p>
    <w:p>
      <w:pPr>
        <w:pStyle w:val="Heading2"/>
        <w:spacing w:before="360" w:after="120"/>
      </w:pPr>
      <w:r>
        <w:rPr>
          <w:rFonts w:ascii="Arial" w:cs="Arial" w:eastAsia="Arial" w:hAnsi="Arial"/>
          <w:b/>
          <w:bCs/>
          <w:color w:val="0D9488"/>
          <w:sz w:val="28"/>
          <w:szCs w:val="28"/>
        </w:rPr>
        <w:t xml:space="preserve">CTA Conventions</w:t>
      </w:r>
    </w:p>
    <w:p>
      <w:pPr>
        <w:pStyle w:val="ListParagraph"/>
        <w:numPr>
          <w:ilvl w:val="0"/>
          <w:numId w:val="2"/>
        </w:numPr>
        <w:spacing w:before="60" w:after="60"/>
      </w:pPr>
      <w:r>
        <w:rPr>
          <w:rFonts w:ascii="Arial" w:cs="Arial" w:eastAsia="Arial" w:hAnsi="Arial"/>
          <w:color w:val="1E293B"/>
          <w:sz w:val="22"/>
          <w:szCs w:val="22"/>
        </w:rPr>
        <w:t xml:space="preserve">Primary CTA: “Start Free Trial” (employer) / “Get Started Free” (broker)</w:t>
      </w:r>
    </w:p>
    <w:p>
      <w:pPr>
        <w:pStyle w:val="ListParagraph"/>
        <w:numPr>
          <w:ilvl w:val="0"/>
          <w:numId w:val="2"/>
        </w:numPr>
        <w:spacing w:before="60" w:after="60"/>
      </w:pPr>
      <w:r>
        <w:rPr>
          <w:rFonts w:ascii="Arial" w:cs="Arial" w:eastAsia="Arial" w:hAnsi="Arial"/>
          <w:color w:val="1E293B"/>
          <w:sz w:val="22"/>
          <w:szCs w:val="22"/>
        </w:rPr>
        <w:t xml:space="preserve">Trust line: “No credit card required for first 30 days · Cancel anytime”</w:t>
      </w:r>
    </w:p>
    <w:p>
      <w:pPr>
        <w:pStyle w:val="ListParagraph"/>
        <w:numPr>
          <w:ilvl w:val="0"/>
          <w:numId w:val="2"/>
        </w:numPr>
        <w:spacing w:before="60" w:after="60"/>
      </w:pPr>
      <w:r>
        <w:rPr>
          <w:rFonts w:ascii="Arial" w:cs="Arial" w:eastAsia="Arial" w:hAnsi="Arial"/>
          <w:color w:val="1E293B"/>
          <w:sz w:val="22"/>
          <w:szCs w:val="22"/>
        </w:rPr>
        <w:t xml:space="preserve">Secondary CTA: always “See a Demo”</w:t>
      </w:r>
    </w:p>
    <w:p>
      <w:pPr>
        <w:pStyle w:val="ListParagraph"/>
        <w:numPr>
          <w:ilvl w:val="0"/>
          <w:numId w:val="2"/>
        </w:numPr>
        <w:spacing w:before="60" w:after="60"/>
      </w:pPr>
      <w:r>
        <w:rPr>
          <w:rFonts w:ascii="Arial" w:cs="Arial" w:eastAsia="Arial" w:hAnsi="Arial"/>
          <w:color w:val="1E293B"/>
          <w:sz w:val="22"/>
          <w:szCs w:val="22"/>
        </w:rPr>
        <w:t xml:space="preserve">Value props: 3–4 outcome bullets per product, not feature bullets</w:t>
      </w:r>
    </w:p>
    <w:p>
      <w:pPr>
        <w:pStyle w:val="Heading2"/>
        <w:spacing w:before="360" w:after="120"/>
      </w:pPr>
      <w:r>
        <w:rPr>
          <w:rFonts w:ascii="Arial" w:cs="Arial" w:eastAsia="Arial" w:hAnsi="Arial"/>
          <w:b/>
          <w:bCs/>
          <w:color w:val="0D9488"/>
          <w:sz w:val="28"/>
          <w:szCs w:val="28"/>
        </w:rPr>
        <w:t xml:space="preserve">Section Sequence</w:t>
      </w:r>
    </w:p>
    <w:p>
      <w:pPr>
        <w:pStyle w:val="ListParagraph"/>
        <w:numPr>
          <w:ilvl w:val="0"/>
          <w:numId w:val="2"/>
        </w:numPr>
        <w:spacing w:before="60" w:after="60"/>
      </w:pPr>
      <w:r>
        <w:rPr>
          <w:rFonts w:ascii="Arial" w:cs="Arial" w:eastAsia="Arial" w:hAnsi="Arial"/>
          <w:color w:val="1E293B"/>
          <w:sz w:val="22"/>
          <w:szCs w:val="22"/>
        </w:rPr>
        <w:t xml:space="preserve">1. Hero — immediate, human, two CTAs</w:t>
      </w:r>
    </w:p>
    <w:p>
      <w:pPr>
        <w:pStyle w:val="ListParagraph"/>
        <w:numPr>
          <w:ilvl w:val="0"/>
          <w:numId w:val="2"/>
        </w:numPr>
        <w:spacing w:before="60" w:after="60"/>
      </w:pPr>
      <w:r>
        <w:rPr>
          <w:rFonts w:ascii="Arial" w:cs="Arial" w:eastAsia="Arial" w:hAnsi="Arial"/>
          <w:color w:val="1E293B"/>
          <w:sz w:val="22"/>
          <w:szCs w:val="22"/>
        </w:rPr>
        <w:t xml:space="preserve">2. The Problem — structural, not accusatory</w:t>
      </w:r>
    </w:p>
    <w:p>
      <w:pPr>
        <w:pStyle w:val="ListParagraph"/>
        <w:numPr>
          <w:ilvl w:val="0"/>
          <w:numId w:val="2"/>
        </w:numPr>
        <w:spacing w:before="60" w:after="60"/>
      </w:pPr>
      <w:r>
        <w:rPr>
          <w:rFonts w:ascii="Arial" w:cs="Arial" w:eastAsia="Arial" w:hAnsi="Arial"/>
          <w:color w:val="1E293B"/>
          <w:sz w:val="22"/>
          <w:szCs w:val="22"/>
        </w:rPr>
        <w:t xml:space="preserve">3. Four Products — one card each, outcome-focused</w:t>
      </w:r>
    </w:p>
    <w:p>
      <w:pPr>
        <w:pStyle w:val="ListParagraph"/>
        <w:numPr>
          <w:ilvl w:val="0"/>
          <w:numId w:val="2"/>
        </w:numPr>
        <w:spacing w:before="60" w:after="60"/>
      </w:pPr>
      <w:r>
        <w:rPr>
          <w:rFonts w:ascii="Arial" w:cs="Arial" w:eastAsia="Arial" w:hAnsi="Arial"/>
          <w:color w:val="1E293B"/>
          <w:sz w:val="22"/>
          <w:szCs w:val="22"/>
        </w:rPr>
        <w:t xml:space="preserve">4. The Parity Engine — differentiator + Analytical Paths</w:t>
      </w:r>
    </w:p>
    <w:p>
      <w:pPr>
        <w:pStyle w:val="ListParagraph"/>
        <w:numPr>
          <w:ilvl w:val="0"/>
          <w:numId w:val="2"/>
        </w:numPr>
        <w:spacing w:before="60" w:after="60"/>
      </w:pPr>
      <w:r>
        <w:rPr>
          <w:rFonts w:ascii="Arial" w:cs="Arial" w:eastAsia="Arial" w:hAnsi="Arial"/>
          <w:color w:val="1E293B"/>
          <w:sz w:val="22"/>
          <w:szCs w:val="22"/>
        </w:rPr>
        <w:t xml:space="preserve">5. The Cost Curve — democratization story</w:t>
      </w:r>
    </w:p>
    <w:p>
      <w:pPr>
        <w:pStyle w:val="ListParagraph"/>
        <w:numPr>
          <w:ilvl w:val="0"/>
          <w:numId w:val="2"/>
        </w:numPr>
        <w:spacing w:before="60" w:after="60"/>
      </w:pPr>
      <w:r>
        <w:rPr>
          <w:rFonts w:ascii="Arial" w:cs="Arial" w:eastAsia="Arial" w:hAnsi="Arial"/>
          <w:color w:val="1E293B"/>
          <w:sz w:val="22"/>
          <w:szCs w:val="22"/>
        </w:rPr>
        <w:t xml:space="preserve">6. Why Not Just Ask an AI — honest, confident answer</w:t>
      </w:r>
    </w:p>
    <w:p>
      <w:pPr>
        <w:pStyle w:val="ListParagraph"/>
        <w:numPr>
          <w:ilvl w:val="0"/>
          <w:numId w:val="2"/>
        </w:numPr>
        <w:spacing w:before="60" w:after="60"/>
      </w:pPr>
      <w:r>
        <w:rPr>
          <w:rFonts w:ascii="Arial" w:cs="Arial" w:eastAsia="Arial" w:hAnsi="Arial"/>
          <w:color w:val="1E293B"/>
          <w:sz w:val="22"/>
          <w:szCs w:val="22"/>
        </w:rPr>
        <w:t xml:space="preserve">7. The Data Flywheel — compounding advantage</w:t>
      </w:r>
    </w:p>
    <w:p>
      <w:pPr>
        <w:pStyle w:val="ListParagraph"/>
        <w:numPr>
          <w:ilvl w:val="0"/>
          <w:numId w:val="2"/>
        </w:numPr>
        <w:spacing w:before="60" w:after="60"/>
      </w:pPr>
      <w:r>
        <w:rPr>
          <w:rFonts w:ascii="Arial" w:cs="Arial" w:eastAsia="Arial" w:hAnsi="Arial"/>
          <w:color w:val="1E293B"/>
          <w:sz w:val="22"/>
          <w:szCs w:val="22"/>
        </w:rPr>
        <w:t xml:space="preserve">8. The Bigger Vision — brief, opens the aperture</w:t>
      </w:r>
    </w:p>
    <w:p>
      <w:pPr>
        <w:pStyle w:val="ListParagraph"/>
        <w:numPr>
          <w:ilvl w:val="0"/>
          <w:numId w:val="2"/>
        </w:numPr>
        <w:spacing w:before="60" w:after="60"/>
      </w:pPr>
      <w:r>
        <w:rPr>
          <w:rFonts w:ascii="Arial" w:cs="Arial" w:eastAsia="Arial" w:hAnsi="Arial"/>
          <w:color w:val="1E293B"/>
          <w:sz w:val="22"/>
          <w:szCs w:val="22"/>
        </w:rPr>
        <w:t xml:space="preserve">9. Footer CTAs — one per product</w:t>
      </w:r>
    </w:p>
    <w:p>
      <w:pPr>
        <w:spacing w:before="480" w:after="120"/>
        <w:jc w:val="center"/>
      </w:pPr>
      <w:r>
        <w:rPr>
          <w:rFonts w:ascii="Arial" w:cs="Arial" w:eastAsia="Arial" w:hAnsi="Arial"/>
          <w:i/>
          <w:iCs/>
          <w:color w:val="64748B"/>
          <w:sz w:val="18"/>
          <w:szCs w:val="18"/>
        </w:rPr>
        <w:t xml:space="preserve">CivicScale · civicscale.ai · Confidential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1E293B"/>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D948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2026-03-11T12:20:53.712Z</dcterms:created>
  <dcterms:modified xsi:type="dcterms:W3CDTF">2026-03-11T12:20:53.713Z</dcterms:modified>
</cp:coreProperties>
</file>

<file path=docProps/custom.xml><?xml version="1.0" encoding="utf-8"?>
<Properties xmlns="http://schemas.openxmlformats.org/officeDocument/2006/custom-properties" xmlns:vt="http://schemas.openxmlformats.org/officeDocument/2006/docPropsVTypes"/>
</file>