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D9488"/>
          <w:sz w:val="48"/>
          <w:szCs w:val="48"/>
        </w:rPr>
        <w:t xml:space="preserve">PARITY BROKER</w:t>
      </w:r>
    </w:p>
    <w:p>
      <w:pPr>
        <w:spacing w:before="0" w:after="60"/>
        <w:jc w:val="center"/>
      </w:pPr>
      <w:r>
        <w:rPr>
          <w:rFonts w:ascii="Arial" w:cs="Arial" w:eastAsia="Arial" w:hAnsi="Arial"/>
          <w:color w:val="64748B"/>
          <w:sz w:val="28"/>
          <w:szCs w:val="28"/>
        </w:rPr>
        <w:t xml:space="preserve">Landing Page Copy Brief</w:t>
      </w:r>
    </w:p>
    <w:p>
      <w:pPr>
        <w:spacing w:before="0" w:after="60"/>
        <w:jc w:val="center"/>
      </w:pPr>
      <w:r>
        <w:rPr>
          <w:rFonts w:ascii="Arial" w:cs="Arial" w:eastAsia="Arial" w:hAnsi="Arial"/>
          <w:i/>
          <w:iCs/>
          <w:color w:val="64748B"/>
          <w:sz w:val="20"/>
          <w:szCs w:val="20"/>
        </w:rPr>
        <w:t xml:space="preserve">Route: /broker · Session G · March 2026</w:t>
      </w:r>
    </w:p>
    <w:p>
      <w:pPr>
        <w:spacing w:before="0" w:after="240"/>
        <w:jc w:val="center"/>
      </w:pPr>
      <w:r>
        <w:rPr>
          <w:rFonts w:ascii="Arial" w:cs="Arial" w:eastAsia="Arial" w:hAnsi="Arial"/>
          <w:i/>
          <w:iCs/>
          <w:color w:val="64748B"/>
          <w:sz w:val="20"/>
          <w:szCs w:val="20"/>
        </w:rPr>
        <w:t xml:space="preserve">For Claude Code handoff</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PAGE STRATEGY</w:t>
      </w:r>
    </w:p>
    <w:p>
      <w:pPr>
        <w:spacing w:before="200" w:after="60"/>
      </w:pPr>
      <w:r>
        <w:rPr>
          <w:rFonts w:ascii="Arial" w:cs="Arial" w:eastAsia="Arial" w:hAnsi="Arial"/>
          <w:b/>
          <w:bCs/>
          <w:i/>
          <w:iCs/>
          <w:color w:val="64748B"/>
          <w:sz w:val="20"/>
          <w:szCs w:val="20"/>
        </w:rPr>
        <w:t xml:space="preserve">Primary reader</w:t>
      </w:r>
    </w:p>
    <w:p>
      <w:pPr>
        <w:spacing w:before="80" w:after="120"/>
      </w:pPr>
      <w:r>
        <w:rPr>
          <w:rFonts w:ascii="Arial" w:cs="Arial" w:eastAsia="Arial" w:hAnsi="Arial"/>
          <w:color w:val="1E293B"/>
          <w:sz w:val="22"/>
          <w:szCs w:val="22"/>
        </w:rPr>
        <w:t xml:space="preserve">An independent benefits broker managing 10–100 employer clients. Renewal season is their highest-pressure period. They want to walk into every renewal meeting with data that their clients can’t get anywhere else. They are sophisticated, skeptical of vendor claims, and respond to specific capabilities — not general promises.</w:t>
      </w:r>
    </w:p>
    <w:p>
      <w:pPr>
        <w:spacing w:before="200" w:after="60"/>
      </w:pPr>
      <w:r>
        <w:rPr>
          <w:rFonts w:ascii="Arial" w:cs="Arial" w:eastAsia="Arial" w:hAnsi="Arial"/>
          <w:b/>
          <w:bCs/>
          <w:i/>
          <w:iCs/>
          <w:color w:val="64748B"/>
          <w:sz w:val="20"/>
          <w:szCs w:val="20"/>
        </w:rPr>
        <w:t xml:space="preserve">Emotional register</w:t>
      </w:r>
    </w:p>
    <w:p>
      <w:pPr>
        <w:spacing w:before="80" w:after="120"/>
      </w:pPr>
      <w:r>
        <w:rPr>
          <w:rFonts w:ascii="Arial" w:cs="Arial" w:eastAsia="Arial" w:hAnsi="Arial"/>
          <w:color w:val="1E293B"/>
          <w:sz w:val="22"/>
          <w:szCs w:val="22"/>
        </w:rPr>
        <w:t xml:space="preserve">Retention-first, growth second. A broker’s primary anxiety is losing a client at renewal because they couldn’t defend the plan data. New business is the growth story. Lead with the retention story — it’s more immediate and more emotional.</w:t>
      </w:r>
    </w:p>
    <w:p>
      <w:pPr>
        <w:spacing w:before="200" w:after="60"/>
      </w:pPr>
      <w:r>
        <w:rPr>
          <w:rFonts w:ascii="Arial" w:cs="Arial" w:eastAsia="Arial" w:hAnsi="Arial"/>
          <w:b/>
          <w:bCs/>
          <w:i/>
          <w:iCs/>
          <w:color w:val="64748B"/>
          <w:sz w:val="20"/>
          <w:szCs w:val="20"/>
        </w:rPr>
        <w:t xml:space="preserve">Page goal</w:t>
      </w:r>
    </w:p>
    <w:p>
      <w:pPr>
        <w:spacing w:before="80" w:after="120"/>
      </w:pPr>
      <w:r>
        <w:rPr>
          <w:rFonts w:ascii="Arial" w:cs="Arial" w:eastAsia="Arial" w:hAnsi="Arial"/>
          <w:color w:val="1E293B"/>
          <w:sz w:val="22"/>
          <w:szCs w:val="22"/>
        </w:rPr>
        <w:t xml:space="preserve">Visitor arrives → recognizes the renewal pressure immediately → sees a real-looking dashboard within 30 seconds → understands this is a practice management platform, not just an analysis tool → starts a trial within 3 minutes.</w:t>
      </w:r>
    </w:p>
    <w:p>
      <w:pPr>
        <w:spacing w:before="200" w:after="60"/>
      </w:pPr>
      <w:r>
        <w:rPr>
          <w:rFonts w:ascii="Arial" w:cs="Arial" w:eastAsia="Arial" w:hAnsi="Arial"/>
          <w:b/>
          <w:bCs/>
          <w:i/>
          <w:iCs/>
          <w:color w:val="64748B"/>
          <w:sz w:val="20"/>
          <w:szCs w:val="20"/>
        </w:rPr>
        <w:t xml:space="preserve">Key structural decision</w:t>
      </w:r>
    </w:p>
    <w:p>
      <w:pPr>
        <w:spacing w:before="80" w:after="120"/>
      </w:pPr>
      <w:r>
        <w:rPr>
          <w:rFonts w:ascii="Arial" w:cs="Arial" w:eastAsia="Arial" w:hAnsi="Arial"/>
          <w:color w:val="1E293B"/>
          <w:sz w:val="22"/>
          <w:szCs w:val="22"/>
        </w:rPr>
        <w:t xml:space="preserve">Same as Employer — demo is embedded on this page, loads immediately with sample data. The demo shows the book-of-business dashboard, not a single-client analysis. That distinction is what makes this feel like a platform rather than a point tool.</w:t>
      </w:r>
    </w:p>
    <w:p>
      <w:pPr>
        <w:spacing w:before="200" w:after="60"/>
      </w:pPr>
      <w:r>
        <w:rPr>
          <w:rFonts w:ascii="Arial" w:cs="Arial" w:eastAsia="Arial" w:hAnsi="Arial"/>
          <w:b/>
          <w:bCs/>
          <w:i/>
          <w:iCs/>
          <w:color w:val="64748B"/>
          <w:sz w:val="20"/>
          <w:szCs w:val="20"/>
        </w:rPr>
        <w:t xml:space="preserve">Pricing change</w:t>
      </w:r>
    </w:p>
    <w:p>
      <w:pPr>
        <w:spacing w:before="80" w:after="120"/>
      </w:pPr>
      <w:r>
        <w:rPr>
          <w:rFonts w:ascii="Arial" w:cs="Arial" w:eastAsia="Arial" w:hAnsi="Arial"/>
          <w:color w:val="1E293B"/>
          <w:sz w:val="22"/>
          <w:szCs w:val="22"/>
        </w:rPr>
        <w:t xml:space="preserve">Free Starter tier is eliminated. One paid tier: $99/month, 30-day free trial, no credit card required. Consistent with Employer pricing. The free prospect benchmark remains as a no-signup lead magnet but is not a product tier.</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1: HERO</w:t>
      </w:r>
    </w:p>
    <w:p>
      <w:pPr>
        <w:spacing w:before="240" w:after="80"/>
      </w:pPr>
      <w:r>
        <w:rPr>
          <w:rFonts w:ascii="Arial" w:cs="Arial" w:eastAsia="Arial" w:hAnsi="Arial"/>
          <w:b/>
          <w:bCs/>
          <w:color w:val="1E293B"/>
          <w:sz w:val="24"/>
          <w:szCs w:val="24"/>
        </w:rPr>
        <w:t xml:space="preserve">Headline</w:t>
      </w:r>
    </w:p>
    <w:p>
      <w:pPr>
        <w:spacing w:before="80" w:after="120"/>
      </w:pPr>
      <w:r>
        <w:rPr>
          <w:rFonts w:ascii="Arial" w:cs="Arial" w:eastAsia="Arial" w:hAnsi="Arial"/>
          <w:b/>
          <w:bCs/>
          <w:color w:val="1E293B"/>
          <w:sz w:val="28"/>
          <w:szCs w:val="28"/>
        </w:rPr>
        <w:t xml:space="preserve">Every renewal is a test of whether you brought better data than the carrier did.</w:t>
      </w:r>
    </w:p>
    <w:p>
      <w:pPr>
        <w:spacing w:before="240" w:after="80"/>
      </w:pPr>
      <w:r>
        <w:rPr>
          <w:rFonts w:ascii="Arial" w:cs="Arial" w:eastAsia="Arial" w:hAnsi="Arial"/>
          <w:b/>
          <w:bCs/>
          <w:color w:val="1E293B"/>
          <w:sz w:val="24"/>
          <w:szCs w:val="24"/>
        </w:rPr>
        <w:t xml:space="preserve">Kicker line</w:t>
      </w:r>
    </w:p>
    <w:p>
      <w:pPr>
        <w:spacing w:before="80" w:after="120"/>
      </w:pPr>
      <w:r>
        <w:rPr>
          <w:rFonts w:ascii="Arial" w:cs="Arial" w:eastAsia="Arial" w:hAnsi="Arial"/>
          <w:b/>
          <w:bCs/>
          <w:color w:val="0D9488"/>
          <w:sz w:val="24"/>
          <w:szCs w:val="24"/>
        </w:rPr>
        <w:t xml:space="preserve">Now you always will.</w:t>
      </w:r>
    </w:p>
    <w:p>
      <w:pPr>
        <w:spacing w:before="240" w:after="80"/>
      </w:pPr>
      <w:r>
        <w:rPr>
          <w:rFonts w:ascii="Arial" w:cs="Arial" w:eastAsia="Arial" w:hAnsi="Arial"/>
          <w:b/>
          <w:bCs/>
          <w:color w:val="1E293B"/>
          <w:sz w:val="24"/>
          <w:szCs w:val="24"/>
        </w:rPr>
        <w:t xml:space="preserve">Subhead</w:t>
      </w:r>
    </w:p>
    <w:p>
      <w:pPr>
        <w:spacing w:before="80" w:after="120"/>
      </w:pPr>
      <w:r>
        <w:rPr>
          <w:rFonts w:ascii="Arial" w:cs="Arial" w:eastAsia="Arial" w:hAnsi="Arial"/>
          <w:color w:val="1E293B"/>
          <w:sz w:val="22"/>
          <w:szCs w:val="22"/>
        </w:rPr>
        <w:t xml:space="preserve">Parity Broker benchmarks every client’s plan against Medicare rates and NADAC drug costs, generates CAA-compliant data request letters automatically, and tracks your entire book of business in one dashboard. Walk into every renewal meeting with findings your clients have never seen.</w:t>
      </w:r>
    </w:p>
    <w:p>
      <w:pPr>
        <w:spacing w:before="240" w:after="80"/>
      </w:pPr>
      <w:r>
        <w:rPr>
          <w:rFonts w:ascii="Arial" w:cs="Arial" w:eastAsia="Arial" w:hAnsi="Arial"/>
          <w:b/>
          <w:bCs/>
          <w:color w:val="1E293B"/>
          <w:sz w:val="24"/>
          <w:szCs w:val="24"/>
        </w:rPr>
        <w:t xml:space="preserve">Primary CTA</w:t>
      </w:r>
    </w:p>
    <w:p>
      <w:pPr>
        <w:spacing w:before="100" w:after="60"/>
      </w:pPr>
      <w:r>
        <w:rPr>
          <w:rFonts w:ascii="Arial" w:cs="Arial" w:eastAsia="Arial" w:hAnsi="Arial"/>
          <w:b/>
          <w:bCs/>
          <w:color w:val="0D9488"/>
          <w:sz w:val="22"/>
          <w:szCs w:val="22"/>
        </w:rPr>
        <w:t xml:space="preserve">▶  See Your Dashboard →  — scrolls to embedded demo</w:t>
      </w:r>
    </w:p>
    <w:p>
      <w:pPr>
        <w:spacing w:before="60" w:after="60"/>
      </w:pPr>
      <w:r>
        <w:rPr>
          <w:rFonts w:ascii="Arial" w:cs="Arial" w:eastAsia="Arial" w:hAnsi="Arial"/>
          <w:i/>
          <w:iCs/>
          <w:color w:val="64748B"/>
          <w:sz w:val="18"/>
          <w:szCs w:val="18"/>
        </w:rPr>
        <w:t xml:space="preserve">Trust line: No credit card required · 30-day free trial · Cancel anytime</w:t>
      </w:r>
    </w:p>
    <w:p>
      <w:pPr>
        <w:spacing w:before="240" w:after="80"/>
      </w:pPr>
      <w:r>
        <w:rPr>
          <w:rFonts w:ascii="Arial" w:cs="Arial" w:eastAsia="Arial" w:hAnsi="Arial"/>
          <w:b/>
          <w:bCs/>
          <w:color w:val="1E293B"/>
          <w:sz w:val="24"/>
          <w:szCs w:val="24"/>
        </w:rPr>
        <w:t xml:space="preserve">Secondary CTA</w:t>
      </w:r>
    </w:p>
    <w:p>
      <w:pPr>
        <w:spacing w:before="100" w:after="60"/>
      </w:pPr>
      <w:r>
        <w:rPr>
          <w:rFonts w:ascii="Arial" w:cs="Arial" w:eastAsia="Arial" w:hAnsi="Arial"/>
          <w:b/>
          <w:bCs/>
          <w:color w:val="0D9488"/>
          <w:sz w:val="22"/>
          <w:szCs w:val="22"/>
        </w:rPr>
        <w:t xml:space="preserve">▶  Benchmark a Prospect Free →  — scrolls to prospect benchmark tool</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2: THE RENEWAL PROBLEM</w:t>
      </w:r>
    </w:p>
    <w:p>
      <w:pPr>
        <w:pStyle w:val="Heading2"/>
        <w:spacing w:before="360" w:after="120"/>
      </w:pPr>
      <w:r>
        <w:rPr>
          <w:rFonts w:ascii="Arial" w:cs="Arial" w:eastAsia="Arial" w:hAnsi="Arial"/>
          <w:b/>
          <w:bCs/>
          <w:color w:val="0D9488"/>
          <w:sz w:val="28"/>
          <w:szCs w:val="28"/>
        </w:rPr>
        <w:t xml:space="preserve">What renewal season looks like without this</w:t>
      </w:r>
    </w:p>
    <w:p>
      <w:pPr>
        <w:spacing w:before="60" w:after="60"/>
      </w:pPr>
      <w:r>
        <w:rPr>
          <w:rFonts w:ascii="Arial" w:cs="Arial" w:eastAsia="Arial" w:hAnsi="Arial"/>
          <w:i/>
          <w:iCs/>
          <w:color w:val="64748B"/>
          <w:sz w:val="18"/>
          <w:szCs w:val="18"/>
        </w:rPr>
        <w:t xml:space="preserve">Tone: empathetic and structural. Describes the broker’s reality without making anyone a villain. The problem is information asymmetry, not bad actors.</w:t>
      </w:r>
    </w:p>
    <w:p>
      <w:pPr>
        <w:spacing w:before="80" w:after="120"/>
      </w:pPr>
      <w:r>
        <w:rPr>
          <w:rFonts w:ascii="Arial" w:cs="Arial" w:eastAsia="Arial" w:hAnsi="Arial"/>
          <w:color w:val="1E293B"/>
          <w:sz w:val="22"/>
          <w:szCs w:val="22"/>
        </w:rPr>
        <w:t xml:space="preserve">Every year, carriers bring renewal numbers to the table. Those numbers reflect the carrier’s analysis of the plan data — claims experience, utilization patterns, cost trends. The analysis is real. The question is whether it’s the only analysis in the room.</w:t>
      </w:r>
    </w:p>
    <w:p>
      <w:pPr>
        <w:spacing w:before="80" w:after="120"/>
      </w:pPr>
      <w:r>
        <w:rPr>
          <w:rFonts w:ascii="Arial" w:cs="Arial" w:eastAsia="Arial" w:hAnsi="Arial"/>
          <w:color w:val="1E293B"/>
          <w:sz w:val="22"/>
          <w:szCs w:val="22"/>
        </w:rPr>
        <w:t xml:space="preserve">Most of the time, it is. The employer doesn’t have an independent benchmark. The broker doesn’t have time to build one for every client before renewal season hits. The carrier’s numbers become the conversation.</w:t>
      </w:r>
    </w:p>
    <w:p>
      <w:pPr>
        <w:spacing w:before="80" w:after="120"/>
      </w:pPr>
      <w:r>
        <w:rPr>
          <w:rFonts w:ascii="Arial" w:cs="Arial" w:eastAsia="Arial" w:hAnsi="Arial"/>
          <w:color w:val="1E293B"/>
          <w:sz w:val="22"/>
          <w:szCs w:val="22"/>
        </w:rPr>
        <w:t xml:space="preserve">Parity Broker changes that. For every client in your book, you have an independent benchmark — claims compared to Medicare rates, pharmacy spend compared to NADAC acquisition costs, renewal history tracked over time. You walk in with your own analysis. The conversation changes.</w:t>
      </w:r>
    </w:p>
    <w:p>
      <w:pPr>
        <w:spacing w:before="80" w:after="120"/>
      </w:pPr>
      <w:r>
        <w:rPr>
          <w:rFonts w:ascii="Arial" w:cs="Arial" w:eastAsia="Arial" w:hAnsi="Arial"/>
          <w:b/>
          <w:bCs/>
          <w:color w:val="1E293B"/>
          <w:sz w:val="22"/>
          <w:szCs w:val="22"/>
        </w:rPr>
        <w:t xml:space="preserve">And when a client asks “why are our costs this high” — you have a specific answer, not a general one.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3: THE EMBEDDED DEMO</w:t>
      </w:r>
    </w:p>
    <w:p>
      <w:pPr>
        <w:pStyle w:val="Heading2"/>
        <w:spacing w:before="360" w:after="120"/>
      </w:pPr>
      <w:r>
        <w:rPr>
          <w:rFonts w:ascii="Arial" w:cs="Arial" w:eastAsia="Arial" w:hAnsi="Arial"/>
          <w:b/>
          <w:bCs/>
          <w:color w:val="0D9488"/>
          <w:sz w:val="28"/>
          <w:szCs w:val="28"/>
        </w:rPr>
        <w:t xml:space="preserve">Book-of-business dashboard — loads immediately with sample data</w:t>
      </w:r>
    </w:p>
    <w:p>
      <w:pPr>
        <w:spacing w:before="60" w:after="60"/>
      </w:pPr>
      <w:r>
        <w:rPr>
          <w:rFonts w:ascii="Arial" w:cs="Arial" w:eastAsia="Arial" w:hAnsi="Arial"/>
          <w:i/>
          <w:iCs/>
          <w:color w:val="64748B"/>
          <w:sz w:val="18"/>
          <w:szCs w:val="18"/>
        </w:rPr>
        <w:t xml:space="preserve">This is the most important section. Must feel like a real platform, not a demo. The visitor should immediately think ‘I want my clients in here.’</w:t>
      </w:r>
    </w:p>
    <w:p>
      <w:pPr>
        <w:spacing w:before="240" w:after="80"/>
      </w:pPr>
      <w:r>
        <w:rPr>
          <w:rFonts w:ascii="Arial" w:cs="Arial" w:eastAsia="Arial" w:hAnsi="Arial"/>
          <w:b/>
          <w:bCs/>
          <w:color w:val="1E293B"/>
          <w:sz w:val="24"/>
          <w:szCs w:val="24"/>
        </w:rPr>
        <w:t xml:space="preserve">Header text above demo</w:t>
      </w:r>
    </w:p>
    <w:p>
      <w:pPr>
        <w:spacing w:before="80" w:after="120"/>
      </w:pPr>
      <w:r>
        <w:rPr>
          <w:rFonts w:ascii="Arial" w:cs="Arial" w:eastAsia="Arial" w:hAnsi="Arial"/>
          <w:color w:val="1E293B"/>
          <w:sz w:val="22"/>
          <w:szCs w:val="22"/>
        </w:rPr>
        <w:t xml:space="preserve">Your book of business — with data behind every client</w:t>
      </w:r>
    </w:p>
    <w:p>
      <w:pPr>
        <w:spacing w:before="80" w:after="120"/>
      </w:pPr>
      <w:r>
        <w:rPr>
          <w:rFonts w:ascii="Arial" w:cs="Arial" w:eastAsia="Arial" w:hAnsi="Arial"/>
          <w:i/>
          <w:iCs/>
          <w:color w:val="1E293B"/>
          <w:sz w:val="22"/>
          <w:szCs w:val="22"/>
        </w:rPr>
        <w:t xml:space="preserve">This is sample data. Add your own clients during your free trial.</w:t>
      </w:r>
    </w:p>
    <w:p>
      <w:pPr>
        <w:spacing w:before="240" w:after="80"/>
      </w:pPr>
      <w:r>
        <w:rPr>
          <w:rFonts w:ascii="Arial" w:cs="Arial" w:eastAsia="Arial" w:hAnsi="Arial"/>
          <w:b/>
          <w:bCs/>
          <w:color w:val="1E293B"/>
          <w:sz w:val="24"/>
          <w:szCs w:val="24"/>
        </w:rPr>
        <w:t xml:space="preserve">Demo Tab 1: Book of Business Dashboard</w:t>
      </w:r>
    </w:p>
    <w:p>
      <w:pPr>
        <w:pStyle w:val="ListParagraph"/>
        <w:numPr>
          <w:ilvl w:val="0"/>
          <w:numId w:val="2"/>
        </w:numPr>
        <w:spacing w:before="60" w:after="60"/>
      </w:pPr>
      <w:r>
        <w:rPr>
          <w:rFonts w:ascii="Arial" w:cs="Arial" w:eastAsia="Arial" w:hAnsi="Arial"/>
          <w:color w:val="1E293B"/>
          <w:sz w:val="22"/>
          <w:szCs w:val="22"/>
        </w:rPr>
        <w:t xml:space="preserve">Table of 6–8 sample clients with columns: Client / Employees / Plan Year / Renewal Date / Benchmark Status / Last Analysis</w:t>
      </w:r>
    </w:p>
    <w:p>
      <w:pPr>
        <w:pStyle w:val="ListParagraph"/>
        <w:numPr>
          <w:ilvl w:val="0"/>
          <w:numId w:val="2"/>
        </w:numPr>
        <w:spacing w:before="60" w:after="60"/>
      </w:pPr>
      <w:r>
        <w:rPr>
          <w:rFonts w:ascii="Arial" w:cs="Arial" w:eastAsia="Arial" w:hAnsi="Arial"/>
          <w:color w:val="1E293B"/>
          <w:sz w:val="22"/>
          <w:szCs w:val="22"/>
        </w:rPr>
        <w:t xml:space="preserve">Renewal Date column shows color-coded urgency: red (&lt;30 days) / amber (30–90 days) / green (&gt;90 days)</w:t>
      </w:r>
    </w:p>
    <w:p>
      <w:pPr>
        <w:pStyle w:val="ListParagraph"/>
        <w:numPr>
          <w:ilvl w:val="0"/>
          <w:numId w:val="2"/>
        </w:numPr>
        <w:spacing w:before="60" w:after="60"/>
      </w:pPr>
      <w:r>
        <w:rPr>
          <w:rFonts w:ascii="Arial" w:cs="Arial" w:eastAsia="Arial" w:hAnsi="Arial"/>
          <w:color w:val="1E293B"/>
          <w:sz w:val="22"/>
          <w:szCs w:val="22"/>
        </w:rPr>
        <w:t xml:space="preserve">Benchmark Status: Analyzed / Pending / Not started</w:t>
      </w:r>
    </w:p>
    <w:p>
      <w:pPr>
        <w:pStyle w:val="ListParagraph"/>
        <w:numPr>
          <w:ilvl w:val="0"/>
          <w:numId w:val="2"/>
        </w:numPr>
        <w:spacing w:before="60" w:after="60"/>
      </w:pPr>
      <w:r>
        <w:rPr>
          <w:rFonts w:ascii="Arial" w:cs="Arial" w:eastAsia="Arial" w:hAnsi="Arial"/>
          <w:color w:val="1E293B"/>
          <w:sz w:val="22"/>
          <w:szCs w:val="22"/>
        </w:rPr>
        <w:t xml:space="preserve">Each client row is clickable — opens Client Detail view (Tab 3)</w:t>
      </w:r>
    </w:p>
    <w:p>
      <w:pPr>
        <w:pStyle w:val="ListParagraph"/>
        <w:numPr>
          <w:ilvl w:val="0"/>
          <w:numId w:val="2"/>
        </w:numPr>
        <w:spacing w:before="60" w:after="60"/>
      </w:pPr>
      <w:r>
        <w:rPr>
          <w:rFonts w:ascii="Arial" w:cs="Arial" w:eastAsia="Arial" w:hAnsi="Arial"/>
          <w:color w:val="1E293B"/>
          <w:sz w:val="22"/>
          <w:szCs w:val="22"/>
        </w:rPr>
        <w:t xml:space="preserve">Summary bar at top: [N] clients · [N] renewals in next 90 days · [N] analyses complete</w:t>
      </w:r>
    </w:p>
    <w:p>
      <w:pPr>
        <w:spacing w:before="240" w:after="80"/>
      </w:pPr>
      <w:r>
        <w:rPr>
          <w:rFonts w:ascii="Arial" w:cs="Arial" w:eastAsia="Arial" w:hAnsi="Arial"/>
          <w:b/>
          <w:bCs/>
          <w:color w:val="1E293B"/>
          <w:sz w:val="24"/>
          <w:szCs w:val="24"/>
        </w:rPr>
        <w:t xml:space="preserve">Demo Tab 2: Prospect Benchmark</w:t>
      </w:r>
    </w:p>
    <w:p>
      <w:pPr>
        <w:pStyle w:val="ListParagraph"/>
        <w:numPr>
          <w:ilvl w:val="0"/>
          <w:numId w:val="2"/>
        </w:numPr>
        <w:spacing w:before="60" w:after="60"/>
      </w:pPr>
      <w:r>
        <w:rPr>
          <w:rFonts w:ascii="Arial" w:cs="Arial" w:eastAsia="Arial" w:hAnsi="Arial"/>
          <w:color w:val="1E293B"/>
          <w:sz w:val="22"/>
          <w:szCs w:val="22"/>
        </w:rPr>
        <w:t xml:space="preserve">Simple form: Industry (dropdown) / State / Estimated employees / Plan type</w:t>
      </w:r>
    </w:p>
    <w:p>
      <w:pPr>
        <w:pStyle w:val="ListParagraph"/>
        <w:numPr>
          <w:ilvl w:val="0"/>
          <w:numId w:val="2"/>
        </w:numPr>
        <w:spacing w:before="60" w:after="60"/>
      </w:pPr>
      <w:r>
        <w:rPr>
          <w:rFonts w:ascii="Arial" w:cs="Arial" w:eastAsia="Arial" w:hAnsi="Arial"/>
          <w:color w:val="1E293B"/>
          <w:sz w:val="22"/>
          <w:szCs w:val="22"/>
        </w:rPr>
        <w:t xml:space="preserve">Produces an instant benchmark comparison: how does a typical plan in this industry/state compare to Medicare rates</w:t>
      </w:r>
    </w:p>
    <w:p>
      <w:pPr>
        <w:pStyle w:val="ListParagraph"/>
        <w:numPr>
          <w:ilvl w:val="0"/>
          <w:numId w:val="2"/>
        </w:numPr>
        <w:spacing w:before="60" w:after="60"/>
      </w:pPr>
      <w:r>
        <w:rPr>
          <w:rFonts w:ascii="Arial" w:cs="Arial" w:eastAsia="Arial" w:hAnsi="Arial"/>
          <w:color w:val="1E293B"/>
          <w:sz w:val="22"/>
          <w:szCs w:val="22"/>
        </w:rPr>
        <w:t xml:space="preserve">Output shows: average benchmark variance by category, typical pharmacy spread, CAA compliance status</w:t>
      </w:r>
    </w:p>
    <w:p>
      <w:pPr>
        <w:pStyle w:val="ListParagraph"/>
        <w:numPr>
          <w:ilvl w:val="0"/>
          <w:numId w:val="2"/>
        </w:numPr>
        <w:spacing w:before="60" w:after="60"/>
      </w:pPr>
      <w:r>
        <w:rPr>
          <w:rFonts w:ascii="Arial" w:cs="Arial" w:eastAsia="Arial" w:hAnsi="Arial"/>
          <w:color w:val="1E293B"/>
          <w:sz w:val="22"/>
          <w:szCs w:val="22"/>
        </w:rPr>
        <w:t xml:space="preserve">CTA at bottom: “Win the meeting. Add this prospect as a client →”</w:t>
      </w:r>
    </w:p>
    <w:p>
      <w:pPr>
        <w:spacing w:before="60" w:after="60"/>
      </w:pPr>
      <w:r>
        <w:rPr>
          <w:rFonts w:ascii="Arial" w:cs="Arial" w:eastAsia="Arial" w:hAnsi="Arial"/>
          <w:i/>
          <w:iCs/>
          <w:color w:val="64748B"/>
          <w:sz w:val="18"/>
          <w:szCs w:val="18"/>
        </w:rPr>
        <w:t xml:space="preserve">This tab is the new business hook. Broker can use this before a prospect meeting with zero data from the prospect.</w:t>
      </w:r>
    </w:p>
    <w:p>
      <w:pPr>
        <w:spacing w:before="240" w:after="80"/>
      </w:pPr>
      <w:r>
        <w:rPr>
          <w:rFonts w:ascii="Arial" w:cs="Arial" w:eastAsia="Arial" w:hAnsi="Arial"/>
          <w:b/>
          <w:bCs/>
          <w:color w:val="1E293B"/>
          <w:sz w:val="24"/>
          <w:szCs w:val="24"/>
        </w:rPr>
        <w:t xml:space="preserve">Demo Tab 3: Client Detail (opens on row click)</w:t>
      </w:r>
    </w:p>
    <w:p>
      <w:pPr>
        <w:pStyle w:val="ListParagraph"/>
        <w:numPr>
          <w:ilvl w:val="0"/>
          <w:numId w:val="2"/>
        </w:numPr>
        <w:spacing w:before="60" w:after="60"/>
      </w:pPr>
      <w:r>
        <w:rPr>
          <w:rFonts w:ascii="Arial" w:cs="Arial" w:eastAsia="Arial" w:hAnsi="Arial"/>
          <w:color w:val="1E293B"/>
          <w:sz w:val="22"/>
          <w:szCs w:val="22"/>
        </w:rPr>
        <w:t xml:space="preserve">Shows selected client name and plan details at top</w:t>
      </w:r>
    </w:p>
    <w:p>
      <w:pPr>
        <w:pStyle w:val="ListParagraph"/>
        <w:numPr>
          <w:ilvl w:val="0"/>
          <w:numId w:val="2"/>
        </w:numPr>
        <w:spacing w:before="60" w:after="60"/>
      </w:pPr>
      <w:r>
        <w:rPr>
          <w:rFonts w:ascii="Arial" w:cs="Arial" w:eastAsia="Arial" w:hAnsi="Arial"/>
          <w:color w:val="1E293B"/>
          <w:sz w:val="22"/>
          <w:szCs w:val="22"/>
        </w:rPr>
        <w:t xml:space="preserve">Three sub-sections:</w:t>
      </w:r>
    </w:p>
    <w:p>
      <w:pPr>
        <w:pStyle w:val="ListParagraph"/>
        <w:numPr>
          <w:ilvl w:val="0"/>
          <w:numId w:val="2"/>
        </w:numPr>
        <w:spacing w:before="60" w:after="60"/>
      </w:pPr>
      <w:r>
        <w:rPr>
          <w:rFonts w:ascii="Arial" w:cs="Arial" w:eastAsia="Arial" w:hAnsi="Arial"/>
          <w:color w:val="1E293B"/>
          <w:sz w:val="22"/>
          <w:szCs w:val="22"/>
        </w:rPr>
        <w:t xml:space="preserve">  Claims Benchmark — top flagged claims with variance, same format as Employer demo</w:t>
      </w:r>
    </w:p>
    <w:p>
      <w:pPr>
        <w:pStyle w:val="ListParagraph"/>
        <w:numPr>
          <w:ilvl w:val="0"/>
          <w:numId w:val="2"/>
        </w:numPr>
        <w:spacing w:before="60" w:after="60"/>
      </w:pPr>
      <w:r>
        <w:rPr>
          <w:rFonts w:ascii="Arial" w:cs="Arial" w:eastAsia="Arial" w:hAnsi="Arial"/>
          <w:color w:val="1E293B"/>
          <w:sz w:val="22"/>
          <w:szCs w:val="22"/>
        </w:rPr>
        <w:t xml:space="preserve">  Pharmacy Analysis — flagged drugs with NADAC spread</w:t>
      </w:r>
    </w:p>
    <w:p>
      <w:pPr>
        <w:pStyle w:val="ListParagraph"/>
        <w:numPr>
          <w:ilvl w:val="0"/>
          <w:numId w:val="2"/>
        </w:numPr>
        <w:spacing w:before="60" w:after="60"/>
      </w:pPr>
      <w:r>
        <w:rPr>
          <w:rFonts w:ascii="Arial" w:cs="Arial" w:eastAsia="Arial" w:hAnsi="Arial"/>
          <w:color w:val="1E293B"/>
          <w:sz w:val="22"/>
          <w:szCs w:val="22"/>
        </w:rPr>
        <w:t xml:space="preserve">  CAA Letter Generator — button: Generate Data Request Letter →</w:t>
      </w:r>
    </w:p>
    <w:p>
      <w:pPr>
        <w:pStyle w:val="ListParagraph"/>
        <w:numPr>
          <w:ilvl w:val="0"/>
          <w:numId w:val="2"/>
        </w:numPr>
        <w:spacing w:before="60" w:after="60"/>
      </w:pPr>
      <w:r>
        <w:rPr>
          <w:rFonts w:ascii="Arial" w:cs="Arial" w:eastAsia="Arial" w:hAnsi="Arial"/>
          <w:color w:val="1E293B"/>
          <w:sz w:val="22"/>
          <w:szCs w:val="22"/>
        </w:rPr>
        <w:t xml:space="preserve">CAA letter generation produces a realistic formatted letter: carrier name, plan year, statutory reference (CAA 2021 Section 204), specific data elements being requested</w:t>
      </w:r>
    </w:p>
    <w:p>
      <w:pPr>
        <w:pStyle w:val="ListParagraph"/>
        <w:numPr>
          <w:ilvl w:val="0"/>
          <w:numId w:val="2"/>
        </w:numPr>
        <w:spacing w:before="60" w:after="60"/>
      </w:pPr>
      <w:r>
        <w:rPr>
          <w:rFonts w:ascii="Arial" w:cs="Arial" w:eastAsia="Arial" w:hAnsi="Arial"/>
          <w:color w:val="1E293B"/>
          <w:sz w:val="22"/>
          <w:szCs w:val="22"/>
        </w:rPr>
        <w:t xml:space="preserve">Letter is downloadable as PDF — this is the professional artifact that makes the demo tangible</w:t>
      </w:r>
    </w:p>
    <w:p>
      <w:pPr>
        <w:spacing w:before="60" w:after="60"/>
      </w:pPr>
      <w:r>
        <w:rPr>
          <w:rFonts w:ascii="Arial" w:cs="Arial" w:eastAsia="Arial" w:hAnsi="Arial"/>
          <w:i/>
          <w:iCs/>
          <w:color w:val="64748B"/>
          <w:sz w:val="18"/>
          <w:szCs w:val="18"/>
        </w:rPr>
        <w:t xml:space="preserve">The CAA letter is the single most differentiating feature for brokers. Make it prominent and make the generated letter look real.</w:t>
      </w:r>
    </w:p>
    <w:p>
      <w:pPr>
        <w:spacing w:before="240" w:after="80"/>
      </w:pPr>
      <w:r>
        <w:rPr>
          <w:rFonts w:ascii="Arial" w:cs="Arial" w:eastAsia="Arial" w:hAnsi="Arial"/>
          <w:b/>
          <w:bCs/>
          <w:color w:val="1E293B"/>
          <w:sz w:val="24"/>
          <w:szCs w:val="24"/>
        </w:rPr>
        <w:t xml:space="preserve">Conversion prompt</w:t>
      </w:r>
    </w:p>
    <w:p>
      <w:pPr>
        <w:spacing w:before="80" w:after="120"/>
      </w:pPr>
      <w:r>
        <w:rPr>
          <w:rFonts w:ascii="Arial" w:cs="Arial" w:eastAsia="Arial" w:hAnsi="Arial"/>
          <w:color w:val="1E293B"/>
          <w:sz w:val="22"/>
          <w:szCs w:val="22"/>
        </w:rPr>
        <w:t xml:space="preserve">Start your free 30-day trial to add your own clients and run real analyses.</w:t>
      </w:r>
    </w:p>
    <w:p>
      <w:pPr>
        <w:spacing w:before="100" w:after="60"/>
      </w:pPr>
      <w:r>
        <w:rPr>
          <w:rFonts w:ascii="Arial" w:cs="Arial" w:eastAsia="Arial" w:hAnsi="Arial"/>
          <w:b/>
          <w:bCs/>
          <w:color w:val="0D9488"/>
          <w:sz w:val="22"/>
          <w:szCs w:val="22"/>
        </w:rPr>
        <w:t xml:space="preserve">▶  Start Free Trial →  — links to /broker/signup</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4: WHAT YOU GET</w:t>
      </w:r>
    </w:p>
    <w:p>
      <w:pPr>
        <w:spacing w:before="60" w:after="60"/>
      </w:pPr>
      <w:r>
        <w:rPr>
          <w:rFonts w:ascii="Arial" w:cs="Arial" w:eastAsia="Arial" w:hAnsi="Arial"/>
          <w:i/>
          <w:iCs/>
          <w:color w:val="64748B"/>
          <w:sz w:val="18"/>
          <w:szCs w:val="18"/>
        </w:rPr>
        <w:t xml:space="preserve">Four outcome cards. Practice-management framing — not feature bullets.</w:t>
      </w:r>
    </w:p>
    <w:p>
      <w:pPr>
        <w:spacing w:before="240" w:after="80"/>
      </w:pPr>
      <w:r>
        <w:rPr>
          <w:rFonts w:ascii="Arial" w:cs="Arial" w:eastAsia="Arial" w:hAnsi="Arial"/>
          <w:b/>
          <w:bCs/>
          <w:color w:val="1E293B"/>
          <w:sz w:val="24"/>
          <w:szCs w:val="24"/>
        </w:rPr>
        <w:t xml:space="preserve">Card 1 — Renewal Benchmarking</w:t>
      </w:r>
    </w:p>
    <w:p>
      <w:pPr>
        <w:spacing w:before="80" w:after="120"/>
      </w:pPr>
      <w:r>
        <w:rPr>
          <w:rFonts w:ascii="Arial" w:cs="Arial" w:eastAsia="Arial" w:hAnsi="Arial"/>
          <w:color w:val="1E293B"/>
          <w:sz w:val="22"/>
          <w:szCs w:val="22"/>
        </w:rPr>
        <w:t xml:space="preserve">For every client, an independent benchmark of their claims against Medicare rates and pharmacy spend against NADAC costs. Updated every time you upload a new 835. Walk into every renewal meeting with findings the carrier didn’t give you.</w:t>
      </w:r>
    </w:p>
    <w:p>
      <w:pPr>
        <w:spacing w:before="240" w:after="80"/>
      </w:pPr>
      <w:r>
        <w:rPr>
          <w:rFonts w:ascii="Arial" w:cs="Arial" w:eastAsia="Arial" w:hAnsi="Arial"/>
          <w:b/>
          <w:bCs/>
          <w:color w:val="1E293B"/>
          <w:sz w:val="24"/>
          <w:szCs w:val="24"/>
        </w:rPr>
        <w:t xml:space="preserve">Card 2 — CAA Letter Generation</w:t>
      </w:r>
    </w:p>
    <w:p>
      <w:pPr>
        <w:spacing w:before="80" w:after="120"/>
      </w:pPr>
      <w:r>
        <w:rPr>
          <w:rFonts w:ascii="Arial" w:cs="Arial" w:eastAsia="Arial" w:hAnsi="Arial"/>
          <w:color w:val="1E293B"/>
          <w:sz w:val="22"/>
          <w:szCs w:val="22"/>
        </w:rPr>
        <w:t xml:space="preserve">Generate Consolidated Appropriations Act data request letters automatically — pre-populated with your client’s plan information, carrier details, and the specific statutory language carriers are required to respond to. One click, professional document, ready to send.</w:t>
      </w:r>
    </w:p>
    <w:p>
      <w:pPr>
        <w:spacing w:before="240" w:after="80"/>
      </w:pPr>
      <w:r>
        <w:rPr>
          <w:rFonts w:ascii="Arial" w:cs="Arial" w:eastAsia="Arial" w:hAnsi="Arial"/>
          <w:b/>
          <w:bCs/>
          <w:color w:val="1E293B"/>
          <w:sz w:val="24"/>
          <w:szCs w:val="24"/>
        </w:rPr>
        <w:t xml:space="preserve">Card 3 — Book of Business Dashboard</w:t>
      </w:r>
    </w:p>
    <w:p>
      <w:pPr>
        <w:spacing w:before="80" w:after="120"/>
      </w:pPr>
      <w:r>
        <w:rPr>
          <w:rFonts w:ascii="Arial" w:cs="Arial" w:eastAsia="Arial" w:hAnsi="Arial"/>
          <w:color w:val="1E293B"/>
          <w:sz w:val="22"/>
          <w:szCs w:val="22"/>
        </w:rPr>
        <w:t xml:space="preserve">All your clients in one view. Renewal dates, benchmark status, last analysis date, and alert flags for clients whose renewal is approaching without a completed analysis. Never walk into a renewal unprepared because you ran out of time.</w:t>
      </w:r>
    </w:p>
    <w:p>
      <w:pPr>
        <w:spacing w:before="240" w:after="80"/>
      </w:pPr>
      <w:r>
        <w:rPr>
          <w:rFonts w:ascii="Arial" w:cs="Arial" w:eastAsia="Arial" w:hAnsi="Arial"/>
          <w:b/>
          <w:bCs/>
          <w:color w:val="1E293B"/>
          <w:sz w:val="24"/>
          <w:szCs w:val="24"/>
        </w:rPr>
        <w:t xml:space="preserve">Card 4 — Prospect Benchmarking</w:t>
      </w:r>
    </w:p>
    <w:p>
      <w:pPr>
        <w:spacing w:before="80" w:after="120"/>
      </w:pPr>
      <w:r>
        <w:rPr>
          <w:rFonts w:ascii="Arial" w:cs="Arial" w:eastAsia="Arial" w:hAnsi="Arial"/>
          <w:color w:val="1E293B"/>
          <w:sz w:val="22"/>
          <w:szCs w:val="22"/>
        </w:rPr>
        <w:t xml:space="preserve">Before you walk into a prospect meeting, run a free benchmark showing how a typical plan in their industry and state compares to Medicare rates. Arrive with data before they’ve given you anything. Win the meeting before it starts.</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5: THE REFERRAL FLYWHEEL</w:t>
      </w:r>
    </w:p>
    <w:p>
      <w:pPr>
        <w:pStyle w:val="Heading2"/>
        <w:spacing w:before="360" w:after="120"/>
      </w:pPr>
      <w:r>
        <w:rPr>
          <w:rFonts w:ascii="Arial" w:cs="Arial" w:eastAsia="Arial" w:hAnsi="Arial"/>
          <w:b/>
          <w:bCs/>
          <w:color w:val="0D9488"/>
          <w:sz w:val="28"/>
          <w:szCs w:val="28"/>
        </w:rPr>
        <w:t xml:space="preserve">Your clients get a tool. You get recurring revenue.</w:t>
      </w:r>
    </w:p>
    <w:p>
      <w:pPr>
        <w:spacing w:before="80" w:after="120"/>
      </w:pPr>
      <w:r>
        <w:rPr>
          <w:rFonts w:ascii="Arial" w:cs="Arial" w:eastAsia="Arial" w:hAnsi="Arial"/>
          <w:color w:val="1E293B"/>
          <w:sz w:val="22"/>
          <w:szCs w:val="22"/>
        </w:rPr>
        <w:t xml:space="preserve">When a client you refer signs up for Parity Employer, you earn 20% of their subscription revenue for the first 12 months — automatically, with no additional work required.</w:t>
      </w:r>
    </w:p>
    <w:p>
      <w:pPr>
        <w:spacing w:before="80" w:after="120"/>
      </w:pPr>
      <w:r>
        <w:rPr>
          <w:rFonts w:ascii="Arial" w:cs="Arial" w:eastAsia="Arial" w:hAnsi="Arial"/>
          <w:color w:val="1E293B"/>
          <w:sz w:val="22"/>
          <w:szCs w:val="22"/>
        </w:rPr>
        <w:t xml:space="preserve">The math is straightforward: a broker with 20 employer clients who each sign up for Parity Employer at $99/month earns approximately $4,000 in referral revenue in the first year. The clients get independent benchmark analysis. You get a revenue stream that compounds as your book grows.</w:t>
      </w:r>
    </w:p>
    <w:p>
      <w:pPr>
        <w:spacing w:before="80" w:after="120"/>
      </w:pPr>
      <w:r>
        <w:rPr>
          <w:rFonts w:ascii="Arial" w:cs="Arial" w:eastAsia="Arial" w:hAnsi="Arial"/>
          <w:color w:val="1E293B"/>
          <w:sz w:val="22"/>
          <w:szCs w:val="22"/>
        </w:rPr>
        <w:t xml:space="preserve">Referral tracking is built into your dashboard. You can see which clients have signed up, how long they’ve been active, and what you’ve earned.</w:t>
      </w:r>
    </w:p>
    <w:p>
      <w:pPr>
        <w:spacing w:before="100" w:after="60"/>
      </w:pPr>
      <w:r>
        <w:rPr>
          <w:rFonts w:ascii="Arial" w:cs="Arial" w:eastAsia="Arial" w:hAnsi="Arial"/>
          <w:b/>
          <w:bCs/>
          <w:color w:val="0D9488"/>
          <w:sz w:val="22"/>
          <w:szCs w:val="22"/>
        </w:rPr>
        <w:t xml:space="preserve">▶  Start Free Trial →  — referral tracking included from day one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6: HOW IT WORKS</w:t>
      </w:r>
    </w:p>
    <w:p>
      <w:pPr>
        <w:spacing w:before="60" w:after="60"/>
      </w:pPr>
      <w:r>
        <w:rPr>
          <w:rFonts w:ascii="Arial" w:cs="Arial" w:eastAsia="Arial" w:hAnsi="Arial"/>
          <w:i/>
          <w:iCs/>
          <w:color w:val="64748B"/>
          <w:sz w:val="18"/>
          <w:szCs w:val="18"/>
        </w:rPr>
        <w:t xml:space="preserve">Three steps. Simple and fast.</w:t>
      </w:r>
    </w:p>
    <w:p>
      <w:pPr>
        <w:spacing w:before="240" w:after="80"/>
      </w:pPr>
      <w:r>
        <w:rPr>
          <w:rFonts w:ascii="Arial" w:cs="Arial" w:eastAsia="Arial" w:hAnsi="Arial"/>
          <w:b/>
          <w:bCs/>
          <w:color w:val="1E293B"/>
          <w:sz w:val="24"/>
          <w:szCs w:val="24"/>
        </w:rPr>
        <w:t xml:space="preserve">Step 1</w:t>
      </w:r>
    </w:p>
    <w:p>
      <w:pPr>
        <w:spacing w:before="80" w:after="120"/>
      </w:pPr>
      <w:r>
        <w:rPr>
          <w:rFonts w:ascii="Arial" w:cs="Arial" w:eastAsia="Arial" w:hAnsi="Arial"/>
          <w:color w:val="1E293B"/>
          <w:sz w:val="22"/>
          <w:szCs w:val="22"/>
        </w:rPr>
        <w:t xml:space="preserve">Add your clients — company name, employee count, plan year, renewal date. Takes 2 minutes per client.</w:t>
      </w:r>
    </w:p>
    <w:p>
      <w:pPr>
        <w:spacing w:before="240" w:after="80"/>
      </w:pPr>
      <w:r>
        <w:rPr>
          <w:rFonts w:ascii="Arial" w:cs="Arial" w:eastAsia="Arial" w:hAnsi="Arial"/>
          <w:b/>
          <w:bCs/>
          <w:color w:val="1E293B"/>
          <w:sz w:val="24"/>
          <w:szCs w:val="24"/>
        </w:rPr>
        <w:t xml:space="preserve">Step 2</w:t>
      </w:r>
    </w:p>
    <w:p>
      <w:pPr>
        <w:spacing w:before="80" w:after="120"/>
      </w:pPr>
      <w:r>
        <w:rPr>
          <w:rFonts w:ascii="Arial" w:cs="Arial" w:eastAsia="Arial" w:hAnsi="Arial"/>
          <w:color w:val="1E293B"/>
          <w:sz w:val="22"/>
          <w:szCs w:val="22"/>
        </w:rPr>
        <w:t xml:space="preserve">Upload their 835 files when you have them — EDI, CSV, or Excel. Run the benchmark analysis. Review findings before your renewal meeting.</w:t>
      </w:r>
    </w:p>
    <w:p>
      <w:pPr>
        <w:spacing w:before="240" w:after="80"/>
      </w:pPr>
      <w:r>
        <w:rPr>
          <w:rFonts w:ascii="Arial" w:cs="Arial" w:eastAsia="Arial" w:hAnsi="Arial"/>
          <w:b/>
          <w:bCs/>
          <w:color w:val="1E293B"/>
          <w:sz w:val="24"/>
          <w:szCs w:val="24"/>
        </w:rPr>
        <w:t xml:space="preserve">Step 3</w:t>
      </w:r>
    </w:p>
    <w:p>
      <w:pPr>
        <w:spacing w:before="80" w:after="120"/>
      </w:pPr>
      <w:r>
        <w:rPr>
          <w:rFonts w:ascii="Arial" w:cs="Arial" w:eastAsia="Arial" w:hAnsi="Arial"/>
          <w:color w:val="1E293B"/>
          <w:sz w:val="22"/>
          <w:szCs w:val="22"/>
        </w:rPr>
        <w:t xml:space="preserve">Bring the data. Generate CAA letters, share benchmark reports with your clients, and refer them to Parity Employer for ongoing monitoring.</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7: PRICING</w:t>
      </w:r>
    </w:p>
    <w:p>
      <w:pPr>
        <w:spacing w:before="60" w:after="60"/>
      </w:pPr>
      <w:r>
        <w:rPr>
          <w:rFonts w:ascii="Arial" w:cs="Arial" w:eastAsia="Arial" w:hAnsi="Arial"/>
          <w:i/>
          <w:iCs/>
          <w:color w:val="64748B"/>
          <w:sz w:val="18"/>
          <w:szCs w:val="18"/>
        </w:rPr>
        <w:t xml:space="preserve">One option. No tiers. No free permanent tier. Clean and consistent with Employer.</w:t>
      </w:r>
    </w:p>
    <w:p>
      <w:pPr>
        <w:spacing w:before="80" w:after="120"/>
      </w:pPr>
      <w:r>
        <w:rPr>
          <w:rFonts w:ascii="Arial" w:cs="Arial" w:eastAsia="Arial" w:hAnsi="Arial"/>
          <w:b/>
          <w:bCs/>
          <w:color w:val="1E293B"/>
          <w:sz w:val="26"/>
          <w:szCs w:val="26"/>
        </w:rPr>
        <w:t xml:space="preserve">$99 / month — billed monthly, cancel anytime</w:t>
      </w:r>
    </w:p>
    <w:p>
      <w:pPr>
        <w:pStyle w:val="ListParagraph"/>
        <w:numPr>
          <w:ilvl w:val="0"/>
          <w:numId w:val="2"/>
        </w:numPr>
        <w:spacing w:before="60" w:after="60"/>
      </w:pPr>
      <w:r>
        <w:rPr>
          <w:rFonts w:ascii="Arial" w:cs="Arial" w:eastAsia="Arial" w:hAnsi="Arial"/>
          <w:color w:val="1E293B"/>
          <w:sz w:val="22"/>
          <w:szCs w:val="22"/>
        </w:rPr>
        <w:t xml:space="preserve">Unlimited clients</w:t>
      </w:r>
    </w:p>
    <w:p>
      <w:pPr>
        <w:pStyle w:val="ListParagraph"/>
        <w:numPr>
          <w:ilvl w:val="0"/>
          <w:numId w:val="2"/>
        </w:numPr>
        <w:spacing w:before="60" w:after="60"/>
      </w:pPr>
      <w:r>
        <w:rPr>
          <w:rFonts w:ascii="Arial" w:cs="Arial" w:eastAsia="Arial" w:hAnsi="Arial"/>
          <w:color w:val="1E293B"/>
          <w:sz w:val="22"/>
          <w:szCs w:val="22"/>
        </w:rPr>
        <w:t xml:space="preserve">Unlimited 835 uploads and benchmark analyses</w:t>
      </w:r>
    </w:p>
    <w:p>
      <w:pPr>
        <w:pStyle w:val="ListParagraph"/>
        <w:numPr>
          <w:ilvl w:val="0"/>
          <w:numId w:val="2"/>
        </w:numPr>
        <w:spacing w:before="60" w:after="60"/>
      </w:pPr>
      <w:r>
        <w:rPr>
          <w:rFonts w:ascii="Arial" w:cs="Arial" w:eastAsia="Arial" w:hAnsi="Arial"/>
          <w:color w:val="1E293B"/>
          <w:sz w:val="22"/>
          <w:szCs w:val="22"/>
        </w:rPr>
        <w:t xml:space="preserve">CAA letter generation</w:t>
      </w:r>
    </w:p>
    <w:p>
      <w:pPr>
        <w:pStyle w:val="ListParagraph"/>
        <w:numPr>
          <w:ilvl w:val="0"/>
          <w:numId w:val="2"/>
        </w:numPr>
        <w:spacing w:before="60" w:after="60"/>
      </w:pPr>
      <w:r>
        <w:rPr>
          <w:rFonts w:ascii="Arial" w:cs="Arial" w:eastAsia="Arial" w:hAnsi="Arial"/>
          <w:color w:val="1E293B"/>
          <w:sz w:val="22"/>
          <w:szCs w:val="22"/>
        </w:rPr>
        <w:t xml:space="preserve">Book-of-business dashboard with renewal tracking</w:t>
      </w:r>
    </w:p>
    <w:p>
      <w:pPr>
        <w:pStyle w:val="ListParagraph"/>
        <w:numPr>
          <w:ilvl w:val="0"/>
          <w:numId w:val="2"/>
        </w:numPr>
        <w:spacing w:before="60" w:after="60"/>
      </w:pPr>
      <w:r>
        <w:rPr>
          <w:rFonts w:ascii="Arial" w:cs="Arial" w:eastAsia="Arial" w:hAnsi="Arial"/>
          <w:color w:val="1E293B"/>
          <w:sz w:val="22"/>
          <w:szCs w:val="22"/>
        </w:rPr>
        <w:t xml:space="preserve">Prospect benchmarking tool</w:t>
      </w:r>
    </w:p>
    <w:p>
      <w:pPr>
        <w:pStyle w:val="ListParagraph"/>
        <w:numPr>
          <w:ilvl w:val="0"/>
          <w:numId w:val="2"/>
        </w:numPr>
        <w:spacing w:before="60" w:after="60"/>
      </w:pPr>
      <w:r>
        <w:rPr>
          <w:rFonts w:ascii="Arial" w:cs="Arial" w:eastAsia="Arial" w:hAnsi="Arial"/>
          <w:color w:val="1E293B"/>
          <w:sz w:val="22"/>
          <w:szCs w:val="22"/>
        </w:rPr>
        <w:t xml:space="preserve">Employer referral tracking and commission dashboard</w:t>
      </w:r>
    </w:p>
    <w:p>
      <w:pPr>
        <w:pStyle w:val="ListParagraph"/>
        <w:numPr>
          <w:ilvl w:val="0"/>
          <w:numId w:val="2"/>
        </w:numPr>
        <w:spacing w:before="60" w:after="60"/>
      </w:pPr>
      <w:r>
        <w:rPr>
          <w:rFonts w:ascii="Arial" w:cs="Arial" w:eastAsia="Arial" w:hAnsi="Arial"/>
          <w:color w:val="1E293B"/>
          <w:sz w:val="22"/>
          <w:szCs w:val="22"/>
        </w:rPr>
        <w:t xml:space="preserve">PDF report export</w:t>
      </w:r>
    </w:p>
    <w:p>
      <w:pPr>
        <w:pStyle w:val="ListParagraph"/>
        <w:numPr>
          <w:ilvl w:val="0"/>
          <w:numId w:val="2"/>
        </w:numPr>
        <w:spacing w:before="60" w:after="60"/>
      </w:pPr>
      <w:r>
        <w:rPr>
          <w:rFonts w:ascii="Arial" w:cs="Arial" w:eastAsia="Arial" w:hAnsi="Arial"/>
          <w:color w:val="1E293B"/>
          <w:sz w:val="22"/>
          <w:szCs w:val="22"/>
        </w:rPr>
        <w:t xml:space="preserve">30-day free trial, no credit card required</w:t>
      </w:r>
    </w:p>
    <w:p>
      <w:pPr>
        <w:spacing w:before="100" w:after="60"/>
      </w:pPr>
      <w:r>
        <w:rPr>
          <w:rFonts w:ascii="Arial" w:cs="Arial" w:eastAsia="Arial" w:hAnsi="Arial"/>
          <w:b/>
          <w:bCs/>
          <w:color w:val="0D9488"/>
          <w:sz w:val="22"/>
          <w:szCs w:val="22"/>
        </w:rPr>
        <w:t xml:space="preserve">▶  Start Free Trial →</w:t>
      </w:r>
    </w:p>
    <w:p>
      <w:pPr>
        <w:spacing w:before="60" w:after="60"/>
      </w:pPr>
      <w:r>
        <w:rPr>
          <w:rFonts w:ascii="Arial" w:cs="Arial" w:eastAsia="Arial" w:hAnsi="Arial"/>
          <w:i/>
          <w:iCs/>
          <w:color w:val="64748B"/>
          <w:sz w:val="18"/>
          <w:szCs w:val="18"/>
        </w:rPr>
        <w:t xml:space="preserve">Trust line: No credit card required · 30-day free trial · Cancel anytime</w:t>
      </w:r>
    </w:p>
    <w:p>
      <w:pPr>
        <w:spacing w:before="80" w:after="120"/>
      </w:pPr>
      <w:r>
        <w:rPr>
          <w:rFonts w:ascii="Arial" w:cs="Arial" w:eastAsia="Arial" w:hAnsi="Arial"/>
          <w:color w:val="1E293B"/>
          <w:sz w:val="22"/>
          <w:szCs w:val="22"/>
        </w:rPr>
        <w:t xml:space="preserve">Managing your own employer plan too? Parity Employer gives your clients independent benchmark analysis with their own dashboard.</w:t>
      </w:r>
    </w:p>
    <w:p>
      <w:pPr>
        <w:spacing w:before="100" w:after="60"/>
      </w:pPr>
      <w:r>
        <w:rPr>
          <w:rFonts w:ascii="Arial" w:cs="Arial" w:eastAsia="Arial" w:hAnsi="Arial"/>
          <w:b/>
          <w:bCs/>
          <w:color w:val="0D9488"/>
          <w:sz w:val="22"/>
          <w:szCs w:val="22"/>
        </w:rPr>
        <w:t xml:space="preserve">▶  Learn about Parity Employer →  — links to /billing/employer</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8: BUILT ON PUBLIC DATA</w:t>
      </w:r>
    </w:p>
    <w:p>
      <w:pPr>
        <w:pStyle w:val="Heading2"/>
        <w:spacing w:before="360" w:after="120"/>
      </w:pPr>
      <w:r>
        <w:rPr>
          <w:rFonts w:ascii="Arial" w:cs="Arial" w:eastAsia="Arial" w:hAnsi="Arial"/>
          <w:b/>
          <w:bCs/>
          <w:color w:val="0D9488"/>
          <w:sz w:val="28"/>
          <w:szCs w:val="28"/>
        </w:rPr>
        <w:t xml:space="preserve">Verified against current rates.</w:t>
      </w:r>
    </w:p>
    <w:p>
      <w:pPr>
        <w:pStyle w:val="ListParagraph"/>
        <w:numPr>
          <w:ilvl w:val="0"/>
          <w:numId w:val="2"/>
        </w:numPr>
        <w:spacing w:before="60" w:after="60"/>
      </w:pPr>
      <w:r>
        <w:rPr>
          <w:rFonts w:ascii="Arial" w:cs="Arial" w:eastAsia="Arial" w:hAnsi="Arial"/>
          <w:color w:val="1E293B"/>
          <w:sz w:val="22"/>
          <w:szCs w:val="22"/>
        </w:rPr>
        <w:t xml:space="preserve">CMS Physician Fee Schedule — 841,000 rates updated annually, locality-adjusted</w:t>
      </w:r>
    </w:p>
    <w:p>
      <w:pPr>
        <w:pStyle w:val="ListParagraph"/>
        <w:numPr>
          <w:ilvl w:val="0"/>
          <w:numId w:val="2"/>
        </w:numPr>
        <w:spacing w:before="60" w:after="60"/>
      </w:pPr>
      <w:r>
        <w:rPr>
          <w:rFonts w:ascii="Arial" w:cs="Arial" w:eastAsia="Arial" w:hAnsi="Arial"/>
          <w:color w:val="1E293B"/>
          <w:sz w:val="22"/>
          <w:szCs w:val="22"/>
        </w:rPr>
        <w:t xml:space="preserve">NADAC Drug Acquisition Costs — weekly CMS update, direct benchmark comparison</w:t>
      </w:r>
    </w:p>
    <w:p>
      <w:pPr>
        <w:pStyle w:val="ListParagraph"/>
        <w:numPr>
          <w:ilvl w:val="0"/>
          <w:numId w:val="2"/>
        </w:numPr>
        <w:spacing w:before="60" w:after="60"/>
      </w:pPr>
      <w:r>
        <w:rPr>
          <w:rFonts w:ascii="Arial" w:cs="Arial" w:eastAsia="Arial" w:hAnsi="Arial"/>
          <w:color w:val="1E293B"/>
          <w:sz w:val="22"/>
          <w:szCs w:val="22"/>
        </w:rPr>
        <w:t xml:space="preserve">NCCI Edit Pairs — 2.2 million code pair edits for unbundling detection</w:t>
      </w:r>
    </w:p>
    <w:p>
      <w:pPr>
        <w:pStyle w:val="ListParagraph"/>
        <w:numPr>
          <w:ilvl w:val="0"/>
          <w:numId w:val="2"/>
        </w:numPr>
        <w:spacing w:before="60" w:after="60"/>
      </w:pPr>
      <w:r>
        <w:rPr>
          <w:rFonts w:ascii="Arial" w:cs="Arial" w:eastAsia="Arial" w:hAnsi="Arial"/>
          <w:color w:val="1E293B"/>
          <w:sz w:val="22"/>
          <w:szCs w:val="22"/>
        </w:rPr>
        <w:t xml:space="preserve">CAA 2021 — statutory data request language pre-populated in every letter</w:t>
      </w:r>
    </w:p>
    <w:p>
      <w:pPr>
        <w:spacing w:before="80" w:after="120"/>
      </w:pPr>
      <w:r>
        <w:rPr>
          <w:rFonts w:ascii="Arial" w:cs="Arial" w:eastAsia="Arial" w:hAnsi="Arial"/>
          <w:b/>
          <w:bCs/>
          <w:color w:val="1E293B"/>
          <w:sz w:val="22"/>
          <w:szCs w:val="22"/>
        </w:rPr>
        <w:t xml:space="preserve">No client data shared across accounts. Your book of business is yours.</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DESIGN NOTES FOR CLAUDE CODE</w:t>
      </w:r>
    </w:p>
    <w:p>
      <w:pPr>
        <w:pStyle w:val="Heading2"/>
        <w:spacing w:before="360" w:after="120"/>
      </w:pPr>
      <w:r>
        <w:rPr>
          <w:rFonts w:ascii="Arial" w:cs="Arial" w:eastAsia="Arial" w:hAnsi="Arial"/>
          <w:b/>
          <w:bCs/>
          <w:color w:val="0D9488"/>
          <w:sz w:val="28"/>
          <w:szCs w:val="28"/>
        </w:rPr>
        <w:t xml:space="preserve">Architecture</w:t>
      </w:r>
    </w:p>
    <w:p>
      <w:pPr>
        <w:pStyle w:val="ListParagraph"/>
        <w:numPr>
          <w:ilvl w:val="0"/>
          <w:numId w:val="2"/>
        </w:numPr>
        <w:spacing w:before="60" w:after="60"/>
      </w:pPr>
      <w:r>
        <w:rPr>
          <w:rFonts w:ascii="Arial" w:cs="Arial" w:eastAsia="Arial" w:hAnsi="Arial"/>
          <w:color w:val="1E293B"/>
          <w:sz w:val="22"/>
          <w:szCs w:val="22"/>
        </w:rPr>
        <w:t xml:space="preserve">Route: /broker — replace existing BrokerLandingPage.jsx entirely</w:t>
      </w:r>
    </w:p>
    <w:p>
      <w:pPr>
        <w:pStyle w:val="ListParagraph"/>
        <w:numPr>
          <w:ilvl w:val="0"/>
          <w:numId w:val="2"/>
        </w:numPr>
        <w:spacing w:before="60" w:after="60"/>
      </w:pPr>
      <w:r>
        <w:rPr>
          <w:rFonts w:ascii="Arial" w:cs="Arial" w:eastAsia="Arial" w:hAnsi="Arial"/>
          <w:color w:val="1E293B"/>
          <w:sz w:val="22"/>
          <w:szCs w:val="22"/>
        </w:rPr>
        <w:t xml:space="preserve">Demo component: embed directly in page, same pattern as EmployerProductPage.jsx</w:t>
      </w:r>
    </w:p>
    <w:p>
      <w:pPr>
        <w:pStyle w:val="ListParagraph"/>
        <w:numPr>
          <w:ilvl w:val="0"/>
          <w:numId w:val="2"/>
        </w:numPr>
        <w:spacing w:before="60" w:after="60"/>
      </w:pPr>
      <w:r>
        <w:rPr>
          <w:rFonts w:ascii="Arial" w:cs="Arial" w:eastAsia="Arial" w:hAnsi="Arial"/>
          <w:color w:val="1E293B"/>
          <w:sz w:val="22"/>
          <w:szCs w:val="22"/>
        </w:rPr>
        <w:t xml:space="preserve">Nav: match EmployerProductPage.jsx nav pattern exactly — CivicScale wordmark left, Sign In + Start Free Trial right when signed out, Dashboard + Account when signed in</w:t>
      </w:r>
    </w:p>
    <w:p>
      <w:pPr>
        <w:pStyle w:val="ListParagraph"/>
        <w:numPr>
          <w:ilvl w:val="0"/>
          <w:numId w:val="2"/>
        </w:numPr>
        <w:spacing w:before="60" w:after="60"/>
      </w:pPr>
      <w:r>
        <w:rPr>
          <w:rFonts w:ascii="Arial" w:cs="Arial" w:eastAsia="Arial" w:hAnsi="Arial"/>
          <w:color w:val="1E293B"/>
          <w:sz w:val="22"/>
          <w:szCs w:val="22"/>
        </w:rPr>
        <w:t xml:space="preserve">Signed-in redirect: if company?.type === 'broker', swap Start Free Trial for Go to Dashboard linking to /broker/dashboard</w:t>
      </w:r>
    </w:p>
    <w:p>
      <w:pPr>
        <w:pStyle w:val="Heading2"/>
        <w:spacing w:before="360" w:after="120"/>
      </w:pPr>
      <w:r>
        <w:rPr>
          <w:rFonts w:ascii="Arial" w:cs="Arial" w:eastAsia="Arial" w:hAnsi="Arial"/>
          <w:b/>
          <w:bCs/>
          <w:color w:val="0D9488"/>
          <w:sz w:val="28"/>
          <w:szCs w:val="28"/>
        </w:rPr>
        <w:t xml:space="preserve">Demo requirements</w:t>
      </w:r>
    </w:p>
    <w:p>
      <w:pPr>
        <w:pStyle w:val="ListParagraph"/>
        <w:numPr>
          <w:ilvl w:val="0"/>
          <w:numId w:val="2"/>
        </w:numPr>
        <w:spacing w:before="60" w:after="60"/>
      </w:pPr>
      <w:r>
        <w:rPr>
          <w:rFonts w:ascii="Arial" w:cs="Arial" w:eastAsia="Arial" w:hAnsi="Arial"/>
          <w:color w:val="1E293B"/>
          <w:sz w:val="22"/>
          <w:szCs w:val="22"/>
        </w:rPr>
        <w:t xml:space="preserve">Tab 1 (Book of Business): 6–8 sample clients, realistic company names, renewal dates spread across next 6 months, 2–3 flagged as urgent (red)</w:t>
      </w:r>
    </w:p>
    <w:p>
      <w:pPr>
        <w:pStyle w:val="ListParagraph"/>
        <w:numPr>
          <w:ilvl w:val="0"/>
          <w:numId w:val="2"/>
        </w:numPr>
        <w:spacing w:before="60" w:after="60"/>
      </w:pPr>
      <w:r>
        <w:rPr>
          <w:rFonts w:ascii="Arial" w:cs="Arial" w:eastAsia="Arial" w:hAnsi="Arial"/>
          <w:color w:val="1E293B"/>
          <w:sz w:val="22"/>
          <w:szCs w:val="22"/>
        </w:rPr>
        <w:t xml:space="preserve">Tab 2 (Prospect Benchmark): working form with industry dropdown and state dropdown, produces instant benchmark output — use hardcoded realistic benchmark data, no API call needed for demo</w:t>
      </w:r>
    </w:p>
    <w:p>
      <w:pPr>
        <w:pStyle w:val="ListParagraph"/>
        <w:numPr>
          <w:ilvl w:val="0"/>
          <w:numId w:val="2"/>
        </w:numPr>
        <w:spacing w:before="60" w:after="60"/>
      </w:pPr>
      <w:r>
        <w:rPr>
          <w:rFonts w:ascii="Arial" w:cs="Arial" w:eastAsia="Arial" w:hAnsi="Arial"/>
          <w:color w:val="1E293B"/>
          <w:sz w:val="22"/>
          <w:szCs w:val="22"/>
        </w:rPr>
        <w:t xml:space="preserve">Tab 3 (Client Detail): opens on row click, shows claims benchmark + pharmacy + CAA letter generator</w:t>
      </w:r>
    </w:p>
    <w:p>
      <w:pPr>
        <w:pStyle w:val="ListParagraph"/>
        <w:numPr>
          <w:ilvl w:val="0"/>
          <w:numId w:val="2"/>
        </w:numPr>
        <w:spacing w:before="60" w:after="60"/>
      </w:pPr>
      <w:r>
        <w:rPr>
          <w:rFonts w:ascii="Arial" w:cs="Arial" w:eastAsia="Arial" w:hAnsi="Arial"/>
          <w:color w:val="1E293B"/>
          <w:sz w:val="22"/>
          <w:szCs w:val="22"/>
        </w:rPr>
        <w:t xml:space="preserve">CAA letter: generates a realistic formatted letter — not a placeholder. Include carrier name, plan year, CAA 2021 Section 204 reference, specific data elements list</w:t>
      </w:r>
    </w:p>
    <w:p>
      <w:pPr>
        <w:pStyle w:val="ListParagraph"/>
        <w:numPr>
          <w:ilvl w:val="0"/>
          <w:numId w:val="2"/>
        </w:numPr>
        <w:spacing w:before="60" w:after="60"/>
      </w:pPr>
      <w:r>
        <w:rPr>
          <w:rFonts w:ascii="Arial" w:cs="Arial" w:eastAsia="Arial" w:hAnsi="Arial"/>
          <w:color w:val="1E293B"/>
          <w:sz w:val="22"/>
          <w:szCs w:val="22"/>
        </w:rPr>
        <w:t xml:space="preserve">PDF download of CAA letter: implement if straightforward, otherwise show a print-ready formatted view</w:t>
      </w:r>
    </w:p>
    <w:p>
      <w:pPr>
        <w:pStyle w:val="Heading2"/>
        <w:spacing w:before="360" w:after="120"/>
      </w:pPr>
      <w:r>
        <w:rPr>
          <w:rFonts w:ascii="Arial" w:cs="Arial" w:eastAsia="Arial" w:hAnsi="Arial"/>
          <w:b/>
          <w:bCs/>
          <w:color w:val="0D9488"/>
          <w:sz w:val="28"/>
          <w:szCs w:val="28"/>
        </w:rPr>
        <w:t xml:space="preserve">Pricing change</w:t>
      </w:r>
    </w:p>
    <w:p>
      <w:pPr>
        <w:spacing w:before="80" w:after="80"/>
      </w:pPr>
      <w:r>
        <w:rPr>
          <w:rFonts w:ascii="Arial" w:cs="Arial" w:eastAsia="Arial" w:hAnsi="Arial"/>
          <w:b/>
          <w:bCs/>
          <w:color w:val="DC2626"/>
          <w:sz w:val="20"/>
          <w:szCs w:val="20"/>
        </w:rPr>
        <w:t xml:space="preserve">Remove all references to free Starter tier or permanent free tier. The only free element is the 30-day trial.</w:t>
      </w:r>
    </w:p>
    <w:p>
      <w:pPr>
        <w:spacing w:before="80" w:after="80"/>
      </w:pPr>
      <w:r>
        <w:rPr>
          <w:rFonts w:ascii="Arial" w:cs="Arial" w:eastAsia="Arial" w:hAnsi="Arial"/>
          <w:b/>
          <w:bCs/>
          <w:color w:val="DC2626"/>
          <w:sz w:val="20"/>
          <w:szCs w:val="20"/>
        </w:rPr>
        <w:t xml:space="preserve">The free prospect benchmark tool on the page is a lead magnet, not a product tier — do not label it as a free plan.</w:t>
      </w:r>
    </w:p>
    <w:p>
      <w:pPr>
        <w:pStyle w:val="ListParagraph"/>
        <w:numPr>
          <w:ilvl w:val="0"/>
          <w:numId w:val="2"/>
        </w:numPr>
        <w:spacing w:before="60" w:after="60"/>
      </w:pPr>
      <w:r>
        <w:rPr>
          <w:rFonts w:ascii="Arial" w:cs="Arial" w:eastAsia="Arial" w:hAnsi="Arial"/>
          <w:color w:val="1E293B"/>
          <w:sz w:val="22"/>
          <w:szCs w:val="22"/>
        </w:rPr>
        <w:t xml:space="preserve">Update /broker/signup flow to match — no tier selection, straight to trial signup</w:t>
      </w:r>
    </w:p>
    <w:p>
      <w:pPr>
        <w:pStyle w:val="Heading2"/>
        <w:spacing w:before="360" w:after="120"/>
      </w:pPr>
      <w:r>
        <w:rPr>
          <w:rFonts w:ascii="Arial" w:cs="Arial" w:eastAsia="Arial" w:hAnsi="Arial"/>
          <w:b/>
          <w:bCs/>
          <w:color w:val="0D9488"/>
          <w:sz w:val="28"/>
          <w:szCs w:val="28"/>
        </w:rPr>
        <w:t xml:space="preserve">Tone</w:t>
      </w:r>
    </w:p>
    <w:p>
      <w:pPr>
        <w:pStyle w:val="ListParagraph"/>
        <w:numPr>
          <w:ilvl w:val="0"/>
          <w:numId w:val="2"/>
        </w:numPr>
        <w:spacing w:before="60" w:after="60"/>
      </w:pPr>
      <w:r>
        <w:rPr>
          <w:rFonts w:ascii="Arial" w:cs="Arial" w:eastAsia="Arial" w:hAnsi="Arial"/>
          <w:color w:val="1E293B"/>
          <w:sz w:val="22"/>
          <w:szCs w:val="22"/>
        </w:rPr>
        <w:t xml:space="preserve">Retention-first — the primary emotional register is renewal season pressure</w:t>
      </w:r>
    </w:p>
    <w:p>
      <w:pPr>
        <w:pStyle w:val="ListParagraph"/>
        <w:numPr>
          <w:ilvl w:val="0"/>
          <w:numId w:val="2"/>
        </w:numPr>
        <w:spacing w:before="60" w:after="60"/>
      </w:pPr>
      <w:r>
        <w:rPr>
          <w:rFonts w:ascii="Arial" w:cs="Arial" w:eastAsia="Arial" w:hAnsi="Arial"/>
          <w:color w:val="1E293B"/>
          <w:sz w:val="22"/>
          <w:szCs w:val="22"/>
        </w:rPr>
        <w:t xml:space="preserve">Practice management platform — not a point tool. The dashboard makes this feel like infrastructure.</w:t>
      </w:r>
    </w:p>
    <w:p>
      <w:pPr>
        <w:pStyle w:val="ListParagraph"/>
        <w:numPr>
          <w:ilvl w:val="0"/>
          <w:numId w:val="2"/>
        </w:numPr>
        <w:spacing w:before="60" w:after="60"/>
      </w:pPr>
      <w:r>
        <w:rPr>
          <w:rFonts w:ascii="Arial" w:cs="Arial" w:eastAsia="Arial" w:hAnsi="Arial"/>
          <w:color w:val="1E293B"/>
          <w:sz w:val="22"/>
          <w:szCs w:val="22"/>
        </w:rPr>
        <w:t xml:space="preserve">Direct and data-confident — never salesy</w:t>
      </w:r>
    </w:p>
    <w:p>
      <w:pPr>
        <w:pStyle w:val="ListParagraph"/>
        <w:numPr>
          <w:ilvl w:val="0"/>
          <w:numId w:val="2"/>
        </w:numPr>
        <w:spacing w:before="60" w:after="60"/>
      </w:pPr>
      <w:r>
        <w:rPr>
          <w:rFonts w:ascii="Arial" w:cs="Arial" w:eastAsia="Arial" w:hAnsi="Arial"/>
          <w:color w:val="1E293B"/>
          <w:sz w:val="22"/>
          <w:szCs w:val="22"/>
        </w:rPr>
        <w:t xml:space="preserve">Does not demonize carriers or TPAs — describes structural conditions</w:t>
      </w:r>
    </w:p>
    <w:p>
      <w:pPr>
        <w:pStyle w:val="Heading2"/>
        <w:spacing w:before="360" w:after="120"/>
      </w:pPr>
      <w:r>
        <w:rPr>
          <w:rFonts w:ascii="Arial" w:cs="Arial" w:eastAsia="Arial" w:hAnsi="Arial"/>
          <w:b/>
          <w:bCs/>
          <w:color w:val="0D9488"/>
          <w:sz w:val="28"/>
          <w:szCs w:val="28"/>
        </w:rPr>
        <w:t xml:space="preserve">CTA conventions</w:t>
      </w:r>
    </w:p>
    <w:p>
      <w:pPr>
        <w:pStyle w:val="ListParagraph"/>
        <w:numPr>
          <w:ilvl w:val="0"/>
          <w:numId w:val="2"/>
        </w:numPr>
        <w:spacing w:before="60" w:after="60"/>
      </w:pPr>
      <w:r>
        <w:rPr>
          <w:rFonts w:ascii="Arial" w:cs="Arial" w:eastAsia="Arial" w:hAnsi="Arial"/>
          <w:color w:val="1E293B"/>
          <w:sz w:val="22"/>
          <w:szCs w:val="22"/>
        </w:rPr>
        <w:t xml:space="preserve">Primary: “Start Free Trial” → /broker/signup</w:t>
      </w:r>
    </w:p>
    <w:p>
      <w:pPr>
        <w:pStyle w:val="ListParagraph"/>
        <w:numPr>
          <w:ilvl w:val="0"/>
          <w:numId w:val="2"/>
        </w:numPr>
        <w:spacing w:before="60" w:after="60"/>
      </w:pPr>
      <w:r>
        <w:rPr>
          <w:rFonts w:ascii="Arial" w:cs="Arial" w:eastAsia="Arial" w:hAnsi="Arial"/>
          <w:color w:val="1E293B"/>
          <w:sz w:val="22"/>
          <w:szCs w:val="22"/>
        </w:rPr>
        <w:t xml:space="preserve">Trust line: “No credit card required · 30-day free trial · Cancel anytime”</w:t>
      </w:r>
    </w:p>
    <w:p>
      <w:pPr>
        <w:pStyle w:val="ListParagraph"/>
        <w:numPr>
          <w:ilvl w:val="0"/>
          <w:numId w:val="2"/>
        </w:numPr>
        <w:spacing w:before="60" w:after="60"/>
      </w:pPr>
      <w:r>
        <w:rPr>
          <w:rFonts w:ascii="Arial" w:cs="Arial" w:eastAsia="Arial" w:hAnsi="Arial"/>
          <w:color w:val="1E293B"/>
          <w:sz w:val="22"/>
          <w:szCs w:val="22"/>
        </w:rPr>
        <w:t xml:space="preserve">Demo scroll CTA: “See Your Dashboard” — scrolls to demo</w:t>
      </w:r>
    </w:p>
    <w:p>
      <w:pPr>
        <w:pStyle w:val="ListParagraph"/>
        <w:numPr>
          <w:ilvl w:val="0"/>
          <w:numId w:val="2"/>
        </w:numPr>
        <w:spacing w:before="60" w:after="60"/>
      </w:pPr>
      <w:r>
        <w:rPr>
          <w:rFonts w:ascii="Arial" w:cs="Arial" w:eastAsia="Arial" w:hAnsi="Arial"/>
          <w:color w:val="1E293B"/>
          <w:sz w:val="22"/>
          <w:szCs w:val="22"/>
        </w:rPr>
        <w:t xml:space="preserve">Employer crosslink: “Learn about Parity Employer →”</w:t>
      </w:r>
    </w:p>
    <w:p>
      <w:pPr>
        <w:pStyle w:val="Heading2"/>
        <w:spacing w:before="360" w:after="120"/>
      </w:pPr>
      <w:r>
        <w:rPr>
          <w:rFonts w:ascii="Arial" w:cs="Arial" w:eastAsia="Arial" w:hAnsi="Arial"/>
          <w:b/>
          <w:bCs/>
          <w:color w:val="0D9488"/>
          <w:sz w:val="28"/>
          <w:szCs w:val="28"/>
        </w:rPr>
        <w:t xml:space="preserve">Do not touch</w:t>
      </w:r>
    </w:p>
    <w:p>
      <w:pPr>
        <w:spacing w:before="80" w:after="80"/>
      </w:pPr>
      <w:r>
        <w:rPr>
          <w:rFonts w:ascii="Arial" w:cs="Arial" w:eastAsia="Arial" w:hAnsi="Arial"/>
          <w:b/>
          <w:bCs/>
          <w:color w:val="DC2626"/>
          <w:sz w:val="20"/>
          <w:szCs w:val="20"/>
        </w:rPr>
        <w:t xml:space="preserve">Do not modify any backend routers, auth system, broker dashboard, or existing broker routes.</w:t>
      </w:r>
    </w:p>
    <w:p>
      <w:pPr>
        <w:spacing w:before="80" w:after="80"/>
      </w:pPr>
      <w:r>
        <w:rPr>
          <w:rFonts w:ascii="Arial" w:cs="Arial" w:eastAsia="Arial" w:hAnsi="Arial"/>
          <w:b/>
          <w:bCs/>
          <w:color w:val="DC2626"/>
          <w:sz w:val="20"/>
          <w:szCs w:val="20"/>
        </w:rPr>
        <w:t xml:space="preserve">Do not change /broker/login, /broker/dashboard, /broker/account, or any downstream broker routes.</w:t>
      </w:r>
    </w:p>
    <w:p>
      <w:pPr>
        <w:spacing w:before="80" w:after="80"/>
      </w:pPr>
      <w:r>
        <w:rPr>
          <w:rFonts w:ascii="Arial" w:cs="Arial" w:eastAsia="Arial" w:hAnsi="Arial"/>
          <w:b/>
          <w:bCs/>
          <w:color w:val="DC2626"/>
          <w:sz w:val="20"/>
          <w:szCs w:val="20"/>
        </w:rPr>
        <w:t xml:space="preserve">Only BrokerLandingPage.jsx and the embedded demo component are in scope.</w:t>
      </w:r>
    </w:p>
    <w:p>
      <w:pPr>
        <w:spacing w:before="80" w:after="80"/>
      </w:pPr>
      <w:r>
        <w:rPr>
          <w:rFonts w:ascii="Arial" w:cs="Arial" w:eastAsia="Arial" w:hAnsi="Arial"/>
          <w:b/>
          <w:bCs/>
          <w:color w:val="DC2626"/>
          <w:sz w:val="20"/>
          <w:szCs w:val="20"/>
        </w:rPr>
        <w:t xml:space="preserve">Update /broker/signup only to remove tier selection if it exists — no other changes to signup flow.</w:t>
      </w:r>
    </w:p>
    <w:p>
      <w:pPr>
        <w:spacing w:before="480" w:after="120"/>
        <w:jc w:val="center"/>
      </w:pPr>
      <w:r>
        <w:rPr>
          <w:rFonts w:ascii="Arial" w:cs="Arial" w:eastAsia="Arial" w:hAnsi="Arial"/>
          <w:i/>
          <w:iCs/>
          <w:color w:val="64748B"/>
          <w:sz w:val="18"/>
          <w:szCs w:val="18"/>
        </w:rPr>
        <w:t xml:space="preserve">CivicScale · Parity Broker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2026-03-11T15:43:24.067Z</dcterms:created>
  <dcterms:modified xsi:type="dcterms:W3CDTF">2026-03-11T15:43:24.068Z</dcterms:modified>
</cp:coreProperties>
</file>

<file path=docProps/custom.xml><?xml version="1.0" encoding="utf-8"?>
<Properties xmlns="http://schemas.openxmlformats.org/officeDocument/2006/custom-properties" xmlns:vt="http://schemas.openxmlformats.org/officeDocument/2006/docPropsVTypes"/>
</file>