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D9488"/>
          <w:sz w:val="48"/>
          <w:szCs w:val="48"/>
        </w:rPr>
        <w:t xml:space="preserve">PARITY PROVIDER</w:t>
      </w:r>
    </w:p>
    <w:p>
      <w:pPr>
        <w:spacing w:before="0" w:after="60"/>
        <w:jc w:val="center"/>
      </w:pPr>
      <w:r>
        <w:rPr>
          <w:rFonts w:ascii="Arial" w:cs="Arial" w:eastAsia="Arial" w:hAnsi="Arial"/>
          <w:color w:val="64748B"/>
          <w:sz w:val="28"/>
          <w:szCs w:val="28"/>
        </w:rPr>
        <w:t xml:space="preserve">Landing Page Copy Brief</w:t>
      </w:r>
    </w:p>
    <w:p>
      <w:pPr>
        <w:spacing w:before="0" w:after="60"/>
        <w:jc w:val="center"/>
      </w:pPr>
      <w:r>
        <w:rPr>
          <w:rFonts w:ascii="Arial" w:cs="Arial" w:eastAsia="Arial" w:hAnsi="Arial"/>
          <w:i/>
          <w:iCs/>
          <w:color w:val="64748B"/>
          <w:sz w:val="20"/>
          <w:szCs w:val="20"/>
        </w:rPr>
        <w:t xml:space="preserve">Route: /billing/provider · Also serves provider.civicscale.ai · Session G · March 2026</w:t>
      </w:r>
    </w:p>
    <w:p>
      <w:pPr>
        <w:spacing w:before="0" w:after="240"/>
        <w:jc w:val="center"/>
      </w:pPr>
      <w:r>
        <w:rPr>
          <w:rFonts w:ascii="Arial" w:cs="Arial" w:eastAsia="Arial" w:hAnsi="Arial"/>
          <w:i/>
          <w:iCs/>
          <w:color w:val="64748B"/>
          <w:sz w:val="20"/>
          <w:szCs w:val="20"/>
        </w:rPr>
        <w:t xml:space="preserve">For Claude Code handoff</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PAGE STRATEGY</w:t>
      </w:r>
    </w:p>
    <w:p>
      <w:pPr>
        <w:spacing w:before="200" w:after="60"/>
      </w:pPr>
      <w:r>
        <w:rPr>
          <w:rFonts w:ascii="Arial" w:cs="Arial" w:eastAsia="Arial" w:hAnsi="Arial"/>
          <w:b/>
          <w:bCs/>
          <w:i/>
          <w:iCs/>
          <w:color w:val="64748B"/>
          <w:sz w:val="20"/>
          <w:szCs w:val="20"/>
        </w:rPr>
        <w:t xml:space="preserve">Primary readers</w:t>
      </w:r>
    </w:p>
    <w:p>
      <w:pPr>
        <w:spacing w:before="80" w:after="120"/>
      </w:pPr>
      <w:r>
        <w:rPr>
          <w:rFonts w:ascii="Arial" w:cs="Arial" w:eastAsia="Arial" w:hAnsi="Arial"/>
          <w:color w:val="1E293B"/>
          <w:sz w:val="22"/>
          <w:szCs w:val="22"/>
        </w:rPr>
        <w:t xml:space="preserve">Two co-equal audiences who often make the decision together:</w:t>
      </w:r>
    </w:p>
    <w:p>
      <w:pPr>
        <w:pStyle w:val="ListParagraph"/>
        <w:numPr>
          <w:ilvl w:val="0"/>
          <w:numId w:val="2"/>
        </w:numPr>
        <w:spacing w:before="60" w:after="60"/>
      </w:pPr>
      <w:r>
        <w:rPr>
          <w:rFonts w:ascii="Arial" w:cs="Arial" w:eastAsia="Arial" w:hAnsi="Arial"/>
          <w:color w:val="1E293B"/>
          <w:sz w:val="22"/>
          <w:szCs w:val="22"/>
        </w:rPr>
        <w:t xml:space="preserve">Practice owner / physician — financial and strategic. Cares about revenue recovery, contract integrity, and whether the practice is being paid what it negotiated. Responds to dollar amounts and trend data.</w:t>
      </w:r>
    </w:p>
    <w:p>
      <w:pPr>
        <w:pStyle w:val="ListParagraph"/>
        <w:numPr>
          <w:ilvl w:val="0"/>
          <w:numId w:val="2"/>
        </w:numPr>
        <w:spacing w:before="60" w:after="60"/>
      </w:pPr>
      <w:r>
        <w:rPr>
          <w:rFonts w:ascii="Arial" w:cs="Arial" w:eastAsia="Arial" w:hAnsi="Arial"/>
          <w:color w:val="1E293B"/>
          <w:sz w:val="22"/>
          <w:szCs w:val="22"/>
        </w:rPr>
        <w:t xml:space="preserve">Billing director / revenue cycle manager — operational and tactical. Cares about denial patterns, appeal workflow, and whether the tools save time. Responds to workflow specifics and concrete capability demonstrations.</w:t>
      </w:r>
    </w:p>
    <w:p>
      <w:pPr>
        <w:spacing w:before="200" w:after="60"/>
      </w:pPr>
      <w:r>
        <w:rPr>
          <w:rFonts w:ascii="Arial" w:cs="Arial" w:eastAsia="Arial" w:hAnsi="Arial"/>
          <w:b/>
          <w:bCs/>
          <w:i/>
          <w:iCs/>
          <w:color w:val="64748B"/>
          <w:sz w:val="20"/>
          <w:szCs w:val="20"/>
        </w:rPr>
        <w:t xml:space="preserve">Emotional register</w:t>
      </w:r>
    </w:p>
    <w:p>
      <w:pPr>
        <w:spacing w:before="80" w:after="120"/>
      </w:pPr>
      <w:r>
        <w:rPr>
          <w:rFonts w:ascii="Arial" w:cs="Arial" w:eastAsia="Arial" w:hAnsi="Arial"/>
          <w:color w:val="1E293B"/>
          <w:sz w:val="22"/>
          <w:szCs w:val="22"/>
        </w:rPr>
        <w:t xml:space="preserve">Revenue leakage. Every physician practice owner knows intuitively that they are being underpaid on some claims and that some denials are wrong. What they lack is the systematic evidence to prove it — and the time to build that evidence manually. The page should surface that recognition immediately.</w:t>
      </w:r>
    </w:p>
    <w:p>
      <w:pPr>
        <w:spacing w:before="200" w:after="60"/>
      </w:pPr>
      <w:r>
        <w:rPr>
          <w:rFonts w:ascii="Arial" w:cs="Arial" w:eastAsia="Arial" w:hAnsi="Arial"/>
          <w:b/>
          <w:bCs/>
          <w:i/>
          <w:iCs/>
          <w:color w:val="64748B"/>
          <w:sz w:val="20"/>
          <w:szCs w:val="20"/>
        </w:rPr>
        <w:t xml:space="preserve">Page goal</w:t>
      </w:r>
    </w:p>
    <w:p>
      <w:pPr>
        <w:spacing w:before="80" w:after="120"/>
      </w:pPr>
      <w:r>
        <w:rPr>
          <w:rFonts w:ascii="Arial" w:cs="Arial" w:eastAsia="Arial" w:hAnsi="Arial"/>
          <w:color w:val="1E293B"/>
          <w:sz w:val="22"/>
          <w:szCs w:val="22"/>
        </w:rPr>
        <w:t xml:space="preserve">Visitor arrives → recognizes the revenue leakage problem immediately → sees a real-looking analysis within 30 seconds → understands the appeal letter capability → starts a trial within 3 minutes.</w:t>
      </w:r>
    </w:p>
    <w:p>
      <w:pPr>
        <w:spacing w:before="200" w:after="60"/>
      </w:pPr>
      <w:r>
        <w:rPr>
          <w:rFonts w:ascii="Arial" w:cs="Arial" w:eastAsia="Arial" w:hAnsi="Arial"/>
          <w:b/>
          <w:bCs/>
          <w:i/>
          <w:iCs/>
          <w:color w:val="64748B"/>
          <w:sz w:val="20"/>
          <w:szCs w:val="20"/>
        </w:rPr>
        <w:t xml:space="preserve">Key changes from current page</w:t>
      </w:r>
    </w:p>
    <w:p>
      <w:pPr>
        <w:pStyle w:val="ListParagraph"/>
        <w:numPr>
          <w:ilvl w:val="0"/>
          <w:numId w:val="2"/>
        </w:numPr>
        <w:spacing w:before="60" w:after="60"/>
      </w:pPr>
      <w:r>
        <w:rPr>
          <w:rFonts w:ascii="Arial" w:cs="Arial" w:eastAsia="Arial" w:hAnsi="Arial"/>
          <w:color w:val="1E293B"/>
          <w:sz w:val="22"/>
          <w:szCs w:val="22"/>
        </w:rPr>
        <w:t xml:space="preserve">Price changes from $300/month to $99/month</w:t>
      </w:r>
    </w:p>
    <w:p>
      <w:pPr>
        <w:pStyle w:val="ListParagraph"/>
        <w:numPr>
          <w:ilvl w:val="0"/>
          <w:numId w:val="2"/>
        </w:numPr>
        <w:spacing w:before="60" w:after="60"/>
      </w:pPr>
      <w:r>
        <w:rPr>
          <w:rFonts w:ascii="Arial" w:cs="Arial" w:eastAsia="Arial" w:hAnsi="Arial"/>
          <w:color w:val="1E293B"/>
          <w:sz w:val="22"/>
          <w:szCs w:val="22"/>
        </w:rPr>
        <w:t xml:space="preserve">Free audit funnel replaced with 30-day free trial — consistent with Employer and Broker</w:t>
      </w:r>
    </w:p>
    <w:p>
      <w:pPr>
        <w:pStyle w:val="ListParagraph"/>
        <w:numPr>
          <w:ilvl w:val="0"/>
          <w:numId w:val="2"/>
        </w:numPr>
        <w:spacing w:before="60" w:after="60"/>
      </w:pPr>
      <w:r>
        <w:rPr>
          <w:rFonts w:ascii="Arial" w:cs="Arial" w:eastAsia="Arial" w:hAnsi="Arial"/>
          <w:color w:val="1E293B"/>
          <w:sz w:val="22"/>
          <w:szCs w:val="22"/>
        </w:rPr>
        <w:t xml:space="preserve">Demo embedded on page — same structure as Employer and Broker</w:t>
      </w:r>
    </w:p>
    <w:p>
      <w:pPr>
        <w:pStyle w:val="ListParagraph"/>
        <w:numPr>
          <w:ilvl w:val="0"/>
          <w:numId w:val="2"/>
        </w:numPr>
        <w:spacing w:before="60" w:after="60"/>
      </w:pPr>
      <w:r>
        <w:rPr>
          <w:rFonts w:ascii="Arial" w:cs="Arial" w:eastAsia="Arial" w:hAnsi="Arial"/>
          <w:color w:val="1E293B"/>
          <w:sz w:val="22"/>
          <w:szCs w:val="22"/>
        </w:rPr>
        <w:t xml:space="preserve">Nav updated to match product nav pattern</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1: HERO</w:t>
      </w:r>
    </w:p>
    <w:p>
      <w:pPr>
        <w:spacing w:before="240" w:after="80"/>
      </w:pPr>
      <w:r>
        <w:rPr>
          <w:rFonts w:ascii="Arial" w:cs="Arial" w:eastAsia="Arial" w:hAnsi="Arial"/>
          <w:b/>
          <w:bCs/>
          <w:color w:val="1E293B"/>
          <w:sz w:val="24"/>
          <w:szCs w:val="24"/>
        </w:rPr>
        <w:t xml:space="preserve">Headline</w:t>
      </w:r>
    </w:p>
    <w:p>
      <w:pPr>
        <w:spacing w:before="80" w:after="120"/>
      </w:pPr>
      <w:r>
        <w:rPr>
          <w:rFonts w:ascii="Arial" w:cs="Arial" w:eastAsia="Arial" w:hAnsi="Arial"/>
          <w:b/>
          <w:bCs/>
          <w:color w:val="1E293B"/>
          <w:sz w:val="28"/>
          <w:szCs w:val="28"/>
        </w:rPr>
        <w:t xml:space="preserve">Your payers agreed to a contract. Most practices never verify they’re honoring it.</w:t>
      </w:r>
    </w:p>
    <w:p>
      <w:pPr>
        <w:spacing w:before="240" w:after="80"/>
      </w:pPr>
      <w:r>
        <w:rPr>
          <w:rFonts w:ascii="Arial" w:cs="Arial" w:eastAsia="Arial" w:hAnsi="Arial"/>
          <w:b/>
          <w:bCs/>
          <w:color w:val="1E293B"/>
          <w:sz w:val="24"/>
          <w:szCs w:val="24"/>
        </w:rPr>
        <w:t xml:space="preserve">Kicker line</w:t>
      </w:r>
    </w:p>
    <w:p>
      <w:pPr>
        <w:spacing w:before="80" w:after="120"/>
      </w:pPr>
      <w:r>
        <w:rPr>
          <w:rFonts w:ascii="Arial" w:cs="Arial" w:eastAsia="Arial" w:hAnsi="Arial"/>
          <w:b/>
          <w:bCs/>
          <w:color w:val="0D9488"/>
          <w:sz w:val="24"/>
          <w:szCs w:val="24"/>
        </w:rPr>
        <w:t xml:space="preserve">Now you can — automatically, every month.</w:t>
      </w:r>
    </w:p>
    <w:p>
      <w:pPr>
        <w:spacing w:before="240" w:after="80"/>
      </w:pPr>
      <w:r>
        <w:rPr>
          <w:rFonts w:ascii="Arial" w:cs="Arial" w:eastAsia="Arial" w:hAnsi="Arial"/>
          <w:b/>
          <w:bCs/>
          <w:color w:val="1E293B"/>
          <w:sz w:val="24"/>
          <w:szCs w:val="24"/>
        </w:rPr>
        <w:t xml:space="preserve">Subhead</w:t>
      </w:r>
    </w:p>
    <w:p>
      <w:pPr>
        <w:spacing w:before="80" w:after="120"/>
      </w:pPr>
      <w:r>
        <w:rPr>
          <w:rFonts w:ascii="Arial" w:cs="Arial" w:eastAsia="Arial" w:hAnsi="Arial"/>
          <w:color w:val="1E293B"/>
          <w:sz w:val="22"/>
          <w:szCs w:val="22"/>
        </w:rPr>
        <w:t xml:space="preserve">Parity Provider compares every remittance payment against your contracted rates, identifies denial patterns by payer and reason code, scores each denial for appeal worthiness, and generates AI-drafted appeal letters grounded in specific CMS guidelines and your contract terms. In minutes, not days.</w:t>
      </w:r>
    </w:p>
    <w:p>
      <w:pPr>
        <w:spacing w:before="240" w:after="80"/>
      </w:pPr>
      <w:r>
        <w:rPr>
          <w:rFonts w:ascii="Arial" w:cs="Arial" w:eastAsia="Arial" w:hAnsi="Arial"/>
          <w:b/>
          <w:bCs/>
          <w:color w:val="1E293B"/>
          <w:sz w:val="24"/>
          <w:szCs w:val="24"/>
        </w:rPr>
        <w:t xml:space="preserve">Primary CTA</w:t>
      </w:r>
    </w:p>
    <w:p>
      <w:pPr>
        <w:spacing w:before="100" w:after="60"/>
      </w:pPr>
      <w:r>
        <w:rPr>
          <w:rFonts w:ascii="Arial" w:cs="Arial" w:eastAsia="Arial" w:hAnsi="Arial"/>
          <w:b/>
          <w:bCs/>
          <w:color w:val="0D9488"/>
          <w:sz w:val="22"/>
          <w:szCs w:val="22"/>
        </w:rPr>
        <w:t xml:space="preserve">▶  See Your Analysis →  — scrolls to embedded demo</w:t>
      </w:r>
    </w:p>
    <w:p>
      <w:pPr>
        <w:spacing w:before="60" w:after="60"/>
      </w:pPr>
      <w:r>
        <w:rPr>
          <w:rFonts w:ascii="Arial" w:cs="Arial" w:eastAsia="Arial" w:hAnsi="Arial"/>
          <w:i/>
          <w:iCs/>
          <w:color w:val="64748B"/>
          <w:sz w:val="18"/>
          <w:szCs w:val="18"/>
        </w:rPr>
        <w:t xml:space="preserve">Trust line: No credit card required · 30-day free trial · Cancel anytime</w:t>
      </w:r>
    </w:p>
    <w:p>
      <w:pPr>
        <w:spacing w:before="240" w:after="80"/>
      </w:pPr>
      <w:r>
        <w:rPr>
          <w:rFonts w:ascii="Arial" w:cs="Arial" w:eastAsia="Arial" w:hAnsi="Arial"/>
          <w:b/>
          <w:bCs/>
          <w:color w:val="1E293B"/>
          <w:sz w:val="24"/>
          <w:szCs w:val="24"/>
        </w:rPr>
        <w:t xml:space="preserve">Secondary CTA</w:t>
      </w:r>
    </w:p>
    <w:p>
      <w:pPr>
        <w:spacing w:before="100" w:after="60"/>
      </w:pPr>
      <w:r>
        <w:rPr>
          <w:rFonts w:ascii="Arial" w:cs="Arial" w:eastAsia="Arial" w:hAnsi="Arial"/>
          <w:b/>
          <w:bCs/>
          <w:color w:val="0D9488"/>
          <w:sz w:val="22"/>
          <w:szCs w:val="22"/>
        </w:rPr>
        <w:t xml:space="preserve">▶  See a Demo →  — also scrolls to demo</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2: THE REVENUE LEAKAGE PROBLEM</w:t>
      </w:r>
    </w:p>
    <w:p>
      <w:pPr>
        <w:pStyle w:val="Heading2"/>
        <w:spacing w:before="360" w:after="120"/>
      </w:pPr>
      <w:r>
        <w:rPr>
          <w:rFonts w:ascii="Arial" w:cs="Arial" w:eastAsia="Arial" w:hAnsi="Arial"/>
          <w:b/>
          <w:bCs/>
          <w:color w:val="0D9488"/>
          <w:sz w:val="28"/>
          <w:szCs w:val="28"/>
        </w:rPr>
        <w:t xml:space="preserve">What your billing system shows you. What it doesn’t.</w:t>
      </w:r>
    </w:p>
    <w:p>
      <w:pPr>
        <w:spacing w:before="60" w:after="60"/>
      </w:pPr>
      <w:r>
        <w:rPr>
          <w:rFonts w:ascii="Arial" w:cs="Arial" w:eastAsia="Arial" w:hAnsi="Arial"/>
          <w:i/>
          <w:iCs/>
          <w:color w:val="64748B"/>
          <w:sz w:val="18"/>
          <w:szCs w:val="18"/>
        </w:rPr>
        <w:t xml:space="preserve">Tone: factual and specific. The problem is structural — billing systems are designed to process claims, not audit payer behavior. No villains.</w:t>
      </w:r>
    </w:p>
    <w:p>
      <w:pPr>
        <w:spacing w:before="80" w:after="120"/>
      </w:pPr>
      <w:r>
        <w:rPr>
          <w:rFonts w:ascii="Arial" w:cs="Arial" w:eastAsia="Arial" w:hAnsi="Arial"/>
          <w:color w:val="1E293B"/>
          <w:sz w:val="22"/>
          <w:szCs w:val="22"/>
        </w:rPr>
        <w:t xml:space="preserve">Your billing system tracks what was billed and what was paid. It does not tell you whether what was paid matches what was contracted. That comparison — payment line by payment line, against your actual fee schedule — requires a separate analytical step that most practices never take.</w:t>
      </w:r>
    </w:p>
    <w:p>
      <w:pPr>
        <w:spacing w:before="80" w:after="120"/>
      </w:pPr>
      <w:r>
        <w:rPr>
          <w:rFonts w:ascii="Arial" w:cs="Arial" w:eastAsia="Arial" w:hAnsi="Arial"/>
          <w:color w:val="1E293B"/>
          <w:sz w:val="22"/>
          <w:szCs w:val="22"/>
        </w:rPr>
        <w:t xml:space="preserve">Industry data consistently shows practices lose 3–4% of net revenue to underpayments and unworked denials. For a practice billing $500,000 annually, that’s $15,000–20,000 per year — and it compounds, because payers that underpay without consequence tend to continue underpaying.</w:t>
      </w:r>
    </w:p>
    <w:p>
      <w:pPr>
        <w:spacing w:before="80" w:after="120"/>
      </w:pPr>
      <w:r>
        <w:rPr>
          <w:rFonts w:ascii="Arial" w:cs="Arial" w:eastAsia="Arial" w:hAnsi="Arial"/>
          <w:color w:val="1E293B"/>
          <w:sz w:val="22"/>
          <w:szCs w:val="22"/>
        </w:rPr>
        <w:t xml:space="preserve">Denials are the other half of the problem. The reason code tells you what happened. It rarely tells you whether the denial is correct, whether it’s worth appealing, or what specific documentation would overturn it. Building that analysis manually for every denial is beyond the capacity of most billing teams.</w:t>
      </w:r>
    </w:p>
    <w:p>
      <w:pPr>
        <w:spacing w:before="80" w:after="120"/>
      </w:pPr>
      <w:r>
        <w:rPr>
          <w:rFonts w:ascii="Arial" w:cs="Arial" w:eastAsia="Arial" w:hAnsi="Arial"/>
          <w:b/>
          <w:bCs/>
          <w:color w:val="1E293B"/>
          <w:sz w:val="22"/>
          <w:szCs w:val="22"/>
        </w:rPr>
        <w:t xml:space="preserve">Parity Provider does both — systematically, every month, from the 835 files you already receive.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3: THE EMBEDDED DEMO</w:t>
      </w:r>
    </w:p>
    <w:p>
      <w:pPr>
        <w:pStyle w:val="Heading2"/>
        <w:spacing w:before="360" w:after="120"/>
      </w:pPr>
      <w:r>
        <w:rPr>
          <w:rFonts w:ascii="Arial" w:cs="Arial" w:eastAsia="Arial" w:hAnsi="Arial"/>
          <w:b/>
          <w:bCs/>
          <w:color w:val="0D9488"/>
          <w:sz w:val="28"/>
          <w:szCs w:val="28"/>
        </w:rPr>
        <w:t xml:space="preserve">Practice revenue analysis — loads immediately with sample data</w:t>
      </w:r>
    </w:p>
    <w:p>
      <w:pPr>
        <w:spacing w:before="60" w:after="60"/>
      </w:pPr>
      <w:r>
        <w:rPr>
          <w:rFonts w:ascii="Arial" w:cs="Arial" w:eastAsia="Arial" w:hAnsi="Arial"/>
          <w:i/>
          <w:iCs/>
          <w:color w:val="64748B"/>
          <w:sz w:val="18"/>
          <w:szCs w:val="18"/>
        </w:rPr>
        <w:t xml:space="preserve">Same structure as Employer and Broker demos. Must feel like a real product, not a walkthrough. The appeal letter is the centerpiece — make it prominent and make it look real.</w:t>
      </w:r>
    </w:p>
    <w:p>
      <w:pPr>
        <w:spacing w:before="240" w:after="80"/>
      </w:pPr>
      <w:r>
        <w:rPr>
          <w:rFonts w:ascii="Arial" w:cs="Arial" w:eastAsia="Arial" w:hAnsi="Arial"/>
          <w:b/>
          <w:bCs/>
          <w:color w:val="1E293B"/>
          <w:sz w:val="24"/>
          <w:szCs w:val="24"/>
        </w:rPr>
        <w:t xml:space="preserve">Header text above demo</w:t>
      </w:r>
    </w:p>
    <w:p>
      <w:pPr>
        <w:spacing w:before="80" w:after="120"/>
      </w:pPr>
      <w:r>
        <w:rPr>
          <w:rFonts w:ascii="Arial" w:cs="Arial" w:eastAsia="Arial" w:hAnsi="Arial"/>
          <w:color w:val="1E293B"/>
          <w:sz w:val="22"/>
          <w:szCs w:val="22"/>
        </w:rPr>
        <w:t xml:space="preserve">See what’s in your remittance data — no upload required</w:t>
      </w:r>
    </w:p>
    <w:p>
      <w:pPr>
        <w:spacing w:before="80" w:after="120"/>
      </w:pPr>
      <w:r>
        <w:rPr>
          <w:rFonts w:ascii="Arial" w:cs="Arial" w:eastAsia="Arial" w:hAnsi="Arial"/>
          <w:i/>
          <w:iCs/>
          <w:color w:val="1E293B"/>
          <w:sz w:val="22"/>
          <w:szCs w:val="22"/>
        </w:rPr>
        <w:t xml:space="preserve">This is sample data from a fictional family medicine practice. Upload your own 835 files during your free trial.</w:t>
      </w:r>
    </w:p>
    <w:p>
      <w:pPr>
        <w:spacing w:before="240" w:after="80"/>
      </w:pPr>
      <w:r>
        <w:rPr>
          <w:rFonts w:ascii="Arial" w:cs="Arial" w:eastAsia="Arial" w:hAnsi="Arial"/>
          <w:b/>
          <w:bCs/>
          <w:color w:val="1E293B"/>
          <w:sz w:val="24"/>
          <w:szCs w:val="24"/>
        </w:rPr>
        <w:t xml:space="preserve">Demo Tab 1: Contract Compliance</w:t>
      </w:r>
    </w:p>
    <w:p>
      <w:pPr>
        <w:pStyle w:val="ListParagraph"/>
        <w:numPr>
          <w:ilvl w:val="0"/>
          <w:numId w:val="2"/>
        </w:numPr>
        <w:spacing w:before="60" w:after="60"/>
      </w:pPr>
      <w:r>
        <w:rPr>
          <w:rFonts w:ascii="Arial" w:cs="Arial" w:eastAsia="Arial" w:hAnsi="Arial"/>
          <w:color w:val="1E293B"/>
          <w:sz w:val="22"/>
          <w:szCs w:val="22"/>
        </w:rPr>
        <w:t xml:space="preserve">Summary bar: [N] payments analyzed · [N] underpayments identified · Est. variance $[X]</w:t>
      </w:r>
    </w:p>
    <w:p>
      <w:pPr>
        <w:pStyle w:val="ListParagraph"/>
        <w:numPr>
          <w:ilvl w:val="0"/>
          <w:numId w:val="2"/>
        </w:numPr>
        <w:spacing w:before="60" w:after="60"/>
      </w:pPr>
      <w:r>
        <w:rPr>
          <w:rFonts w:ascii="Arial" w:cs="Arial" w:eastAsia="Arial" w:hAnsi="Arial"/>
          <w:color w:val="1E293B"/>
          <w:sz w:val="22"/>
          <w:szCs w:val="22"/>
        </w:rPr>
        <w:t xml:space="preserve">Sortable table: Date / CPT / Description / Payer / Contracted Rate / Paid / Variance / Status</w:t>
      </w:r>
    </w:p>
    <w:p>
      <w:pPr>
        <w:pStyle w:val="ListParagraph"/>
        <w:numPr>
          <w:ilvl w:val="0"/>
          <w:numId w:val="2"/>
        </w:numPr>
        <w:spacing w:before="60" w:after="60"/>
      </w:pPr>
      <w:r>
        <w:rPr>
          <w:rFonts w:ascii="Arial" w:cs="Arial" w:eastAsia="Arial" w:hAnsi="Arial"/>
          <w:color w:val="1E293B"/>
          <w:sz w:val="22"/>
          <w:szCs w:val="22"/>
        </w:rPr>
        <w:t xml:space="preserve">Status badges: green (paid correctly) / amber (minor variance) / red (significant underpayment)</w:t>
      </w:r>
    </w:p>
    <w:p>
      <w:pPr>
        <w:pStyle w:val="ListParagraph"/>
        <w:numPr>
          <w:ilvl w:val="0"/>
          <w:numId w:val="2"/>
        </w:numPr>
        <w:spacing w:before="60" w:after="60"/>
      </w:pPr>
      <w:r>
        <w:rPr>
          <w:rFonts w:ascii="Arial" w:cs="Arial" w:eastAsia="Arial" w:hAnsi="Arial"/>
          <w:color w:val="1E293B"/>
          <w:sz w:val="22"/>
          <w:szCs w:val="22"/>
        </w:rPr>
        <w:t xml:space="preserve">3–4 rows flagged in amber or red with realistic underpayment amounts</w:t>
      </w:r>
    </w:p>
    <w:p>
      <w:pPr>
        <w:pStyle w:val="ListParagraph"/>
        <w:numPr>
          <w:ilvl w:val="0"/>
          <w:numId w:val="2"/>
        </w:numPr>
        <w:spacing w:before="60" w:after="60"/>
      </w:pPr>
      <w:r>
        <w:rPr>
          <w:rFonts w:ascii="Arial" w:cs="Arial" w:eastAsia="Arial" w:hAnsi="Arial"/>
          <w:color w:val="1E293B"/>
          <w:sz w:val="22"/>
          <w:szCs w:val="22"/>
        </w:rPr>
        <w:t xml:space="preserve">Clicking a flagged row opens Analytical Paths panel showing: contracted rate, paid amount, variance, contract reference, recommended action</w:t>
      </w:r>
    </w:p>
    <w:p>
      <w:pPr>
        <w:pStyle w:val="ListParagraph"/>
        <w:numPr>
          <w:ilvl w:val="0"/>
          <w:numId w:val="2"/>
        </w:numPr>
        <w:spacing w:before="60" w:after="60"/>
      </w:pPr>
      <w:r>
        <w:rPr>
          <w:rFonts w:ascii="Arial" w:cs="Arial" w:eastAsia="Arial" w:hAnsi="Arial"/>
          <w:color w:val="1E293B"/>
          <w:sz w:val="22"/>
          <w:szCs w:val="22"/>
        </w:rPr>
        <w:t xml:space="preserve">Sample payers: Aetna, BCBS, Cigna, UnitedHealth</w:t>
      </w:r>
    </w:p>
    <w:p>
      <w:pPr>
        <w:spacing w:before="240" w:after="80"/>
      </w:pPr>
      <w:r>
        <w:rPr>
          <w:rFonts w:ascii="Arial" w:cs="Arial" w:eastAsia="Arial" w:hAnsi="Arial"/>
          <w:b/>
          <w:bCs/>
          <w:color w:val="1E293B"/>
          <w:sz w:val="24"/>
          <w:szCs w:val="24"/>
        </w:rPr>
        <w:t xml:space="preserve">Demo Tab 2: Denial Analysis</w:t>
      </w:r>
    </w:p>
    <w:p>
      <w:pPr>
        <w:pStyle w:val="ListParagraph"/>
        <w:numPr>
          <w:ilvl w:val="0"/>
          <w:numId w:val="2"/>
        </w:numPr>
        <w:spacing w:before="60" w:after="60"/>
      </w:pPr>
      <w:r>
        <w:rPr>
          <w:rFonts w:ascii="Arial" w:cs="Arial" w:eastAsia="Arial" w:hAnsi="Arial"/>
          <w:color w:val="1E293B"/>
          <w:sz w:val="22"/>
          <w:szCs w:val="22"/>
        </w:rPr>
        <w:t xml:space="preserve">Summary bar: [N] denials analyzed · [N] flagged as appeal-worthy · Est. recoverable $[X]</w:t>
      </w:r>
    </w:p>
    <w:p>
      <w:pPr>
        <w:pStyle w:val="ListParagraph"/>
        <w:numPr>
          <w:ilvl w:val="0"/>
          <w:numId w:val="2"/>
        </w:numPr>
        <w:spacing w:before="60" w:after="60"/>
      </w:pPr>
      <w:r>
        <w:rPr>
          <w:rFonts w:ascii="Arial" w:cs="Arial" w:eastAsia="Arial" w:hAnsi="Arial"/>
          <w:color w:val="1E293B"/>
          <w:sz w:val="22"/>
          <w:szCs w:val="22"/>
        </w:rPr>
        <w:t xml:space="preserve">Table: Date / CPT / Payer / Denial Code / Reason / Appeal Score / Action</w:t>
      </w:r>
    </w:p>
    <w:p>
      <w:pPr>
        <w:pStyle w:val="ListParagraph"/>
        <w:numPr>
          <w:ilvl w:val="0"/>
          <w:numId w:val="2"/>
        </w:numPr>
        <w:spacing w:before="60" w:after="60"/>
      </w:pPr>
      <w:r>
        <w:rPr>
          <w:rFonts w:ascii="Arial" w:cs="Arial" w:eastAsia="Arial" w:hAnsi="Arial"/>
          <w:color w:val="1E293B"/>
          <w:sz w:val="22"/>
          <w:szCs w:val="22"/>
        </w:rPr>
        <w:t xml:space="preserve">Appeal Score: 1–5 stars, color coded — high scores flagged prominently</w:t>
      </w:r>
    </w:p>
    <w:p>
      <w:pPr>
        <w:pStyle w:val="ListParagraph"/>
        <w:numPr>
          <w:ilvl w:val="0"/>
          <w:numId w:val="2"/>
        </w:numPr>
        <w:spacing w:before="60" w:after="60"/>
      </w:pPr>
      <w:r>
        <w:rPr>
          <w:rFonts w:ascii="Arial" w:cs="Arial" w:eastAsia="Arial" w:hAnsi="Arial"/>
          <w:color w:val="1E293B"/>
          <w:sz w:val="22"/>
          <w:szCs w:val="22"/>
        </w:rPr>
        <w:t xml:space="preserve">Plain-language reason column: translates denial codes into plain English</w:t>
      </w:r>
    </w:p>
    <w:p>
      <w:pPr>
        <w:pStyle w:val="ListParagraph"/>
        <w:numPr>
          <w:ilvl w:val="0"/>
          <w:numId w:val="2"/>
        </w:numPr>
        <w:spacing w:before="60" w:after="60"/>
      </w:pPr>
      <w:r>
        <w:rPr>
          <w:rFonts w:ascii="Arial" w:cs="Arial" w:eastAsia="Arial" w:hAnsi="Arial"/>
          <w:color w:val="1E293B"/>
          <w:sz w:val="22"/>
          <w:szCs w:val="22"/>
        </w:rPr>
        <w:t xml:space="preserve">Example rows:</w:t>
      </w:r>
    </w:p>
    <w:p>
      <w:pPr>
        <w:pStyle w:val="ListParagraph"/>
        <w:numPr>
          <w:ilvl w:val="0"/>
          <w:numId w:val="2"/>
        </w:numPr>
        <w:spacing w:before="60" w:after="60"/>
      </w:pPr>
      <w:r>
        <w:rPr>
          <w:rFonts w:ascii="Arial" w:cs="Arial" w:eastAsia="Arial" w:hAnsi="Arial"/>
          <w:color w:val="1E293B"/>
          <w:sz w:val="22"/>
          <w:szCs w:val="22"/>
        </w:rPr>
        <w:t xml:space="preserve">  CO-16 — Aetna — “Missing required field” — Appeal Score: 5/5 — “Administrative error, high appeal success rate”</w:t>
      </w:r>
    </w:p>
    <w:p>
      <w:pPr>
        <w:pStyle w:val="ListParagraph"/>
        <w:numPr>
          <w:ilvl w:val="0"/>
          <w:numId w:val="2"/>
        </w:numPr>
        <w:spacing w:before="60" w:after="60"/>
      </w:pPr>
      <w:r>
        <w:rPr>
          <w:rFonts w:ascii="Arial" w:cs="Arial" w:eastAsia="Arial" w:hAnsi="Arial"/>
          <w:color w:val="1E293B"/>
          <w:sz w:val="22"/>
          <w:szCs w:val="22"/>
        </w:rPr>
        <w:t xml:space="preserve">  CO-197 — BCBS — “Prior authorization required” — Appeal Score: 3/5 — “Reviewable if auth was obtained”</w:t>
      </w:r>
    </w:p>
    <w:p>
      <w:pPr>
        <w:pStyle w:val="ListParagraph"/>
        <w:numPr>
          <w:ilvl w:val="0"/>
          <w:numId w:val="2"/>
        </w:numPr>
        <w:spacing w:before="60" w:after="60"/>
      </w:pPr>
      <w:r>
        <w:rPr>
          <w:rFonts w:ascii="Arial" w:cs="Arial" w:eastAsia="Arial" w:hAnsi="Arial"/>
          <w:color w:val="1E293B"/>
          <w:sz w:val="22"/>
          <w:szCs w:val="22"/>
        </w:rPr>
        <w:t xml:space="preserve">  CO-4 — Cigna — “Incorrect modifier” — Appeal Score: 4/5 — “Modifier documentation supports appeal”</w:t>
      </w:r>
    </w:p>
    <w:p>
      <w:pPr>
        <w:pStyle w:val="ListParagraph"/>
        <w:numPr>
          <w:ilvl w:val="0"/>
          <w:numId w:val="2"/>
        </w:numPr>
        <w:spacing w:before="60" w:after="60"/>
      </w:pPr>
      <w:r>
        <w:rPr>
          <w:rFonts w:ascii="Arial" w:cs="Arial" w:eastAsia="Arial" w:hAnsi="Arial"/>
          <w:color w:val="1E293B"/>
          <w:sz w:val="22"/>
          <w:szCs w:val="22"/>
        </w:rPr>
        <w:t xml:space="preserve">Clicking any row opens Appeal Letter Generator</w:t>
      </w:r>
    </w:p>
    <w:p>
      <w:pPr>
        <w:spacing w:before="240" w:after="80"/>
      </w:pPr>
      <w:r>
        <w:rPr>
          <w:rFonts w:ascii="Arial" w:cs="Arial" w:eastAsia="Arial" w:hAnsi="Arial"/>
          <w:b/>
          <w:bCs/>
          <w:color w:val="1E293B"/>
          <w:sz w:val="24"/>
          <w:szCs w:val="24"/>
        </w:rPr>
        <w:t xml:space="preserve">Demo Tab 3: Appeal Letter Generator (opens on denial click)</w:t>
      </w:r>
    </w:p>
    <w:p>
      <w:pPr>
        <w:pStyle w:val="ListParagraph"/>
        <w:numPr>
          <w:ilvl w:val="0"/>
          <w:numId w:val="2"/>
        </w:numPr>
        <w:spacing w:before="60" w:after="60"/>
      </w:pPr>
      <w:r>
        <w:rPr>
          <w:rFonts w:ascii="Arial" w:cs="Arial" w:eastAsia="Arial" w:hAnsi="Arial"/>
          <w:color w:val="1E293B"/>
          <w:sz w:val="22"/>
          <w:szCs w:val="22"/>
        </w:rPr>
        <w:t xml:space="preserve">Shows selected denial at top with full context</w:t>
      </w:r>
    </w:p>
    <w:p>
      <w:pPr>
        <w:pStyle w:val="ListParagraph"/>
        <w:numPr>
          <w:ilvl w:val="0"/>
          <w:numId w:val="2"/>
        </w:numPr>
        <w:spacing w:before="60" w:after="60"/>
      </w:pPr>
      <w:r>
        <w:rPr>
          <w:rFonts w:ascii="Arial" w:cs="Arial" w:eastAsia="Arial" w:hAnsi="Arial"/>
          <w:color w:val="1E293B"/>
          <w:sz w:val="22"/>
          <w:szCs w:val="22"/>
        </w:rPr>
        <w:t xml:space="preserve">Displays: denial code, plain-language interpretation, appeal strategy, specific CMS guideline reference</w:t>
      </w:r>
    </w:p>
    <w:p>
      <w:pPr>
        <w:pStyle w:val="ListParagraph"/>
        <w:numPr>
          <w:ilvl w:val="0"/>
          <w:numId w:val="2"/>
        </w:numPr>
        <w:spacing w:before="60" w:after="60"/>
      </w:pPr>
      <w:r>
        <w:rPr>
          <w:rFonts w:ascii="Arial" w:cs="Arial" w:eastAsia="Arial" w:hAnsi="Arial"/>
          <w:color w:val="1E293B"/>
          <w:sz w:val="22"/>
          <w:szCs w:val="22"/>
        </w:rPr>
        <w:t xml:space="preserve">Button: Generate Appeal Letter →</w:t>
      </w:r>
    </w:p>
    <w:p>
      <w:pPr>
        <w:pStyle w:val="ListParagraph"/>
        <w:numPr>
          <w:ilvl w:val="0"/>
          <w:numId w:val="2"/>
        </w:numPr>
        <w:spacing w:before="60" w:after="60"/>
      </w:pPr>
      <w:r>
        <w:rPr>
          <w:rFonts w:ascii="Arial" w:cs="Arial" w:eastAsia="Arial" w:hAnsi="Arial"/>
          <w:color w:val="1E293B"/>
          <w:sz w:val="22"/>
          <w:szCs w:val="22"/>
        </w:rPr>
        <w:t xml:space="preserve">Generated letter must be realistic and complete — not a placeholder. Include:</w:t>
      </w:r>
    </w:p>
    <w:p>
      <w:pPr>
        <w:pStyle w:val="ListParagraph"/>
        <w:numPr>
          <w:ilvl w:val="0"/>
          <w:numId w:val="2"/>
        </w:numPr>
        <w:spacing w:before="60" w:after="60"/>
      </w:pPr>
      <w:r>
        <w:rPr>
          <w:rFonts w:ascii="Arial" w:cs="Arial" w:eastAsia="Arial" w:hAnsi="Arial"/>
          <w:color w:val="1E293B"/>
          <w:sz w:val="22"/>
          <w:szCs w:val="22"/>
        </w:rPr>
        <w:t xml:space="preserve">  Practice name, provider NPI, date of service</w:t>
      </w:r>
    </w:p>
    <w:p>
      <w:pPr>
        <w:pStyle w:val="ListParagraph"/>
        <w:numPr>
          <w:ilvl w:val="0"/>
          <w:numId w:val="2"/>
        </w:numPr>
        <w:spacing w:before="60" w:after="60"/>
      </w:pPr>
      <w:r>
        <w:rPr>
          <w:rFonts w:ascii="Arial" w:cs="Arial" w:eastAsia="Arial" w:hAnsi="Arial"/>
          <w:color w:val="1E293B"/>
          <w:sz w:val="22"/>
          <w:szCs w:val="22"/>
        </w:rPr>
        <w:t xml:space="preserve">  Payer name and claims address</w:t>
      </w:r>
    </w:p>
    <w:p>
      <w:pPr>
        <w:pStyle w:val="ListParagraph"/>
        <w:numPr>
          <w:ilvl w:val="0"/>
          <w:numId w:val="2"/>
        </w:numPr>
        <w:spacing w:before="60" w:after="60"/>
      </w:pPr>
      <w:r>
        <w:rPr>
          <w:rFonts w:ascii="Arial" w:cs="Arial" w:eastAsia="Arial" w:hAnsi="Arial"/>
          <w:color w:val="1E293B"/>
          <w:sz w:val="22"/>
          <w:szCs w:val="22"/>
        </w:rPr>
        <w:t xml:space="preserve">  Specific denial code and CMS guideline reference</w:t>
      </w:r>
    </w:p>
    <w:p>
      <w:pPr>
        <w:pStyle w:val="ListParagraph"/>
        <w:numPr>
          <w:ilvl w:val="0"/>
          <w:numId w:val="2"/>
        </w:numPr>
        <w:spacing w:before="60" w:after="60"/>
      </w:pPr>
      <w:r>
        <w:rPr>
          <w:rFonts w:ascii="Arial" w:cs="Arial" w:eastAsia="Arial" w:hAnsi="Arial"/>
          <w:color w:val="1E293B"/>
          <w:sz w:val="22"/>
          <w:szCs w:val="22"/>
        </w:rPr>
        <w:t xml:space="preserve">  Clinical documentation summary supporting the appeal</w:t>
      </w:r>
    </w:p>
    <w:p>
      <w:pPr>
        <w:pStyle w:val="ListParagraph"/>
        <w:numPr>
          <w:ilvl w:val="0"/>
          <w:numId w:val="2"/>
        </w:numPr>
        <w:spacing w:before="60" w:after="60"/>
      </w:pPr>
      <w:r>
        <w:rPr>
          <w:rFonts w:ascii="Arial" w:cs="Arial" w:eastAsia="Arial" w:hAnsi="Arial"/>
          <w:color w:val="1E293B"/>
          <w:sz w:val="22"/>
          <w:szCs w:val="22"/>
        </w:rPr>
        <w:t xml:space="preserve">  Specific request for reconsideration with 30-day response deadline</w:t>
      </w:r>
    </w:p>
    <w:p>
      <w:pPr>
        <w:pStyle w:val="ListParagraph"/>
        <w:numPr>
          <w:ilvl w:val="0"/>
          <w:numId w:val="2"/>
        </w:numPr>
        <w:spacing w:before="60" w:after="60"/>
      </w:pPr>
      <w:r>
        <w:rPr>
          <w:rFonts w:ascii="Arial" w:cs="Arial" w:eastAsia="Arial" w:hAnsi="Arial"/>
          <w:color w:val="1E293B"/>
          <w:sz w:val="22"/>
          <w:szCs w:val="22"/>
        </w:rPr>
        <w:t xml:space="preserve">  Professional letterhead format</w:t>
      </w:r>
    </w:p>
    <w:p>
      <w:pPr>
        <w:spacing w:before="60" w:after="60"/>
      </w:pPr>
      <w:r>
        <w:rPr>
          <w:rFonts w:ascii="Arial" w:cs="Arial" w:eastAsia="Arial" w:hAnsi="Arial"/>
          <w:i/>
          <w:iCs/>
          <w:color w:val="64748B"/>
          <w:sz w:val="18"/>
          <w:szCs w:val="18"/>
        </w:rPr>
        <w:t xml:space="preserve">The appeal letter is the single most differentiating feature for billing directors. It must look like something they could actually send. Make it real.</w:t>
      </w:r>
    </w:p>
    <w:p>
      <w:pPr>
        <w:spacing w:before="240" w:after="80"/>
      </w:pPr>
      <w:r>
        <w:rPr>
          <w:rFonts w:ascii="Arial" w:cs="Arial" w:eastAsia="Arial" w:hAnsi="Arial"/>
          <w:b/>
          <w:bCs/>
          <w:color w:val="1E293B"/>
          <w:sz w:val="24"/>
          <w:szCs w:val="24"/>
        </w:rPr>
        <w:t xml:space="preserve">Conversion prompt</w:t>
      </w:r>
    </w:p>
    <w:p>
      <w:pPr>
        <w:spacing w:before="80" w:after="120"/>
      </w:pPr>
      <w:r>
        <w:rPr>
          <w:rFonts w:ascii="Arial" w:cs="Arial" w:eastAsia="Arial" w:hAnsi="Arial"/>
          <w:color w:val="1E293B"/>
          <w:sz w:val="22"/>
          <w:szCs w:val="22"/>
        </w:rPr>
        <w:t xml:space="preserve">Start your free 30-day trial to analyze your actual remittance data and generate real appeal letters.</w:t>
      </w:r>
    </w:p>
    <w:p>
      <w:pPr>
        <w:spacing w:before="100" w:after="60"/>
      </w:pPr>
      <w:r>
        <w:rPr>
          <w:rFonts w:ascii="Arial" w:cs="Arial" w:eastAsia="Arial" w:hAnsi="Arial"/>
          <w:b/>
          <w:bCs/>
          <w:color w:val="0D9488"/>
          <w:sz w:val="22"/>
          <w:szCs w:val="22"/>
        </w:rPr>
        <w:t xml:space="preserve">▶  Start Free Trial →  — links to /billing/provider/signup (or existing provider signup route)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4: WHAT YOU GET</w:t>
      </w:r>
    </w:p>
    <w:p>
      <w:pPr>
        <w:spacing w:before="60" w:after="60"/>
      </w:pPr>
      <w:r>
        <w:rPr>
          <w:rFonts w:ascii="Arial" w:cs="Arial" w:eastAsia="Arial" w:hAnsi="Arial"/>
          <w:i/>
          <w:iCs/>
          <w:color w:val="64748B"/>
          <w:sz w:val="18"/>
          <w:szCs w:val="18"/>
        </w:rPr>
        <w:t xml:space="preserve">Four outcome cards. Two for practice owners (financial), two for billing directors (operational).</w:t>
      </w:r>
    </w:p>
    <w:p>
      <w:pPr>
        <w:spacing w:before="240" w:after="80"/>
      </w:pPr>
      <w:r>
        <w:rPr>
          <w:rFonts w:ascii="Arial" w:cs="Arial" w:eastAsia="Arial" w:hAnsi="Arial"/>
          <w:b/>
          <w:bCs/>
          <w:color w:val="1E293B"/>
          <w:sz w:val="24"/>
          <w:szCs w:val="24"/>
        </w:rPr>
        <w:t xml:space="preserve">Card 1 — Contract Compliance Audit</w:t>
      </w:r>
    </w:p>
    <w:p>
      <w:pPr>
        <w:spacing w:before="80" w:after="120"/>
      </w:pPr>
      <w:r>
        <w:rPr>
          <w:rFonts w:ascii="Arial" w:cs="Arial" w:eastAsia="Arial" w:hAnsi="Arial"/>
          <w:color w:val="1E293B"/>
          <w:sz w:val="22"/>
          <w:szCs w:val="22"/>
        </w:rPr>
        <w:t xml:space="preserve">Every payment in your 835 compared against your contracted rates by payer, by CPT code, by date of service. Underpayments identified, quantified, and ranked by dollar amount. Monthly so you see whether variance is growing or shrinking.</w:t>
      </w:r>
    </w:p>
    <w:p>
      <w:pPr>
        <w:spacing w:before="240" w:after="80"/>
      </w:pPr>
      <w:r>
        <w:rPr>
          <w:rFonts w:ascii="Arial" w:cs="Arial" w:eastAsia="Arial" w:hAnsi="Arial"/>
          <w:b/>
          <w:bCs/>
          <w:color w:val="1E293B"/>
          <w:sz w:val="24"/>
          <w:szCs w:val="24"/>
        </w:rPr>
        <w:t xml:space="preserve">Card 2 — Denial Pattern Analysis</w:t>
      </w:r>
    </w:p>
    <w:p>
      <w:pPr>
        <w:spacing w:before="80" w:after="120"/>
      </w:pPr>
      <w:r>
        <w:rPr>
          <w:rFonts w:ascii="Arial" w:cs="Arial" w:eastAsia="Arial" w:hAnsi="Arial"/>
          <w:color w:val="1E293B"/>
          <w:sz w:val="22"/>
          <w:szCs w:val="22"/>
        </w:rPr>
        <w:t xml:space="preserve">Every denial code interpreted in plain language. Patterns identified across payers and months — so a new denial pattern from Aetna that emerged this quarter doesn’t get missed in the volume. Each denial scored for appeal worthiness so your team focuses effort where it recovers the most revenue.</w:t>
      </w:r>
    </w:p>
    <w:p>
      <w:pPr>
        <w:spacing w:before="240" w:after="80"/>
      </w:pPr>
      <w:r>
        <w:rPr>
          <w:rFonts w:ascii="Arial" w:cs="Arial" w:eastAsia="Arial" w:hAnsi="Arial"/>
          <w:b/>
          <w:bCs/>
          <w:color w:val="1E293B"/>
          <w:sz w:val="24"/>
          <w:szCs w:val="24"/>
        </w:rPr>
        <w:t xml:space="preserve">Card 3 — AI Appeal Letters</w:t>
      </w:r>
    </w:p>
    <w:p>
      <w:pPr>
        <w:spacing w:before="80" w:after="120"/>
      </w:pPr>
      <w:r>
        <w:rPr>
          <w:rFonts w:ascii="Arial" w:cs="Arial" w:eastAsia="Arial" w:hAnsi="Arial"/>
          <w:color w:val="1E293B"/>
          <w:sz w:val="22"/>
          <w:szCs w:val="22"/>
        </w:rPr>
        <w:t xml:space="preserve">For any denial scored as appeal-worthy, a complete appeal letter drafted automatically — grounded in the specific CMS guideline relevant to your denial code and the contract terms you uploaded. Review, edit, and send. Hours of drafting time reduced to minutes.</w:t>
      </w:r>
    </w:p>
    <w:p>
      <w:pPr>
        <w:spacing w:before="240" w:after="80"/>
      </w:pPr>
      <w:r>
        <w:rPr>
          <w:rFonts w:ascii="Arial" w:cs="Arial" w:eastAsia="Arial" w:hAnsi="Arial"/>
          <w:b/>
          <w:bCs/>
          <w:color w:val="1E293B"/>
          <w:sz w:val="24"/>
          <w:szCs w:val="24"/>
        </w:rPr>
        <w:t xml:space="preserve">Card 4 — Trend Monitoring</w:t>
      </w:r>
    </w:p>
    <w:p>
      <w:pPr>
        <w:spacing w:before="80" w:after="120"/>
      </w:pPr>
      <w:r>
        <w:rPr>
          <w:rFonts w:ascii="Arial" w:cs="Arial" w:eastAsia="Arial" w:hAnsi="Arial"/>
          <w:color w:val="1E293B"/>
          <w:sz w:val="22"/>
          <w:szCs w:val="22"/>
        </w:rPr>
        <w:t xml:space="preserve">Month-over-month tracking of contract adherence, denial rates, and recoverable revenue by payer. See whether Aetna’s underpayment on 99214 is getting worse. See whether your BCBS denial rate improved after you changed your documentation workflow. The patterns only appear over time.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5: HOW IT WORKS</w:t>
      </w:r>
    </w:p>
    <w:p>
      <w:pPr>
        <w:spacing w:before="240" w:after="80"/>
      </w:pPr>
      <w:r>
        <w:rPr>
          <w:rFonts w:ascii="Arial" w:cs="Arial" w:eastAsia="Arial" w:hAnsi="Arial"/>
          <w:b/>
          <w:bCs/>
          <w:color w:val="1E293B"/>
          <w:sz w:val="24"/>
          <w:szCs w:val="24"/>
        </w:rPr>
        <w:t xml:space="preserve">Step 1</w:t>
      </w:r>
    </w:p>
    <w:p>
      <w:pPr>
        <w:spacing w:before="80" w:after="120"/>
      </w:pPr>
      <w:r>
        <w:rPr>
          <w:rFonts w:ascii="Arial" w:cs="Arial" w:eastAsia="Arial" w:hAnsi="Arial"/>
          <w:color w:val="1E293B"/>
          <w:sz w:val="22"/>
          <w:szCs w:val="22"/>
        </w:rPr>
        <w:t xml:space="preserve">Upload your 835 remittance files — EDI format, any payer. Upload your fee schedules if you have them, or we benchmark against Medicare rates.</w:t>
      </w:r>
    </w:p>
    <w:p>
      <w:pPr>
        <w:spacing w:before="240" w:after="80"/>
      </w:pPr>
      <w:r>
        <w:rPr>
          <w:rFonts w:ascii="Arial" w:cs="Arial" w:eastAsia="Arial" w:hAnsi="Arial"/>
          <w:b/>
          <w:bCs/>
          <w:color w:val="1E293B"/>
          <w:sz w:val="24"/>
          <w:szCs w:val="24"/>
        </w:rPr>
        <w:t xml:space="preserve">Step 2</w:t>
      </w:r>
    </w:p>
    <w:p>
      <w:pPr>
        <w:spacing w:before="80" w:after="120"/>
      </w:pPr>
      <w:r>
        <w:rPr>
          <w:rFonts w:ascii="Arial" w:cs="Arial" w:eastAsia="Arial" w:hAnsi="Arial"/>
          <w:color w:val="1E293B"/>
          <w:sz w:val="22"/>
          <w:szCs w:val="22"/>
        </w:rPr>
        <w:t xml:space="preserve">Review your findings — underpayments by payer, denial patterns by reason code, appeal-worthy denials ranked by recovery potential.</w:t>
      </w:r>
    </w:p>
    <w:p>
      <w:pPr>
        <w:spacing w:before="240" w:after="80"/>
      </w:pPr>
      <w:r>
        <w:rPr>
          <w:rFonts w:ascii="Arial" w:cs="Arial" w:eastAsia="Arial" w:hAnsi="Arial"/>
          <w:b/>
          <w:bCs/>
          <w:color w:val="1E293B"/>
          <w:sz w:val="24"/>
          <w:szCs w:val="24"/>
        </w:rPr>
        <w:t xml:space="preserve">Step 3</w:t>
      </w:r>
    </w:p>
    <w:p>
      <w:pPr>
        <w:spacing w:before="80" w:after="120"/>
      </w:pPr>
      <w:r>
        <w:rPr>
          <w:rFonts w:ascii="Arial" w:cs="Arial" w:eastAsia="Arial" w:hAnsi="Arial"/>
          <w:color w:val="1E293B"/>
          <w:sz w:val="22"/>
          <w:szCs w:val="22"/>
        </w:rPr>
        <w:t xml:space="preserve">Act on what you find — generate appeal letters, track contract adherence trends, share monthly reports with your practice administrator or billing company.</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6: PRICING</w:t>
      </w:r>
    </w:p>
    <w:p>
      <w:pPr>
        <w:spacing w:before="60" w:after="60"/>
      </w:pPr>
      <w:r>
        <w:rPr>
          <w:rFonts w:ascii="Arial" w:cs="Arial" w:eastAsia="Arial" w:hAnsi="Arial"/>
          <w:i/>
          <w:iCs/>
          <w:color w:val="64748B"/>
          <w:sz w:val="18"/>
          <w:szCs w:val="18"/>
        </w:rPr>
        <w:t xml:space="preserve">One option. $99/month. 30-day free trial. Consistent with Employer and Broker.</w:t>
      </w:r>
    </w:p>
    <w:p>
      <w:pPr>
        <w:spacing w:before="80" w:after="80"/>
      </w:pPr>
      <w:r>
        <w:rPr>
          <w:rFonts w:ascii="Arial" w:cs="Arial" w:eastAsia="Arial" w:hAnsi="Arial"/>
          <w:b/>
          <w:bCs/>
          <w:color w:val="DC2626"/>
          <w:sz w:val="20"/>
          <w:szCs w:val="20"/>
        </w:rPr>
        <w:t xml:space="preserve">IMPORTANT: Price is $99/month — changed from $300/month. Update everywhere on this page and in any signup flow.</w:t>
      </w:r>
    </w:p>
    <w:p>
      <w:pPr>
        <w:spacing w:before="80" w:after="120"/>
      </w:pPr>
      <w:r>
        <w:rPr>
          <w:rFonts w:ascii="Arial" w:cs="Arial" w:eastAsia="Arial" w:hAnsi="Arial"/>
          <w:b/>
          <w:bCs/>
          <w:color w:val="1E293B"/>
          <w:sz w:val="26"/>
          <w:szCs w:val="26"/>
        </w:rPr>
        <w:t xml:space="preserve">$99 / month — billed monthly, cancel anytime</w:t>
      </w:r>
    </w:p>
    <w:p>
      <w:pPr>
        <w:pStyle w:val="ListParagraph"/>
        <w:numPr>
          <w:ilvl w:val="0"/>
          <w:numId w:val="2"/>
        </w:numPr>
        <w:spacing w:before="60" w:after="60"/>
      </w:pPr>
      <w:r>
        <w:rPr>
          <w:rFonts w:ascii="Arial" w:cs="Arial" w:eastAsia="Arial" w:hAnsi="Arial"/>
          <w:color w:val="1E293B"/>
          <w:sz w:val="22"/>
          <w:szCs w:val="22"/>
        </w:rPr>
        <w:t xml:space="preserve">Unlimited 835 uploads</w:t>
      </w:r>
    </w:p>
    <w:p>
      <w:pPr>
        <w:pStyle w:val="ListParagraph"/>
        <w:numPr>
          <w:ilvl w:val="0"/>
          <w:numId w:val="2"/>
        </w:numPr>
        <w:spacing w:before="60" w:after="60"/>
      </w:pPr>
      <w:r>
        <w:rPr>
          <w:rFonts w:ascii="Arial" w:cs="Arial" w:eastAsia="Arial" w:hAnsi="Arial"/>
          <w:color w:val="1E293B"/>
          <w:sz w:val="22"/>
          <w:szCs w:val="22"/>
        </w:rPr>
        <w:t xml:space="preserve">Full contract compliance analysis every upload</w:t>
      </w:r>
    </w:p>
    <w:p>
      <w:pPr>
        <w:pStyle w:val="ListParagraph"/>
        <w:numPr>
          <w:ilvl w:val="0"/>
          <w:numId w:val="2"/>
        </w:numPr>
        <w:spacing w:before="60" w:after="60"/>
      </w:pPr>
      <w:r>
        <w:rPr>
          <w:rFonts w:ascii="Arial" w:cs="Arial" w:eastAsia="Arial" w:hAnsi="Arial"/>
          <w:color w:val="1E293B"/>
          <w:sz w:val="22"/>
          <w:szCs w:val="22"/>
        </w:rPr>
        <w:t xml:space="preserve">Denial pattern analysis with plain-language interpretation</w:t>
      </w:r>
    </w:p>
    <w:p>
      <w:pPr>
        <w:pStyle w:val="ListParagraph"/>
        <w:numPr>
          <w:ilvl w:val="0"/>
          <w:numId w:val="2"/>
        </w:numPr>
        <w:spacing w:before="60" w:after="60"/>
      </w:pPr>
      <w:r>
        <w:rPr>
          <w:rFonts w:ascii="Arial" w:cs="Arial" w:eastAsia="Arial" w:hAnsi="Arial"/>
          <w:color w:val="1E293B"/>
          <w:sz w:val="22"/>
          <w:szCs w:val="22"/>
        </w:rPr>
        <w:t xml:space="preserve">Appeal letter generation for any denial</w:t>
      </w:r>
    </w:p>
    <w:p>
      <w:pPr>
        <w:pStyle w:val="ListParagraph"/>
        <w:numPr>
          <w:ilvl w:val="0"/>
          <w:numId w:val="2"/>
        </w:numPr>
        <w:spacing w:before="60" w:after="60"/>
      </w:pPr>
      <w:r>
        <w:rPr>
          <w:rFonts w:ascii="Arial" w:cs="Arial" w:eastAsia="Arial" w:hAnsi="Arial"/>
          <w:color w:val="1E293B"/>
          <w:sz w:val="22"/>
          <w:szCs w:val="22"/>
        </w:rPr>
        <w:t xml:space="preserve">Month-over-month trend tracking</w:t>
      </w:r>
    </w:p>
    <w:p>
      <w:pPr>
        <w:pStyle w:val="ListParagraph"/>
        <w:numPr>
          <w:ilvl w:val="0"/>
          <w:numId w:val="2"/>
        </w:numPr>
        <w:spacing w:before="60" w:after="60"/>
      </w:pPr>
      <w:r>
        <w:rPr>
          <w:rFonts w:ascii="Arial" w:cs="Arial" w:eastAsia="Arial" w:hAnsi="Arial"/>
          <w:color w:val="1E293B"/>
          <w:sz w:val="22"/>
          <w:szCs w:val="22"/>
        </w:rPr>
        <w:t xml:space="preserve">PDF report export</w:t>
      </w:r>
    </w:p>
    <w:p>
      <w:pPr>
        <w:pStyle w:val="ListParagraph"/>
        <w:numPr>
          <w:ilvl w:val="0"/>
          <w:numId w:val="2"/>
        </w:numPr>
        <w:spacing w:before="60" w:after="60"/>
      </w:pPr>
      <w:r>
        <w:rPr>
          <w:rFonts w:ascii="Arial" w:cs="Arial" w:eastAsia="Arial" w:hAnsi="Arial"/>
          <w:color w:val="1E293B"/>
          <w:sz w:val="22"/>
          <w:szCs w:val="22"/>
        </w:rPr>
        <w:t xml:space="preserve">30-day free trial, no credit card required</w:t>
      </w:r>
    </w:p>
    <w:p>
      <w:pPr>
        <w:spacing w:before="100" w:after="60"/>
      </w:pPr>
      <w:r>
        <w:rPr>
          <w:rFonts w:ascii="Arial" w:cs="Arial" w:eastAsia="Arial" w:hAnsi="Arial"/>
          <w:b/>
          <w:bCs/>
          <w:color w:val="0D9488"/>
          <w:sz w:val="22"/>
          <w:szCs w:val="22"/>
        </w:rPr>
        <w:t xml:space="preserve">▶  Start Free Trial →</w:t>
      </w:r>
    </w:p>
    <w:p>
      <w:pPr>
        <w:spacing w:before="60" w:after="60"/>
      </w:pPr>
      <w:r>
        <w:rPr>
          <w:rFonts w:ascii="Arial" w:cs="Arial" w:eastAsia="Arial" w:hAnsi="Arial"/>
          <w:i/>
          <w:iCs/>
          <w:color w:val="64748B"/>
          <w:sz w:val="18"/>
          <w:szCs w:val="18"/>
        </w:rPr>
        <w:t xml:space="preserve">Trust line: No credit card required · 30-day free trial · Cancel anytime</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SECTION 7: BUILT ON PUBLIC DATA</w:t>
      </w:r>
    </w:p>
    <w:p>
      <w:pPr>
        <w:pStyle w:val="Heading2"/>
        <w:spacing w:before="360" w:after="120"/>
      </w:pPr>
      <w:r>
        <w:rPr>
          <w:rFonts w:ascii="Arial" w:cs="Arial" w:eastAsia="Arial" w:hAnsi="Arial"/>
          <w:b/>
          <w:bCs/>
          <w:color w:val="0D9488"/>
          <w:sz w:val="28"/>
          <w:szCs w:val="28"/>
        </w:rPr>
        <w:t xml:space="preserve">Verified against current rates and guidelines.</w:t>
      </w:r>
    </w:p>
    <w:p>
      <w:pPr>
        <w:pStyle w:val="ListParagraph"/>
        <w:numPr>
          <w:ilvl w:val="0"/>
          <w:numId w:val="2"/>
        </w:numPr>
        <w:spacing w:before="60" w:after="60"/>
      </w:pPr>
      <w:r>
        <w:rPr>
          <w:rFonts w:ascii="Arial" w:cs="Arial" w:eastAsia="Arial" w:hAnsi="Arial"/>
          <w:color w:val="1E293B"/>
          <w:sz w:val="22"/>
          <w:szCs w:val="22"/>
        </w:rPr>
        <w:t xml:space="preserve">CMS Physician Fee Schedule — 841,000 rates updated annually, locality-adjusted</w:t>
      </w:r>
    </w:p>
    <w:p>
      <w:pPr>
        <w:pStyle w:val="ListParagraph"/>
        <w:numPr>
          <w:ilvl w:val="0"/>
          <w:numId w:val="2"/>
        </w:numPr>
        <w:spacing w:before="60" w:after="60"/>
      </w:pPr>
      <w:r>
        <w:rPr>
          <w:rFonts w:ascii="Arial" w:cs="Arial" w:eastAsia="Arial" w:hAnsi="Arial"/>
          <w:color w:val="1E293B"/>
          <w:sz w:val="22"/>
          <w:szCs w:val="22"/>
        </w:rPr>
        <w:t xml:space="preserve">CMS Denial Reason Codes — complete CARC/RARC library with plain-language interpretations</w:t>
      </w:r>
    </w:p>
    <w:p>
      <w:pPr>
        <w:pStyle w:val="ListParagraph"/>
        <w:numPr>
          <w:ilvl w:val="0"/>
          <w:numId w:val="2"/>
        </w:numPr>
        <w:spacing w:before="60" w:after="60"/>
      </w:pPr>
      <w:r>
        <w:rPr>
          <w:rFonts w:ascii="Arial" w:cs="Arial" w:eastAsia="Arial" w:hAnsi="Arial"/>
          <w:color w:val="1E293B"/>
          <w:sz w:val="22"/>
          <w:szCs w:val="22"/>
        </w:rPr>
        <w:t xml:space="preserve">NCCI Edit Pairs — 2.2 million code pair edits</w:t>
      </w:r>
    </w:p>
    <w:p>
      <w:pPr>
        <w:pStyle w:val="ListParagraph"/>
        <w:numPr>
          <w:ilvl w:val="0"/>
          <w:numId w:val="2"/>
        </w:numPr>
        <w:spacing w:before="60" w:after="60"/>
      </w:pPr>
      <w:r>
        <w:rPr>
          <w:rFonts w:ascii="Arial" w:cs="Arial" w:eastAsia="Arial" w:hAnsi="Arial"/>
          <w:color w:val="1E293B"/>
          <w:sz w:val="22"/>
          <w:szCs w:val="22"/>
        </w:rPr>
        <w:t xml:space="preserve">Your contracted rates — upload your fee schedules for contract-specific compliance analysis</w:t>
      </w:r>
    </w:p>
    <w:p>
      <w:pPr>
        <w:spacing w:before="80" w:after="120"/>
      </w:pPr>
      <w:r>
        <w:rPr>
          <w:rFonts w:ascii="Arial" w:cs="Arial" w:eastAsia="Arial" w:hAnsi="Arial"/>
          <w:b/>
          <w:bCs/>
          <w:color w:val="1E293B"/>
          <w:sz w:val="22"/>
          <w:szCs w:val="22"/>
        </w:rPr>
        <w:t xml:space="preserve">No patient data stored beyond the session. Your remittance data is yours.</w:t>
      </w:r>
    </w:p>
    <w:p>
      <w:pPr>
        <w:pBdr>
          <w:bottom w:val="single" w:color="E2E8F0" w:sz="6" w:space="1"/>
        </w:pBdr>
        <w:spacing w:before="240" w:after="240"/>
      </w:pPr>
      <w:r>
        <w:t xml:space="preserve"/>
      </w:r>
    </w:p>
    <w:p>
      <w:pPr>
        <w:pStyle w:val="Heading1"/>
        <w:spacing w:before="480" w:after="120"/>
      </w:pPr>
      <w:r>
        <w:rPr>
          <w:rFonts w:ascii="Arial" w:cs="Arial" w:eastAsia="Arial" w:hAnsi="Arial"/>
          <w:b/>
          <w:bCs/>
          <w:color w:val="1E293B"/>
          <w:sz w:val="36"/>
          <w:szCs w:val="36"/>
        </w:rPr>
        <w:t xml:space="preserve">DESIGN NOTES FOR CLAUDE CODE</w:t>
      </w:r>
    </w:p>
    <w:p>
      <w:pPr>
        <w:pStyle w:val="Heading2"/>
        <w:spacing w:before="360" w:after="120"/>
      </w:pPr>
      <w:r>
        <w:rPr>
          <w:rFonts w:ascii="Arial" w:cs="Arial" w:eastAsia="Arial" w:hAnsi="Arial"/>
          <w:b/>
          <w:bCs/>
          <w:color w:val="0D9488"/>
          <w:sz w:val="28"/>
          <w:szCs w:val="28"/>
        </w:rPr>
        <w:t xml:space="preserve">Architecture</w:t>
      </w:r>
    </w:p>
    <w:p>
      <w:pPr>
        <w:pStyle w:val="ListParagraph"/>
        <w:numPr>
          <w:ilvl w:val="0"/>
          <w:numId w:val="2"/>
        </w:numPr>
        <w:spacing w:before="60" w:after="60"/>
      </w:pPr>
      <w:r>
        <w:rPr>
          <w:rFonts w:ascii="Arial" w:cs="Arial" w:eastAsia="Arial" w:hAnsi="Arial"/>
          <w:color w:val="1E293B"/>
          <w:sz w:val="22"/>
          <w:szCs w:val="22"/>
        </w:rPr>
        <w:t xml:space="preserve">Route: /billing/provider — replace existing ProviderProductPage.jsx entirely</w:t>
      </w:r>
    </w:p>
    <w:p>
      <w:pPr>
        <w:pStyle w:val="ListParagraph"/>
        <w:numPr>
          <w:ilvl w:val="0"/>
          <w:numId w:val="2"/>
        </w:numPr>
        <w:spacing w:before="60" w:after="60"/>
      </w:pPr>
      <w:r>
        <w:rPr>
          <w:rFonts w:ascii="Arial" w:cs="Arial" w:eastAsia="Arial" w:hAnsi="Arial"/>
          <w:color w:val="1E293B"/>
          <w:sz w:val="22"/>
          <w:szCs w:val="22"/>
        </w:rPr>
        <w:t xml:space="preserve">Also serves provider.civicscale.ai via existing subdomain routing in main.jsx — do not change routing</w:t>
      </w:r>
    </w:p>
    <w:p>
      <w:pPr>
        <w:pStyle w:val="ListParagraph"/>
        <w:numPr>
          <w:ilvl w:val="0"/>
          <w:numId w:val="2"/>
        </w:numPr>
        <w:spacing w:before="60" w:after="60"/>
      </w:pPr>
      <w:r>
        <w:rPr>
          <w:rFonts w:ascii="Arial" w:cs="Arial" w:eastAsia="Arial" w:hAnsi="Arial"/>
          <w:color w:val="1E293B"/>
          <w:sz w:val="22"/>
          <w:szCs w:val="22"/>
        </w:rPr>
        <w:t xml:space="preserve">Demo embedded on page — same pattern as EmployerProductPage.jsx</w:t>
      </w:r>
    </w:p>
    <w:p>
      <w:pPr>
        <w:pStyle w:val="ListParagraph"/>
        <w:numPr>
          <w:ilvl w:val="0"/>
          <w:numId w:val="2"/>
        </w:numPr>
        <w:spacing w:before="60" w:after="60"/>
      </w:pPr>
      <w:r>
        <w:rPr>
          <w:rFonts w:ascii="Arial" w:cs="Arial" w:eastAsia="Arial" w:hAnsi="Arial"/>
          <w:color w:val="1E293B"/>
          <w:sz w:val="22"/>
          <w:szCs w:val="22"/>
        </w:rPr>
        <w:t xml:space="preserve">Nav: match EmployerProductPage.jsx nav pattern exactly</w:t>
      </w:r>
    </w:p>
    <w:p>
      <w:pPr>
        <w:pStyle w:val="ListParagraph"/>
        <w:numPr>
          <w:ilvl w:val="0"/>
          <w:numId w:val="2"/>
        </w:numPr>
        <w:spacing w:before="60" w:after="60"/>
      </w:pPr>
      <w:r>
        <w:rPr>
          <w:rFonts w:ascii="Arial" w:cs="Arial" w:eastAsia="Arial" w:hAnsi="Arial"/>
          <w:color w:val="1E293B"/>
          <w:sz w:val="22"/>
          <w:szCs w:val="22"/>
        </w:rPr>
        <w:t xml:space="preserve">Sign In links to /provider/login if that route exists, otherwise /billing/provider/login</w:t>
      </w:r>
    </w:p>
    <w:p>
      <w:pPr>
        <w:pStyle w:val="Heading2"/>
        <w:spacing w:before="360" w:after="120"/>
      </w:pPr>
      <w:r>
        <w:rPr>
          <w:rFonts w:ascii="Arial" w:cs="Arial" w:eastAsia="Arial" w:hAnsi="Arial"/>
          <w:b/>
          <w:bCs/>
          <w:color w:val="0D9488"/>
          <w:sz w:val="28"/>
          <w:szCs w:val="28"/>
        </w:rPr>
        <w:t xml:space="preserve">Pricing change</w:t>
      </w:r>
    </w:p>
    <w:p>
      <w:pPr>
        <w:spacing w:before="80" w:after="80"/>
      </w:pPr>
      <w:r>
        <w:rPr>
          <w:rFonts w:ascii="Arial" w:cs="Arial" w:eastAsia="Arial" w:hAnsi="Arial"/>
          <w:b/>
          <w:bCs/>
          <w:color w:val="DC2626"/>
          <w:sz w:val="20"/>
          <w:szCs w:val="20"/>
        </w:rPr>
        <w:t xml:space="preserve">Price is $99/month — changed from $300/month. Update everywhere.</w:t>
      </w:r>
    </w:p>
    <w:p>
      <w:pPr>
        <w:spacing w:before="80" w:after="80"/>
      </w:pPr>
      <w:r>
        <w:rPr>
          <w:rFonts w:ascii="Arial" w:cs="Arial" w:eastAsia="Arial" w:hAnsi="Arial"/>
          <w:b/>
          <w:bCs/>
          <w:color w:val="DC2626"/>
          <w:sz w:val="20"/>
          <w:szCs w:val="20"/>
        </w:rPr>
        <w:t xml:space="preserve">Free audit funnel is removed. Replace with 30-day free trial consistent with Employer and Broker.</w:t>
      </w:r>
    </w:p>
    <w:p>
      <w:pPr>
        <w:spacing w:before="80" w:after="80"/>
      </w:pPr>
      <w:r>
        <w:rPr>
          <w:rFonts w:ascii="Arial" w:cs="Arial" w:eastAsia="Arial" w:hAnsi="Arial"/>
          <w:b/>
          <w:bCs/>
          <w:color w:val="DC2626"/>
          <w:sz w:val="20"/>
          <w:szCs w:val="20"/>
        </w:rPr>
        <w:t xml:space="preserve">Do not remove the existing provider signup/login routes — only update the landing page copy and pricing.</w:t>
      </w:r>
    </w:p>
    <w:p>
      <w:pPr>
        <w:pStyle w:val="Heading2"/>
        <w:spacing w:before="360" w:after="120"/>
      </w:pPr>
      <w:r>
        <w:rPr>
          <w:rFonts w:ascii="Arial" w:cs="Arial" w:eastAsia="Arial" w:hAnsi="Arial"/>
          <w:b/>
          <w:bCs/>
          <w:color w:val="0D9488"/>
          <w:sz w:val="28"/>
          <w:szCs w:val="28"/>
        </w:rPr>
        <w:t xml:space="preserve">Demo requirements</w:t>
      </w:r>
    </w:p>
    <w:p>
      <w:pPr>
        <w:pStyle w:val="ListParagraph"/>
        <w:numPr>
          <w:ilvl w:val="0"/>
          <w:numId w:val="2"/>
        </w:numPr>
        <w:spacing w:before="60" w:after="60"/>
      </w:pPr>
      <w:r>
        <w:rPr>
          <w:rFonts w:ascii="Arial" w:cs="Arial" w:eastAsia="Arial" w:hAnsi="Arial"/>
          <w:color w:val="1E293B"/>
          <w:sz w:val="22"/>
          <w:szCs w:val="22"/>
        </w:rPr>
        <w:t xml:space="preserve">Tab 1 (Contract Compliance): 8–10 sample payment rows, 3–4 flagged, realistic CPT codes and payer names</w:t>
      </w:r>
    </w:p>
    <w:p>
      <w:pPr>
        <w:pStyle w:val="ListParagraph"/>
        <w:numPr>
          <w:ilvl w:val="0"/>
          <w:numId w:val="2"/>
        </w:numPr>
        <w:spacing w:before="60" w:after="60"/>
      </w:pPr>
      <w:r>
        <w:rPr>
          <w:rFonts w:ascii="Arial" w:cs="Arial" w:eastAsia="Arial" w:hAnsi="Arial"/>
          <w:color w:val="1E293B"/>
          <w:sz w:val="22"/>
          <w:szCs w:val="22"/>
        </w:rPr>
        <w:t xml:space="preserve">Tab 2 (Denial Analysis): 6–8 denial rows, plain-language reason column, appeal score stars, color coded</w:t>
      </w:r>
    </w:p>
    <w:p>
      <w:pPr>
        <w:pStyle w:val="ListParagraph"/>
        <w:numPr>
          <w:ilvl w:val="0"/>
          <w:numId w:val="2"/>
        </w:numPr>
        <w:spacing w:before="60" w:after="60"/>
      </w:pPr>
      <w:r>
        <w:rPr>
          <w:rFonts w:ascii="Arial" w:cs="Arial" w:eastAsia="Arial" w:hAnsi="Arial"/>
          <w:color w:val="1E293B"/>
          <w:sz w:val="22"/>
          <w:szCs w:val="22"/>
        </w:rPr>
        <w:t xml:space="preserve">Tab 3 (Appeal Letter): opens on denial row click, generates complete realistic appeal letter</w:t>
      </w:r>
    </w:p>
    <w:p>
      <w:pPr>
        <w:pStyle w:val="ListParagraph"/>
        <w:numPr>
          <w:ilvl w:val="0"/>
          <w:numId w:val="2"/>
        </w:numPr>
        <w:spacing w:before="60" w:after="60"/>
      </w:pPr>
      <w:r>
        <w:rPr>
          <w:rFonts w:ascii="Arial" w:cs="Arial" w:eastAsia="Arial" w:hAnsi="Arial"/>
          <w:color w:val="1E293B"/>
          <w:sz w:val="22"/>
          <w:szCs w:val="22"/>
        </w:rPr>
        <w:t xml:space="preserve">Appeal letter must look like something a billing director could actually send — not a template with obvious placeholders</w:t>
      </w:r>
    </w:p>
    <w:p>
      <w:pPr>
        <w:pStyle w:val="ListParagraph"/>
        <w:numPr>
          <w:ilvl w:val="0"/>
          <w:numId w:val="2"/>
        </w:numPr>
        <w:spacing w:before="60" w:after="60"/>
      </w:pPr>
      <w:r>
        <w:rPr>
          <w:rFonts w:ascii="Arial" w:cs="Arial" w:eastAsia="Arial" w:hAnsi="Arial"/>
          <w:color w:val="1E293B"/>
          <w:sz w:val="22"/>
          <w:szCs w:val="22"/>
        </w:rPr>
        <w:t xml:space="preserve">Conversion prompt appears after first tab interaction</w:t>
      </w:r>
    </w:p>
    <w:p>
      <w:pPr>
        <w:pStyle w:val="Heading2"/>
        <w:spacing w:before="360" w:after="120"/>
      </w:pPr>
      <w:r>
        <w:rPr>
          <w:rFonts w:ascii="Arial" w:cs="Arial" w:eastAsia="Arial" w:hAnsi="Arial"/>
          <w:b/>
          <w:bCs/>
          <w:color w:val="0D9488"/>
          <w:sz w:val="28"/>
          <w:szCs w:val="28"/>
        </w:rPr>
        <w:t xml:space="preserve">Sample data</w:t>
      </w:r>
    </w:p>
    <w:p>
      <w:pPr>
        <w:pStyle w:val="ListParagraph"/>
        <w:numPr>
          <w:ilvl w:val="0"/>
          <w:numId w:val="2"/>
        </w:numPr>
        <w:spacing w:before="60" w:after="60"/>
      </w:pPr>
      <w:r>
        <w:rPr>
          <w:rFonts w:ascii="Arial" w:cs="Arial" w:eastAsia="Arial" w:hAnsi="Arial"/>
          <w:color w:val="1E293B"/>
          <w:sz w:val="22"/>
          <w:szCs w:val="22"/>
        </w:rPr>
        <w:t xml:space="preserve">Practice name: Riverside Family Medicine</w:t>
      </w:r>
    </w:p>
    <w:p>
      <w:pPr>
        <w:pStyle w:val="ListParagraph"/>
        <w:numPr>
          <w:ilvl w:val="0"/>
          <w:numId w:val="2"/>
        </w:numPr>
        <w:spacing w:before="60" w:after="60"/>
      </w:pPr>
      <w:r>
        <w:rPr>
          <w:rFonts w:ascii="Arial" w:cs="Arial" w:eastAsia="Arial" w:hAnsi="Arial"/>
          <w:color w:val="1E293B"/>
          <w:sz w:val="22"/>
          <w:szCs w:val="22"/>
        </w:rPr>
        <w:t xml:space="preserve">Payers: Aetna, BCBS Illinois, Cigna, UnitedHealth</w:t>
      </w:r>
    </w:p>
    <w:p>
      <w:pPr>
        <w:pStyle w:val="ListParagraph"/>
        <w:numPr>
          <w:ilvl w:val="0"/>
          <w:numId w:val="2"/>
        </w:numPr>
        <w:spacing w:before="60" w:after="60"/>
      </w:pPr>
      <w:r>
        <w:rPr>
          <w:rFonts w:ascii="Arial" w:cs="Arial" w:eastAsia="Arial" w:hAnsi="Arial"/>
          <w:color w:val="1E293B"/>
          <w:sz w:val="22"/>
          <w:szCs w:val="22"/>
        </w:rPr>
        <w:t xml:space="preserve">CPT codes: 99213, 99214, 99215, 93000, 36415, 85025</w:t>
      </w:r>
    </w:p>
    <w:p>
      <w:pPr>
        <w:pStyle w:val="ListParagraph"/>
        <w:numPr>
          <w:ilvl w:val="0"/>
          <w:numId w:val="2"/>
        </w:numPr>
        <w:spacing w:before="60" w:after="60"/>
      </w:pPr>
      <w:r>
        <w:rPr>
          <w:rFonts w:ascii="Arial" w:cs="Arial" w:eastAsia="Arial" w:hAnsi="Arial"/>
          <w:color w:val="1E293B"/>
          <w:sz w:val="22"/>
          <w:szCs w:val="22"/>
        </w:rPr>
        <w:t xml:space="preserve">Denial codes: CO-16, CO-197, CO-4, CO-50, PR-96</w:t>
      </w:r>
    </w:p>
    <w:p>
      <w:pPr>
        <w:pStyle w:val="Heading2"/>
        <w:spacing w:before="360" w:after="120"/>
      </w:pPr>
      <w:r>
        <w:rPr>
          <w:rFonts w:ascii="Arial" w:cs="Arial" w:eastAsia="Arial" w:hAnsi="Arial"/>
          <w:b/>
          <w:bCs/>
          <w:color w:val="0D9488"/>
          <w:sz w:val="28"/>
          <w:szCs w:val="28"/>
        </w:rPr>
        <w:t xml:space="preserve">Tone</w:t>
      </w:r>
    </w:p>
    <w:p>
      <w:pPr>
        <w:pStyle w:val="ListParagraph"/>
        <w:numPr>
          <w:ilvl w:val="0"/>
          <w:numId w:val="2"/>
        </w:numPr>
        <w:spacing w:before="60" w:after="60"/>
      </w:pPr>
      <w:r>
        <w:rPr>
          <w:rFonts w:ascii="Arial" w:cs="Arial" w:eastAsia="Arial" w:hAnsi="Arial"/>
          <w:color w:val="1E293B"/>
          <w:sz w:val="22"/>
          <w:szCs w:val="22"/>
        </w:rPr>
        <w:t xml:space="preserve">Factual and specific — practice owners and billing directors respond to specifics, not generalities</w:t>
      </w:r>
    </w:p>
    <w:p>
      <w:pPr>
        <w:pStyle w:val="ListParagraph"/>
        <w:numPr>
          <w:ilvl w:val="0"/>
          <w:numId w:val="2"/>
        </w:numPr>
        <w:spacing w:before="60" w:after="60"/>
      </w:pPr>
      <w:r>
        <w:rPr>
          <w:rFonts w:ascii="Arial" w:cs="Arial" w:eastAsia="Arial" w:hAnsi="Arial"/>
          <w:color w:val="1E293B"/>
          <w:sz w:val="22"/>
          <w:szCs w:val="22"/>
        </w:rPr>
        <w:t xml:space="preserve">Revenue recovery framing — not compliance framing</w:t>
      </w:r>
    </w:p>
    <w:p>
      <w:pPr>
        <w:pStyle w:val="ListParagraph"/>
        <w:numPr>
          <w:ilvl w:val="0"/>
          <w:numId w:val="2"/>
        </w:numPr>
        <w:spacing w:before="60" w:after="60"/>
      </w:pPr>
      <w:r>
        <w:rPr>
          <w:rFonts w:ascii="Arial" w:cs="Arial" w:eastAsia="Arial" w:hAnsi="Arial"/>
          <w:color w:val="1E293B"/>
          <w:sz w:val="22"/>
          <w:szCs w:val="22"/>
        </w:rPr>
        <w:t xml:space="preserve">Does not demonize payers — describes structural conditions</w:t>
      </w:r>
    </w:p>
    <w:p>
      <w:pPr>
        <w:pStyle w:val="ListParagraph"/>
        <w:numPr>
          <w:ilvl w:val="0"/>
          <w:numId w:val="2"/>
        </w:numPr>
        <w:spacing w:before="60" w:after="60"/>
      </w:pPr>
      <w:r>
        <w:rPr>
          <w:rFonts w:ascii="Arial" w:cs="Arial" w:eastAsia="Arial" w:hAnsi="Arial"/>
          <w:color w:val="1E293B"/>
          <w:sz w:val="22"/>
          <w:szCs w:val="22"/>
        </w:rPr>
        <w:t xml:space="preserve">Appeal letter capability should feel powerful, not gimmicky</w:t>
      </w:r>
    </w:p>
    <w:p>
      <w:pPr>
        <w:pStyle w:val="Heading2"/>
        <w:spacing w:before="360" w:after="120"/>
      </w:pPr>
      <w:r>
        <w:rPr>
          <w:rFonts w:ascii="Arial" w:cs="Arial" w:eastAsia="Arial" w:hAnsi="Arial"/>
          <w:b/>
          <w:bCs/>
          <w:color w:val="0D9488"/>
          <w:sz w:val="28"/>
          <w:szCs w:val="28"/>
        </w:rPr>
        <w:t xml:space="preserve">Do not touch</w:t>
      </w:r>
    </w:p>
    <w:p>
      <w:pPr>
        <w:spacing w:before="80" w:after="80"/>
      </w:pPr>
      <w:r>
        <w:rPr>
          <w:rFonts w:ascii="Arial" w:cs="Arial" w:eastAsia="Arial" w:hAnsi="Arial"/>
          <w:b/>
          <w:bCs/>
          <w:color w:val="DC2626"/>
          <w:sz w:val="20"/>
          <w:szCs w:val="20"/>
        </w:rPr>
        <w:t xml:space="preserve">Do not modify any backend routers, auth system, or existing provider app routes.</w:t>
      </w:r>
    </w:p>
    <w:p>
      <w:pPr>
        <w:spacing w:before="80" w:after="80"/>
      </w:pPr>
      <w:r>
        <w:rPr>
          <w:rFonts w:ascii="Arial" w:cs="Arial" w:eastAsia="Arial" w:hAnsi="Arial"/>
          <w:b/>
          <w:bCs/>
          <w:color w:val="DC2626"/>
          <w:sz w:val="20"/>
          <w:szCs w:val="20"/>
        </w:rPr>
        <w:t xml:space="preserve">Do not change /provider/* routes, ProviderApp.jsx, or any provider dashboard components.</w:t>
      </w:r>
    </w:p>
    <w:p>
      <w:pPr>
        <w:spacing w:before="80" w:after="80"/>
      </w:pPr>
      <w:r>
        <w:rPr>
          <w:rFonts w:ascii="Arial" w:cs="Arial" w:eastAsia="Arial" w:hAnsi="Arial"/>
          <w:b/>
          <w:bCs/>
          <w:color w:val="DC2626"/>
          <w:sz w:val="20"/>
          <w:szCs w:val="20"/>
        </w:rPr>
        <w:t xml:space="preserve">Only ProviderProductPage.jsx and the embedded demo component are in scope.</w:t>
      </w:r>
    </w:p>
    <w:p>
      <w:pPr>
        <w:spacing w:before="480" w:after="120"/>
        <w:jc w:val="center"/>
      </w:pPr>
      <w:r>
        <w:rPr>
          <w:rFonts w:ascii="Arial" w:cs="Arial" w:eastAsia="Arial" w:hAnsi="Arial"/>
          <w:i/>
          <w:iCs/>
          <w:color w:val="64748B"/>
          <w:sz w:val="18"/>
          <w:szCs w:val="18"/>
        </w:rPr>
        <w:t xml:space="preserve">CivicScale · Parity Provider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E293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2026-03-11T16:19:10.569Z</dcterms:created>
  <dcterms:modified xsi:type="dcterms:W3CDTF">2026-03-11T16:19:10.570Z</dcterms:modified>
</cp:coreProperties>
</file>

<file path=docProps/custom.xml><?xml version="1.0" encoding="utf-8"?>
<Properties xmlns="http://schemas.openxmlformats.org/officeDocument/2006/custom-properties" xmlns:vt="http://schemas.openxmlformats.org/officeDocument/2006/docPropsVTypes"/>
</file>