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9488"/>
          <w:sz w:val="48"/>
          <w:szCs w:val="48"/>
        </w:rPr>
        <w:t xml:space="preserve">PARITY EMPLOYER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Landing Page Copy Brief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Route: /billing/employer · Session F · March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For Claude Code handoff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PAGE STRATEGY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/>
          <w:iCs/>
          <w:color w:val="64748B"/>
          <w:sz w:val="20"/>
          <w:szCs w:val="20"/>
        </w:rPr>
        <w:t xml:space="preserve">Primary reader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HR director or CFO at a self-insured company with 100–2,000 employees. Financially literate. Skeptical. Has been burned by vendors before. Responds to specific, citable evidence — not claims.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/>
          <w:iCs/>
          <w:color w:val="64748B"/>
          <w:sz w:val="20"/>
          <w:szCs w:val="20"/>
        </w:rPr>
        <w:t xml:space="preserve">Secondary reader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benefits broker evaluating whether to recommend CivicScale to a client. Wants to see that the output is professional enough to put in front of their own client.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/>
          <w:iCs/>
          <w:color w:val="64748B"/>
          <w:sz w:val="20"/>
          <w:szCs w:val="20"/>
        </w:rPr>
        <w:t xml:space="preserve">Page goal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Visitor arrives → understands value in 10 seconds → sees a real-looking analysis within 30 seconds → starts a trial within 3 minutes.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/>
          <w:iCs/>
          <w:color w:val="64748B"/>
          <w:sz w:val="20"/>
          <w:szCs w:val="20"/>
        </w:rPr>
        <w:t xml:space="preserve">Key structural decision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demo is embedded on this page — not behind a separate link. It loads with sample data automatically so every visitor gets an immediate experience without any setup. Scroll-to-demo is the primary CTA from the hero. The page and the demo are one conversion path.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SECTION 1: HERO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Headline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Your claims data contains findings your TPA isn’t showing you.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Subhead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Parity Employer benchmarks your 835 claims against Medicare rates, flags variance, analyzes your pharmacy spend against actual drug acquisition costs, and delivers a plain-language report your CFO can act on. In minutes.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Primary CTA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▶  Analyze My Claims Free →  — scrolls down to embedded demo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Trust line beneath CTA: No credit card required · 30-day free trial · Cancel anytime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Secondary CTA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▶  See How It Works →  — also scrolls to demo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SECTION 2: THE REGULATORY RECORD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Three cards. Fully citable. No fabricated numbers.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Design: three equal cards, dark background, source attribution visible beneath each.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Card 1 — The FTC agrees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Federal Trade Commission’s 2024 interim staff report documented PBM-affiliated pharmacies charging plan sponsors multiples of the National Average Drug Acquisition Cost for the same medications — retaining nearly $1.6 billion in excess dispensing revenue for just two case study drugs over two years.</w:t>
      </w:r>
    </w:p>
    <w:p>
      <w:pPr>
        <w:spacing w:before="40" w:after="80"/>
        <w:ind w:left="72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Source: FTC Interim Staff Report on Pharmacy Benefit Managers, July 2024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Card 2 — Employers are suing their TPAs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Huntsman International, W.W. Grainger, and Kraft Heinz have each filed suit against their third-party administrators alleging approval of improper claims, cross-plan offsetting, and application of less rigorous adjudication standards to self-funded plans than to the TPA’s own fully-insured clients.</w:t>
      </w:r>
    </w:p>
    <w:p>
      <w:pPr>
        <w:spacing w:before="40" w:after="80"/>
        <w:ind w:left="72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Source: The Source on Healthcare Price and Competition, 2024; Healthcareuncovered.substack.com, 2026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Card 3 — The data was always there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Federal price transparency rules and the Consolidated Appropriations Act now require carriers and TPAs to provide the underlying data that makes this analysis possible. Most self-insured employers have never reviewed it.</w:t>
      </w:r>
    </w:p>
    <w:p>
      <w:pPr>
        <w:spacing w:before="40" w:after="80"/>
        <w:ind w:left="72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Source: CAA 2021; CMS Transparency in Coverage Rule 2020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SECTION 3: THE EMBEDDED DEMO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The demo is the product for someone who hasn’t committed yet.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is the most important section on the page. It must load immediately with sample data — no setup, no upload required to see results. The conversion trigger is a specific moment of recognition: “we have a problem we didn’t know about.” The demo must manufacture that moment reliably for every visitor.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Header text above demo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 what’s in your claims data — no upload required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We’ve loaded a sample plan — Midwest Manufacturing, 340 employees. Explore the analysis, then upload your own 835 file to see your actual findings.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Sample data to use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existing file: backend/data/sample/Midwest_Manufacturing_Pharmacy_Dec2024.csv for pharmacy tab. For claims tab, generate realistic synthetic 835 data — 10–12 claims, 3–4 flagged with meaningful variance. CPT codes should be common outpatient: 99213, 99214, 93000, 85025, 71046. Flag variance of 40–80% above Medicare benchmark to create recognition moment.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Tab 1: Claims Benchmark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 bar: [N] claims analyzed · [N] flagged · Est. variance $[X]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Sortable table columns: Procedure / Description / Billed / Medicare Benchmark / Variance % /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badges: green (within benchmark) / amber (10–40% above) / red (&gt;40% above)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Clicking any flagged row opens Analytical Paths panel (Tab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3–4 rows pre-flagged in amber or red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Tab 2: Pharmacy Benchmark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 bar: [N] drugs analyzed · [N] flagged · Est. spread $[X]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 columns: Drug Name / NDC / Plan Cost / NADAC Benchmark / Spread % /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rows flagged with spread &gt;20%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flagged row shows plain-language note: e.g. “This drug was billed at 34% above the CMS National Average Drug Acquisition Cost.”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Tab 3: Analytical Paths (opens on claim click)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the selected claim at 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displayed: CMS Fee Schedule Rate · Locality Adjustment · Billed Amount · Variance · Variance 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Plain-language finding block — example: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      “This charge for CPT 99214 (Office Visit, Level 4) was billed at $340. The Medicare benchmark for this procedure in this locality is $187. The billed amount is 82% above benchmark. This finding is appeal-worthy based on the magnitude of variance and the availability of a specific CMS reference rate.”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Button: Generate Dispute Letter → produces a formatted letter stub with CMS reference populated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Letter stub should be realistic — carrier name, date, plan name, specific CPT reference, specific benchmark figure, request for explanation of variance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Upload prompt (persistent, subtle)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You’re viewing sample data. Upload your own 835 file to analyze your actual claims. — file input, accepts .835 / .csv / .xlsx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Conversion prompt (appears after any interaction)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your free 30-day trial to save this analysis and access your full report.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▶  Start Free Trial →  — links to /billing/employer/signup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SECTION 4: WHAT YOU GET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Four outcome cards. Outcome-focused — not feature bullets. What the employer can do as a result.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Card 1 — Claims Benchmark Report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claim in your 835 compared to Medicare rates by procedure and geography. Flagged findings ranked by variance magnitude. PDF export formatted for your CFO or benefits committee.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Card 2 — Pharmacy Spend Analysis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drug costs benchmarked against NADAC weekly acquisition costs. Spreads identified, flagged, and explained in plain language. No pharmacy or PBM contract required — works from your claims data alone.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Card 3 — Analytical Paths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any flagged claim, the specific analytical reasoning behind the finding — which factors drove the variance, what the billed position assumes, and what documentation addresses it directly. Transforms a finding into an argument.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Card 4 — CAA Compliance Support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data request letters to carriers under the Consolidated Appropriations Act. Pre-populated with your plan information, carrier details, and the specific statutory language your TPA is required to respond to.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SECTION 5: HOW IT WORKS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Three steps. Simple and visual.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your 835 file — EDI format, CSV, or Excel. Any format your TPA exports.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your findings — benchmarked claims, flagged variance, pharmacy spread analysis. Plain-language throughout.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 on what you find — download your report, generate dispute letters, share with your broker or benefits committee.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SECTION 6: PRICING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One option. No tiers. No confusion.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$99 / month — billed monthly, cancel anytime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Unlimited 835 uploads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benchmark analysis every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Pharmacy spend benchmarking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CAA letter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PDF report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30-day free trial, no credit card required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▶  Start Free Trial →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Trust line: No credit card required · 30-day free trial · Cancel anytime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brokers: Managing multiple clients? Parity Broker gives you a full book-of-business dashboard with employer benchmarking built in.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▶  Learn about Parity Broker →  — links to /broker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SECTION 7: BUILT ON PUBLIC DATA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Verified against current rates.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CMS Physician Fee Schedule — 841,000 rates updated annually, locality-adjusted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NADAC Drug Acquisition Costs — weekly CMS update, direct benchmark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NCCI Edit Pairs — 2.2 million code pair edits for unbundling detection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patient data stored. No provider names retained. Your findings are yours.</w:t>
      </w:r>
    </w:p>
    <w:p>
      <w:pPr>
        <w:pBdr>
          <w:bottom w:val="single" w:color="E2E8F0" w:sz="6" w:space="1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DESIGN NOTES FOR CLAUDE CODE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Route: /billing/employer — replace existing EmployerProductPage.jsx entirely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 component: embed directly in page, do not route to /billing/employer/demo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Existing /billing/employer/demo route can remain for now but is no longer the primary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Sample data: use backend/data/sample/Midwest_Manufacturing_Pharmacy_Dec2024.csv for pharmacy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Claims tab: generate synthetic 835 data inline in the component — 10–12 claims, realistic CPT codes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Demo interaction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 must load with sample data immediately on page load — no click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switching must be instant — no loading states on sample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Analytical Paths panel opens as a slide-in panel or modal on claim row click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Dispute Letter produces a realistic formatted letter — not a placeholder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input accepts .835 / .csv / .xlsx and passes to existing /api/employer/analyze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Conversion prompt (Start Free Trial) appears after first tab interaction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 and data-confident — never alarmist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regulatory record section is factual — no editorializing beyond what the citations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demonize TPAs or carriers as institutions — describe structural conditions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CTA conventions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Primary: “Start Free Trial” → /billing/employer/signup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Trust line: “No credit card required · 30-day free trial · Cancel anytime”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 scroll CTA: “Analyze My Claims Free” — scrolls to demo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Broker crosslink: “Managing multiple clients? → Parity Broker”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Do not touch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 not modify any backend routers, auth system, or existing dashboard routes.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 not change /billing/employer/signup, /billing/employer/dashboard, or any downstream employer routes.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Only EmployerProductPage.jsx and the embedded demo component are in scope.</w:t>
      </w:r>
    </w:p>
    <w:p>
      <w:pPr>
        <w:spacing w:before="480" w:after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CivicScale · Parity Employer · Confidential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2026-03-11T13:12:48.965Z</dcterms:created>
  <dcterms:modified xsi:type="dcterms:W3CDTF">2026-03-11T13:12:48.966Z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