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FD" w:rsidRDefault="00606834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9068C" w:rsidRPr="005A3344">
        <w:rPr>
          <w:rFonts w:ascii="Arial" w:hAnsi="Arial" w:cs="Arial"/>
          <w:b/>
          <w:sz w:val="24"/>
          <w:szCs w:val="24"/>
        </w:rPr>
        <w:t>A</w:t>
      </w:r>
      <w:r w:rsidR="00DA5654">
        <w:rPr>
          <w:rFonts w:ascii="Arial" w:hAnsi="Arial" w:cs="Arial"/>
          <w:b/>
          <w:sz w:val="24"/>
          <w:szCs w:val="24"/>
        </w:rPr>
        <w:t>NÁLISE DOS RESULTADOS</w:t>
      </w:r>
    </w:p>
    <w:p w:rsidR="00E42C25" w:rsidRDefault="00E42C25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738D6" w:rsidRPr="0058424A" w:rsidRDefault="009738D6" w:rsidP="00193CA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Esta seção visa apresentar uma comparação entre a </w:t>
      </w:r>
      <w:r w:rsidR="000D6FAD" w:rsidRPr="0058424A">
        <w:rPr>
          <w:rFonts w:ascii="Arial" w:hAnsi="Arial" w:cs="Arial"/>
        </w:rPr>
        <w:t>acurácia</w:t>
      </w:r>
      <w:r w:rsidRPr="0058424A">
        <w:rPr>
          <w:rFonts w:ascii="Arial" w:hAnsi="Arial" w:cs="Arial"/>
        </w:rPr>
        <w:t xml:space="preserve"> dos diferentes métodos e modelos utilizados para a realização de previsões e </w:t>
      </w:r>
      <w:r w:rsidR="000D6FAD" w:rsidRPr="0058424A">
        <w:rPr>
          <w:rFonts w:ascii="Arial" w:hAnsi="Arial" w:cs="Arial"/>
        </w:rPr>
        <w:t>explorar</w:t>
      </w:r>
      <w:r w:rsidRPr="0058424A">
        <w:rPr>
          <w:rFonts w:ascii="Arial" w:hAnsi="Arial" w:cs="Arial"/>
        </w:rPr>
        <w:t xml:space="preserve"> </w:t>
      </w:r>
      <w:r w:rsidR="000D6FAD" w:rsidRPr="0058424A">
        <w:rPr>
          <w:rFonts w:ascii="Arial" w:hAnsi="Arial" w:cs="Arial"/>
        </w:rPr>
        <w:t>possíveis determinantes</w:t>
      </w:r>
      <w:r w:rsidRPr="0058424A">
        <w:rPr>
          <w:rFonts w:ascii="Arial" w:hAnsi="Arial" w:cs="Arial"/>
        </w:rPr>
        <w:t xml:space="preserve"> para o comportamento observado. Ela está dividid</w:t>
      </w:r>
      <w:r w:rsidR="000D6FAD" w:rsidRPr="0058424A">
        <w:rPr>
          <w:rFonts w:ascii="Arial" w:hAnsi="Arial" w:cs="Arial"/>
        </w:rPr>
        <w:t>a</w:t>
      </w:r>
      <w:r w:rsidRPr="0058424A">
        <w:rPr>
          <w:rFonts w:ascii="Arial" w:hAnsi="Arial" w:cs="Arial"/>
        </w:rPr>
        <w:t xml:space="preserve"> em </w:t>
      </w:r>
      <w:r w:rsidR="00193CAA" w:rsidRPr="0058424A">
        <w:rPr>
          <w:rFonts w:ascii="Arial" w:hAnsi="Arial" w:cs="Arial"/>
        </w:rPr>
        <w:t>três</w:t>
      </w:r>
      <w:r w:rsidRPr="0058424A">
        <w:rPr>
          <w:rFonts w:ascii="Arial" w:hAnsi="Arial" w:cs="Arial"/>
        </w:rPr>
        <w:t xml:space="preserve"> seções. Na primeira seção serão apresentadas as medidas de acurácia com o objetivo de identificar </w:t>
      </w:r>
      <w:r w:rsidR="00193CAA" w:rsidRPr="0058424A">
        <w:rPr>
          <w:rFonts w:ascii="Arial" w:hAnsi="Arial" w:cs="Arial"/>
        </w:rPr>
        <w:t>qual</w:t>
      </w:r>
      <w:r w:rsidRPr="0058424A">
        <w:rPr>
          <w:rFonts w:ascii="Arial" w:hAnsi="Arial" w:cs="Arial"/>
        </w:rPr>
        <w:t xml:space="preserve"> método </w:t>
      </w:r>
      <w:r w:rsidR="00193CAA" w:rsidRPr="0058424A">
        <w:rPr>
          <w:rFonts w:ascii="Arial" w:hAnsi="Arial" w:cs="Arial"/>
        </w:rPr>
        <w:t>ou</w:t>
      </w:r>
      <w:r w:rsidRPr="0058424A">
        <w:rPr>
          <w:rFonts w:ascii="Arial" w:hAnsi="Arial" w:cs="Arial"/>
        </w:rPr>
        <w:t xml:space="preserve"> modelo se sobressaiu em diferentes horizontes temporais de previsão. </w:t>
      </w:r>
      <w:r w:rsidR="00193CAA" w:rsidRPr="0058424A">
        <w:rPr>
          <w:rFonts w:ascii="Arial" w:hAnsi="Arial" w:cs="Arial"/>
        </w:rPr>
        <w:t xml:space="preserve">Na segunda seção serão apresentados brevemente os resultados por estados. E, por fim, </w:t>
      </w:r>
      <w:r w:rsidRPr="0058424A">
        <w:rPr>
          <w:rFonts w:ascii="Arial" w:hAnsi="Arial" w:cs="Arial"/>
        </w:rPr>
        <w:t xml:space="preserve">serão exploradas algumas </w:t>
      </w:r>
      <w:r w:rsidR="00193CAA" w:rsidRPr="0058424A">
        <w:rPr>
          <w:rFonts w:ascii="Arial" w:hAnsi="Arial" w:cs="Arial"/>
        </w:rPr>
        <w:t>variáveis capazes de caracterizar a diferença dos resultados entre os estados</w:t>
      </w:r>
      <w:r w:rsidR="00074151" w:rsidRPr="0058424A">
        <w:rPr>
          <w:rFonts w:ascii="Arial" w:hAnsi="Arial" w:cs="Arial"/>
        </w:rPr>
        <w:t>.</w:t>
      </w:r>
    </w:p>
    <w:p w:rsidR="009738D6" w:rsidRDefault="009738D6" w:rsidP="005B1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E2625" w:rsidRDefault="00606834" w:rsidP="00074151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4.1. </w:t>
      </w:r>
      <w:r w:rsidR="00074151">
        <w:rPr>
          <w:rFonts w:ascii="Arial" w:eastAsiaTheme="minorEastAsia" w:hAnsi="Arial" w:cs="Arial"/>
          <w:b/>
          <w:sz w:val="24"/>
          <w:szCs w:val="24"/>
        </w:rPr>
        <w:t>Acurácia dos Métodos e Modelos</w:t>
      </w:r>
      <w:r w:rsidR="00E42C25">
        <w:rPr>
          <w:rFonts w:ascii="Arial" w:eastAsiaTheme="minorEastAsia" w:hAnsi="Arial" w:cs="Arial"/>
          <w:b/>
          <w:sz w:val="24"/>
          <w:szCs w:val="24"/>
        </w:rPr>
        <w:t xml:space="preserve"> – Análise Geral</w:t>
      </w:r>
    </w:p>
    <w:p w:rsidR="00E42C25" w:rsidRPr="00074151" w:rsidRDefault="00E42C25" w:rsidP="00074151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</w:p>
    <w:p w:rsidR="009F051C" w:rsidRPr="0058424A" w:rsidRDefault="00074151" w:rsidP="0007415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A tabela 1 apresenta o erro absoluto percentual médio (MAPE) para diferentes horizontes de previsão. </w:t>
      </w:r>
      <w:r w:rsidR="00193CAA" w:rsidRPr="0058424A">
        <w:rPr>
          <w:rFonts w:ascii="Arial" w:hAnsi="Arial" w:cs="Arial"/>
        </w:rPr>
        <w:t>Para as previsões um passo a frente, o ARIMA obteve o menor MAP</w:t>
      </w:r>
      <w:r w:rsidR="00AD67CC" w:rsidRPr="0058424A">
        <w:rPr>
          <w:rFonts w:ascii="Arial" w:hAnsi="Arial" w:cs="Arial"/>
        </w:rPr>
        <w:t>E (</w:t>
      </w:r>
      <w:r w:rsidR="00193CAA" w:rsidRPr="0058424A">
        <w:rPr>
          <w:rFonts w:ascii="Arial" w:hAnsi="Arial" w:cs="Arial"/>
        </w:rPr>
        <w:t>6,4%</w:t>
      </w:r>
      <w:r w:rsidR="00AD67CC" w:rsidRPr="0058424A">
        <w:rPr>
          <w:rFonts w:ascii="Arial" w:hAnsi="Arial" w:cs="Arial"/>
        </w:rPr>
        <w:t>)</w:t>
      </w:r>
      <w:r w:rsidR="00193CAA" w:rsidRPr="0058424A">
        <w:rPr>
          <w:rFonts w:ascii="Arial" w:hAnsi="Arial" w:cs="Arial"/>
        </w:rPr>
        <w:t xml:space="preserve">, </w:t>
      </w:r>
      <w:r w:rsidR="00B2366E" w:rsidRPr="0058424A">
        <w:rPr>
          <w:rFonts w:ascii="Arial" w:hAnsi="Arial" w:cs="Arial"/>
        </w:rPr>
        <w:t xml:space="preserve">quase metade do valor obtido </w:t>
      </w:r>
      <w:r w:rsidR="006C5EE4" w:rsidRPr="0058424A">
        <w:rPr>
          <w:rFonts w:ascii="Arial" w:hAnsi="Arial" w:cs="Arial"/>
        </w:rPr>
        <w:t xml:space="preserve">pelo Ingênuo (11,4%). Para os demais horizontes de previsão </w:t>
      </w:r>
      <w:proofErr w:type="gramStart"/>
      <w:r w:rsidR="006C5EE4" w:rsidRPr="0058424A">
        <w:rPr>
          <w:rFonts w:ascii="Arial" w:hAnsi="Arial" w:cs="Arial"/>
        </w:rPr>
        <w:t>a Combinação pela Média e pela Mediana alternaram</w:t>
      </w:r>
      <w:proofErr w:type="gramEnd"/>
      <w:r w:rsidR="006C5EE4" w:rsidRPr="0058424A">
        <w:rPr>
          <w:rFonts w:ascii="Arial" w:hAnsi="Arial" w:cs="Arial"/>
        </w:rPr>
        <w:t xml:space="preserve"> a primeira posição com valores de MAPE extremamente próximos. A Combinação pela Média foi superior em três horizontes (1-8; 1-16; 1-20) e a Combinação pela Mediana em dois (1-4; 1-12). Também merece destaque o desempenho do VAR. Apesar do MAPE relativamente alto para as previsões de um passo a frente (7,9%), </w:t>
      </w:r>
      <w:r w:rsidR="00AD67CC" w:rsidRPr="0058424A">
        <w:rPr>
          <w:rFonts w:ascii="Arial" w:hAnsi="Arial" w:cs="Arial"/>
        </w:rPr>
        <w:t>seu desempenho melhorou comparativamente nos demais horizontes e obteve o terceiro menor MAPE atrás das combinações para todos os demais horizontes.</w:t>
      </w:r>
    </w:p>
    <w:p w:rsidR="00FD28C4" w:rsidRPr="0058424A" w:rsidRDefault="00AD67CC" w:rsidP="00AD67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Também é possível notar a partir da análise da tabela 1 a tendência de piora na acurácia com o incremento do horizonte para todos os modelos. Esta tendência de piora é natural, no entanto, um modelo que consegue </w:t>
      </w:r>
      <w:r w:rsidR="003F6A9B" w:rsidRPr="0058424A">
        <w:rPr>
          <w:rFonts w:ascii="Arial" w:hAnsi="Arial" w:cs="Arial"/>
        </w:rPr>
        <w:t>manter seu desempenho estável pode ser adequado em determinadas situações</w:t>
      </w:r>
      <w:r w:rsidRPr="0058424A">
        <w:rPr>
          <w:rFonts w:ascii="Arial" w:hAnsi="Arial" w:cs="Arial"/>
        </w:rPr>
        <w:t>.</w:t>
      </w:r>
      <w:r w:rsidR="003F6A9B" w:rsidRPr="0058424A">
        <w:rPr>
          <w:rFonts w:ascii="Arial" w:hAnsi="Arial" w:cs="Arial"/>
        </w:rPr>
        <w:t xml:space="preserve"> </w:t>
      </w:r>
      <w:r w:rsidRPr="0058424A">
        <w:rPr>
          <w:rFonts w:ascii="Arial" w:hAnsi="Arial" w:cs="Arial"/>
        </w:rPr>
        <w:t>Neste quesito</w:t>
      </w:r>
      <w:r w:rsidR="003F6A9B" w:rsidRPr="0058424A">
        <w:rPr>
          <w:rFonts w:ascii="Arial" w:hAnsi="Arial" w:cs="Arial"/>
        </w:rPr>
        <w:t>,</w:t>
      </w:r>
      <w:r w:rsidRPr="0058424A">
        <w:rPr>
          <w:rFonts w:ascii="Arial" w:hAnsi="Arial" w:cs="Arial"/>
        </w:rPr>
        <w:t xml:space="preserve"> os métodos e modelos capazes de manter mais estabilidade entre os diferentes horizontes foram o VAR, a Suavização Exponencial e o Ingênuo.</w:t>
      </w:r>
      <w:r w:rsidR="00634818" w:rsidRPr="0058424A">
        <w:rPr>
          <w:rFonts w:ascii="Arial" w:hAnsi="Arial" w:cs="Arial"/>
        </w:rPr>
        <w:t xml:space="preserve"> Em duas mudanças de horizontes o VAR foi capaz até mesmo de diminuir seu MAPE (</w:t>
      </w:r>
      <w:proofErr w:type="gramStart"/>
      <w:r w:rsidR="00634818" w:rsidRPr="0058424A">
        <w:rPr>
          <w:rFonts w:ascii="Arial" w:hAnsi="Arial" w:cs="Arial"/>
        </w:rPr>
        <w:t>1</w:t>
      </w:r>
      <w:proofErr w:type="gramEnd"/>
      <w:r w:rsidR="00634818" w:rsidRPr="0058424A">
        <w:rPr>
          <w:rFonts w:ascii="Arial" w:hAnsi="Arial" w:cs="Arial"/>
        </w:rPr>
        <w:t xml:space="preserve"> para 1-4; e 1-12 para 1-16).</w:t>
      </w:r>
    </w:p>
    <w:p w:rsidR="004168DF" w:rsidRPr="0058424A" w:rsidRDefault="004168DF" w:rsidP="00AD67C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>A figura 1 apresenta a distribuição dos erros absolutos percentuais por horizonte de previsão. Fica clara a diferença de desempenho entre os sete primeiros meses e os restantes. Não somente a mediana dos erros foi menor nos sete primeiros meses, a variabilidade também foi significativamente menor.</w:t>
      </w:r>
    </w:p>
    <w:p w:rsidR="003F6A9B" w:rsidRDefault="003F6A9B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4818" w:rsidRPr="00A314AD" w:rsidRDefault="00A314AD" w:rsidP="0007415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lastRenderedPageBreak/>
        <w:t>TABELA 1</w:t>
      </w:r>
      <w:r w:rsidR="00E42C25">
        <w:rPr>
          <w:rFonts w:ascii="Arial" w:hAnsi="Arial" w:cs="Arial"/>
          <w:sz w:val="20"/>
          <w:szCs w:val="20"/>
        </w:rPr>
        <w:t xml:space="preserve"> - </w:t>
      </w:r>
      <w:r w:rsidR="00E42C25"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="00E42C25"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="00E42C25"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90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767"/>
        <w:gridCol w:w="999"/>
        <w:gridCol w:w="999"/>
        <w:gridCol w:w="999"/>
        <w:gridCol w:w="999"/>
        <w:gridCol w:w="999"/>
      </w:tblGrid>
      <w:tr w:rsidR="00634818" w:rsidRPr="00634818" w:rsidTr="00634818">
        <w:trPr>
          <w:trHeight w:val="300"/>
        </w:trPr>
        <w:tc>
          <w:tcPr>
            <w:tcW w:w="32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57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634818" w:rsidRPr="00634818" w:rsidTr="00634818">
        <w:trPr>
          <w:trHeight w:val="480"/>
        </w:trPr>
        <w:tc>
          <w:tcPr>
            <w:tcW w:w="32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9,9%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9,1%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9,2%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10,8%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Suavização Exponencial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11,9%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12,2%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11,8%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13,2%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13,9%</w:t>
            </w:r>
          </w:p>
        </w:tc>
      </w:tr>
    </w:tbl>
    <w:p w:rsidR="00074151" w:rsidRPr="00A314AD" w:rsidRDefault="00A314AD" w:rsidP="0007415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4168DF" w:rsidRDefault="004168DF" w:rsidP="00E42C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68DF" w:rsidRDefault="004168DF" w:rsidP="004168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B60A03" wp14:editId="13AB13DF">
            <wp:extent cx="5612130" cy="335661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DF" w:rsidRPr="004168DF" w:rsidRDefault="004168DF" w:rsidP="004168D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168D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</w:t>
      </w:r>
      <w:r w:rsidRPr="004168D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Erros Absolutos Percentuais </w:t>
      </w:r>
      <w:r w:rsidRPr="004168DF">
        <w:rPr>
          <w:rFonts w:ascii="Arial" w:hAnsi="Arial" w:cs="Arial"/>
          <w:i/>
          <w:sz w:val="20"/>
          <w:szCs w:val="20"/>
        </w:rPr>
        <w:t>versus</w:t>
      </w:r>
      <w:r>
        <w:rPr>
          <w:rFonts w:ascii="Arial" w:hAnsi="Arial" w:cs="Arial"/>
          <w:sz w:val="20"/>
          <w:szCs w:val="20"/>
        </w:rPr>
        <w:t xml:space="preserve"> Horizontes de Previsão</w:t>
      </w:r>
      <w:r w:rsidRPr="004168DF">
        <w:rPr>
          <w:rFonts w:ascii="Arial" w:hAnsi="Arial" w:cs="Arial"/>
          <w:sz w:val="20"/>
          <w:szCs w:val="20"/>
        </w:rPr>
        <w:t>. Fonte: Elaboração do</w:t>
      </w:r>
      <w:r w:rsidR="00E42C25">
        <w:rPr>
          <w:rFonts w:ascii="Arial" w:hAnsi="Arial" w:cs="Arial"/>
          <w:sz w:val="20"/>
          <w:szCs w:val="20"/>
        </w:rPr>
        <w:t>s</w:t>
      </w:r>
      <w:r w:rsidRPr="004168DF">
        <w:rPr>
          <w:rFonts w:ascii="Arial" w:hAnsi="Arial" w:cs="Arial"/>
          <w:sz w:val="20"/>
          <w:szCs w:val="20"/>
        </w:rPr>
        <w:t xml:space="preserve"> Autor</w:t>
      </w:r>
      <w:r w:rsidR="00E42C25">
        <w:rPr>
          <w:rFonts w:ascii="Arial" w:hAnsi="Arial" w:cs="Arial"/>
          <w:sz w:val="20"/>
          <w:szCs w:val="20"/>
        </w:rPr>
        <w:t>es</w:t>
      </w:r>
      <w:r w:rsidRPr="004168DF">
        <w:rPr>
          <w:rFonts w:ascii="Arial" w:hAnsi="Arial" w:cs="Arial"/>
          <w:sz w:val="20"/>
          <w:szCs w:val="20"/>
        </w:rPr>
        <w:t>.</w:t>
      </w:r>
    </w:p>
    <w:p w:rsidR="004168DF" w:rsidRDefault="004168DF" w:rsidP="005842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Pr="0058424A" w:rsidRDefault="008C223A" w:rsidP="00A314A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>A</w:t>
      </w:r>
      <w:r w:rsidR="00634818" w:rsidRPr="0058424A">
        <w:rPr>
          <w:rFonts w:ascii="Arial" w:hAnsi="Arial" w:cs="Arial"/>
        </w:rPr>
        <w:t xml:space="preserve"> tabela 1 apresenta o comportame</w:t>
      </w:r>
      <w:r w:rsidRPr="0058424A">
        <w:rPr>
          <w:rFonts w:ascii="Arial" w:hAnsi="Arial" w:cs="Arial"/>
        </w:rPr>
        <w:t xml:space="preserve">nto médio dos métodos e modelos em relação </w:t>
      </w:r>
      <w:proofErr w:type="gramStart"/>
      <w:r w:rsidRPr="0058424A">
        <w:rPr>
          <w:rFonts w:ascii="Arial" w:hAnsi="Arial" w:cs="Arial"/>
        </w:rPr>
        <w:t>a</w:t>
      </w:r>
      <w:proofErr w:type="gramEnd"/>
      <w:r w:rsidRPr="0058424A">
        <w:rPr>
          <w:rFonts w:ascii="Arial" w:hAnsi="Arial" w:cs="Arial"/>
        </w:rPr>
        <w:t xml:space="preserve"> acurácia das previsões. Também é interessante analisarmos quais modelos tiveram o maior número de melhor acur</w:t>
      </w:r>
      <w:r w:rsidR="00A314AD" w:rsidRPr="0058424A">
        <w:rPr>
          <w:rFonts w:ascii="Arial" w:hAnsi="Arial" w:cs="Arial"/>
        </w:rPr>
        <w:t xml:space="preserve">ácia para um Estado específico, desconsiderando seu comportamento médio entre os Estados. </w:t>
      </w:r>
      <w:r w:rsidR="00074151" w:rsidRPr="0058424A">
        <w:rPr>
          <w:rFonts w:ascii="Arial" w:hAnsi="Arial" w:cs="Arial"/>
        </w:rPr>
        <w:t>A tabela 2 apresenta o percentual de vezes que um modelo obteve o menor MAPE</w:t>
      </w:r>
      <w:r w:rsidR="00757B91" w:rsidRPr="0058424A">
        <w:rPr>
          <w:rFonts w:ascii="Arial" w:hAnsi="Arial" w:cs="Arial"/>
        </w:rPr>
        <w:t xml:space="preserve"> entre os 27 estados para diferentes horizontes de previsão.</w:t>
      </w:r>
      <w:r w:rsidR="00A314AD" w:rsidRPr="0058424A">
        <w:rPr>
          <w:rFonts w:ascii="Arial" w:hAnsi="Arial" w:cs="Arial"/>
        </w:rPr>
        <w:t xml:space="preserve"> </w:t>
      </w:r>
      <w:r w:rsidR="00A314AD" w:rsidRPr="0058424A">
        <w:rPr>
          <w:rFonts w:ascii="Arial" w:hAnsi="Arial" w:cs="Arial"/>
        </w:rPr>
        <w:lastRenderedPageBreak/>
        <w:t xml:space="preserve">Sua interpretação é, por exemplo, que para o horizonte de previsão </w:t>
      </w:r>
      <w:r w:rsidR="00823E0A" w:rsidRPr="0058424A">
        <w:rPr>
          <w:rFonts w:ascii="Arial" w:hAnsi="Arial" w:cs="Arial"/>
        </w:rPr>
        <w:t xml:space="preserve">de um passo a frente </w:t>
      </w:r>
      <w:r w:rsidR="00A314AD" w:rsidRPr="0058424A">
        <w:rPr>
          <w:rFonts w:ascii="Arial" w:hAnsi="Arial" w:cs="Arial"/>
        </w:rPr>
        <w:t xml:space="preserve">o </w:t>
      </w:r>
      <w:r w:rsidR="00823E0A" w:rsidRPr="0058424A">
        <w:rPr>
          <w:rFonts w:ascii="Arial" w:hAnsi="Arial" w:cs="Arial"/>
        </w:rPr>
        <w:t>Passeio Aleatório</w:t>
      </w:r>
      <w:r w:rsidR="00A314AD" w:rsidRPr="0058424A">
        <w:rPr>
          <w:rFonts w:ascii="Arial" w:hAnsi="Arial" w:cs="Arial"/>
        </w:rPr>
        <w:t xml:space="preserve"> teve o menor MAPE </w:t>
      </w:r>
      <w:r w:rsidR="00823E0A" w:rsidRPr="0058424A">
        <w:rPr>
          <w:rFonts w:ascii="Arial" w:hAnsi="Arial" w:cs="Arial"/>
        </w:rPr>
        <w:t>em</w:t>
      </w:r>
      <w:r w:rsidR="00A314AD" w:rsidRPr="0058424A">
        <w:rPr>
          <w:rFonts w:ascii="Arial" w:hAnsi="Arial" w:cs="Arial"/>
        </w:rPr>
        <w:t xml:space="preserve"> </w:t>
      </w:r>
      <w:r w:rsidR="00823E0A" w:rsidRPr="0058424A">
        <w:rPr>
          <w:rFonts w:ascii="Arial" w:hAnsi="Arial" w:cs="Arial"/>
        </w:rPr>
        <w:t>7,4</w:t>
      </w:r>
      <w:r w:rsidR="00A314AD" w:rsidRPr="0058424A">
        <w:rPr>
          <w:rFonts w:ascii="Arial" w:hAnsi="Arial" w:cs="Arial"/>
        </w:rPr>
        <w:t>% dos Estados.</w:t>
      </w:r>
    </w:p>
    <w:p w:rsidR="00823E0A" w:rsidRPr="0058424A" w:rsidRDefault="00A314AD" w:rsidP="00E42C2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>Alguns fatos interessantes podem ser observados nessa análise.</w:t>
      </w:r>
      <w:r w:rsidR="00823E0A" w:rsidRPr="0058424A">
        <w:rPr>
          <w:rFonts w:ascii="Arial" w:hAnsi="Arial" w:cs="Arial"/>
        </w:rPr>
        <w:t xml:space="preserve"> Em primeiro lugar, o Ingênuo, que obteve o maior MAPE na média para os Estados, foi um dos que mais vezes </w:t>
      </w:r>
      <w:proofErr w:type="gramStart"/>
      <w:r w:rsidR="00823E0A" w:rsidRPr="0058424A">
        <w:rPr>
          <w:rFonts w:ascii="Arial" w:hAnsi="Arial" w:cs="Arial"/>
        </w:rPr>
        <w:t>obteve</w:t>
      </w:r>
      <w:proofErr w:type="gramEnd"/>
      <w:r w:rsidR="00823E0A" w:rsidRPr="0058424A">
        <w:rPr>
          <w:rFonts w:ascii="Arial" w:hAnsi="Arial" w:cs="Arial"/>
        </w:rPr>
        <w:t xml:space="preserve"> o menor MAPE na análise de cada Estado. Ele e o ARIMA foram </w:t>
      </w:r>
      <w:proofErr w:type="gramStart"/>
      <w:r w:rsidR="00823E0A" w:rsidRPr="0058424A">
        <w:rPr>
          <w:rFonts w:ascii="Arial" w:hAnsi="Arial" w:cs="Arial"/>
        </w:rPr>
        <w:t>cada um três vezes melhores</w:t>
      </w:r>
      <w:proofErr w:type="gramEnd"/>
      <w:r w:rsidR="00823E0A" w:rsidRPr="0058424A">
        <w:rPr>
          <w:rFonts w:ascii="Arial" w:hAnsi="Arial" w:cs="Arial"/>
        </w:rPr>
        <w:t xml:space="preserve">, enquanto a Combinação pela Média foi uma vez melhor. No caso do Ingênuo isso implica que sua </w:t>
      </w:r>
      <w:proofErr w:type="gramStart"/>
      <w:r w:rsidR="00823E0A" w:rsidRPr="0058424A">
        <w:rPr>
          <w:rFonts w:ascii="Arial" w:hAnsi="Arial" w:cs="Arial"/>
        </w:rPr>
        <w:t>performance</w:t>
      </w:r>
      <w:proofErr w:type="gramEnd"/>
      <w:r w:rsidR="00823E0A" w:rsidRPr="0058424A">
        <w:rPr>
          <w:rFonts w:ascii="Arial" w:hAnsi="Arial" w:cs="Arial"/>
        </w:rPr>
        <w:t xml:space="preserve"> possui uma grande variabilidade.</w:t>
      </w:r>
    </w:p>
    <w:p w:rsidR="00E42C25" w:rsidRPr="00823E0A" w:rsidRDefault="00E42C25" w:rsidP="00E42C2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74151" w:rsidRPr="00A314AD" w:rsidRDefault="00A314AD" w:rsidP="0007415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>2</w:t>
      </w:r>
      <w:r w:rsidR="00E42C25">
        <w:rPr>
          <w:rFonts w:ascii="Arial" w:hAnsi="Arial" w:cs="Arial"/>
          <w:sz w:val="20"/>
          <w:szCs w:val="20"/>
        </w:rPr>
        <w:t xml:space="preserve"> - </w:t>
      </w:r>
      <w:r w:rsidR="00E42C25" w:rsidRPr="00E42C25">
        <w:rPr>
          <w:rFonts w:ascii="Arial" w:hAnsi="Arial" w:cs="Arial"/>
          <w:sz w:val="20"/>
          <w:szCs w:val="20"/>
        </w:rPr>
        <w:t xml:space="preserve">% de vezes que modelo obteve menor MAPE em algum Estado - Fora da Amostra </w:t>
      </w:r>
      <w:proofErr w:type="gramStart"/>
      <w:r w:rsidR="00E42C25"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="00E42C25"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900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767"/>
        <w:gridCol w:w="999"/>
        <w:gridCol w:w="999"/>
        <w:gridCol w:w="999"/>
        <w:gridCol w:w="999"/>
        <w:gridCol w:w="999"/>
      </w:tblGrid>
      <w:tr w:rsidR="00634818" w:rsidRPr="00634818" w:rsidTr="00634818">
        <w:trPr>
          <w:trHeight w:val="300"/>
        </w:trPr>
        <w:tc>
          <w:tcPr>
            <w:tcW w:w="324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Método</w:t>
            </w:r>
          </w:p>
        </w:tc>
        <w:tc>
          <w:tcPr>
            <w:tcW w:w="57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634818" w:rsidRPr="00634818" w:rsidTr="00634818">
        <w:trPr>
          <w:trHeight w:val="480"/>
        </w:trPr>
        <w:tc>
          <w:tcPr>
            <w:tcW w:w="324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63481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Ingênuo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ARIMA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LSTVAR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Média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Passeio Aleatório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Suavização Exponencial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14,8%</w:t>
            </w:r>
          </w:p>
        </w:tc>
      </w:tr>
      <w:tr w:rsidR="00634818" w:rsidRPr="00634818" w:rsidTr="00634818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 - Mediana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7,4%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4818" w:rsidRPr="00634818" w:rsidRDefault="00634818" w:rsidP="0063481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3481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</w:tr>
    </w:tbl>
    <w:p w:rsidR="00A314AD" w:rsidRPr="00A314AD" w:rsidRDefault="00A314AD" w:rsidP="00A314AD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>Fonte:</w:t>
      </w:r>
      <w:r>
        <w:rPr>
          <w:rFonts w:ascii="Arial" w:hAnsi="Arial" w:cs="Arial"/>
          <w:sz w:val="20"/>
          <w:szCs w:val="20"/>
        </w:rPr>
        <w:t xml:space="preserve"> Elaboração dos Autores</w:t>
      </w: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42C25" w:rsidRDefault="00E42C25" w:rsidP="00E42C25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4.2. Acurácia dos Métodos e Modelos – Análise nos Estados</w:t>
      </w: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C5571" w:rsidRDefault="00A511A0" w:rsidP="00A511A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A figura </w:t>
      </w:r>
      <w:r>
        <w:rPr>
          <w:rFonts w:ascii="Arial" w:hAnsi="Arial" w:cs="Arial"/>
        </w:rPr>
        <w:t>2</w:t>
      </w:r>
      <w:r w:rsidRPr="0058424A">
        <w:rPr>
          <w:rFonts w:ascii="Arial" w:hAnsi="Arial" w:cs="Arial"/>
        </w:rPr>
        <w:t xml:space="preserve"> apresenta </w:t>
      </w:r>
      <w:r w:rsidR="002C5571">
        <w:rPr>
          <w:rFonts w:ascii="Arial" w:hAnsi="Arial" w:cs="Arial"/>
        </w:rPr>
        <w:t xml:space="preserve">o MAPE para o horizonte 1-20 para cada Estado. O Estado do Rio Grande do Sul (RS) teve o menor MAPE (5,0%), seguido de perto de Santa Catarina (5,2%). No outro extremo, Amapá apresentou um MAPE de 21,5%. A média do MAPE para todos os Estados foi de 10,8%. </w:t>
      </w:r>
    </w:p>
    <w:p w:rsidR="00A511A0" w:rsidRDefault="002C5571" w:rsidP="00A511A0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sua vez a tabela 3 apresenta o erro acumulado por estado para o método ou modelo que apresentou o menor MAPE para todo o horizonte de previsão (1-20). Apesar </w:t>
      </w:r>
      <w:proofErr w:type="gramStart"/>
      <w:r>
        <w:rPr>
          <w:rFonts w:ascii="Arial" w:hAnsi="Arial" w:cs="Arial"/>
        </w:rPr>
        <w:t>do erro acumulado permitir</w:t>
      </w:r>
      <w:proofErr w:type="gramEnd"/>
      <w:r>
        <w:rPr>
          <w:rFonts w:ascii="Arial" w:hAnsi="Arial" w:cs="Arial"/>
        </w:rPr>
        <w:t xml:space="preserve"> o cancelamento de erros em direções opostas, ele é extremamente importante para fins de utilização das previsões da RCL para fins de cumprimento de limites legais, como por exemplo a participação da despesa total com pessoal na RCL.</w:t>
      </w:r>
    </w:p>
    <w:p w:rsidR="00E42C25" w:rsidRPr="00FC6418" w:rsidRDefault="0057606B" w:rsidP="00FC6418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Merece especial destaque os resultados dos Estados do Mato Grosso (MT) e Pernambuco (PE). Ambos estados tiveram como melhor método o Ingênuo e foram os únicos a obterem um erro percentual acumulado menor do que 1% em módulo para todos os períodos analisados.</w:t>
      </w:r>
    </w:p>
    <w:p w:rsidR="00E42C25" w:rsidRDefault="00E42C25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9710A65" wp14:editId="3B469FD6">
            <wp:extent cx="5612130" cy="335661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25" w:rsidRPr="004168DF" w:rsidRDefault="00E42C25" w:rsidP="00E42C2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168D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</w:t>
      </w:r>
      <w:r w:rsidRPr="004168DF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Erro Absoluto Percentual Médio (MAPE) para o horizonte 1-20</w:t>
      </w:r>
      <w:r w:rsidRPr="004168DF">
        <w:rPr>
          <w:rFonts w:ascii="Arial" w:hAnsi="Arial" w:cs="Arial"/>
          <w:sz w:val="20"/>
          <w:szCs w:val="20"/>
        </w:rPr>
        <w:t>. Fonte: Elaboração do Autor.</w:t>
      </w: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451A" w:rsidRDefault="003D451A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74151" w:rsidRDefault="00074151" w:rsidP="0007415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F051C" w:rsidRDefault="009F051C" w:rsidP="00E42C2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5E7A" w:rsidRDefault="00FB5E7A" w:rsidP="00487785">
      <w:pPr>
        <w:spacing w:after="0" w:line="480" w:lineRule="auto"/>
        <w:rPr>
          <w:rFonts w:ascii="Arial" w:hAnsi="Arial" w:cs="Arial"/>
          <w:b/>
          <w:sz w:val="24"/>
          <w:szCs w:val="24"/>
        </w:rPr>
        <w:sectPr w:rsidR="00FB5E7A" w:rsidSect="00634818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B857CE" w:rsidRDefault="0090526C" w:rsidP="00487785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A314AD">
        <w:rPr>
          <w:rFonts w:ascii="Arial" w:hAnsi="Arial" w:cs="Arial"/>
          <w:sz w:val="20"/>
          <w:szCs w:val="20"/>
        </w:rPr>
        <w:lastRenderedPageBreak/>
        <w:t xml:space="preserve">TABELA </w:t>
      </w:r>
      <w:r w:rsidRPr="0090526C">
        <w:rPr>
          <w:rFonts w:ascii="Arial" w:hAnsi="Arial" w:cs="Arial"/>
          <w:sz w:val="20"/>
          <w:szCs w:val="20"/>
        </w:rPr>
        <w:t xml:space="preserve">3 – Erro Acumulado do Método com Menor MAPE (média 1-20) por Estado - Fora da Amostra </w:t>
      </w:r>
      <w:proofErr w:type="gramStart"/>
      <w:r w:rsidRPr="0090526C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90526C">
        <w:rPr>
          <w:rFonts w:ascii="Arial" w:hAnsi="Arial" w:cs="Arial"/>
          <w:sz w:val="20"/>
          <w:szCs w:val="20"/>
        </w:rPr>
        <w:t>maio/2013 – dez/2014, n=20 ) - Em Milhões</w:t>
      </w:r>
    </w:p>
    <w:tbl>
      <w:tblPr>
        <w:tblW w:w="14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968"/>
        <w:gridCol w:w="967"/>
        <w:gridCol w:w="1105"/>
        <w:gridCol w:w="631"/>
        <w:gridCol w:w="185"/>
        <w:gridCol w:w="967"/>
        <w:gridCol w:w="967"/>
        <w:gridCol w:w="1105"/>
        <w:gridCol w:w="631"/>
        <w:gridCol w:w="185"/>
        <w:gridCol w:w="967"/>
        <w:gridCol w:w="967"/>
        <w:gridCol w:w="1105"/>
        <w:gridCol w:w="584"/>
      </w:tblGrid>
      <w:tr w:rsidR="0090526C" w:rsidRPr="0090526C" w:rsidTr="0090526C">
        <w:trPr>
          <w:trHeight w:val="225"/>
        </w:trPr>
        <w:tc>
          <w:tcPr>
            <w:tcW w:w="37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2853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Estado - Melhor M</w:t>
            </w:r>
            <w:r w:rsidR="002853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étodo</w:t>
            </w:r>
          </w:p>
        </w:tc>
        <w:tc>
          <w:tcPr>
            <w:tcW w:w="11160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Horizonte de Previsão</w:t>
            </w:r>
          </w:p>
        </w:tc>
      </w:tr>
      <w:tr w:rsidR="0090526C" w:rsidRPr="0090526C" w:rsidTr="0090526C">
        <w:trPr>
          <w:trHeight w:val="225"/>
        </w:trPr>
        <w:tc>
          <w:tcPr>
            <w:tcW w:w="37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71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1-12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670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5-16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62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9-20</w:t>
            </w:r>
          </w:p>
        </w:tc>
      </w:tr>
      <w:tr w:rsidR="0090526C" w:rsidRPr="0090526C" w:rsidTr="0090526C">
        <w:trPr>
          <w:trHeight w:val="225"/>
        </w:trPr>
        <w:tc>
          <w:tcPr>
            <w:tcW w:w="37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Realiz.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Prev.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Erro Acum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Realiz.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Prev.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Erro Acum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Realiz.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Prev.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Erro Acum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0526C" w:rsidRPr="0090526C" w:rsidRDefault="0090526C" w:rsidP="009052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Acre (AC)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3.987,8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3.759,7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228,1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4.231,3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3.910,4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320,9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4.267,2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4.073,0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194,3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4,6%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Alagoas (AL)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5.703,6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5.453,6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250,0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5.808,7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5.537,8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270,9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5.969,7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5.622,0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347,7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Amazonas (AM) - 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11.078,2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10.203,9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874,2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11.129,1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10.641,8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487,3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11.040,0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11.124,5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-84,5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Amapá (AP) - STAR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3.667,7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3.245,7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421,9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3.974,3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3.419,0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555,3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4.020,1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3.627,2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392,9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Bahia (BA) - 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24.353,1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23.190,9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1.162,2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25.909,7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24.033,8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1.875,8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25.870,5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25.009,7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860,8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3,3%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Ceará (CE)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13.783,0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13.376,9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406,1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14.150,1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13.943,7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206,4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14.418,5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14.392,1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26,4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Distrito Federal (DF)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16.324,9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16.179,7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145,2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16.802,8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16.781,9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17.504,3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17.322,3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182,0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1,0%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Espírito Santo (ES)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11.113,6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11.068,2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11.545,5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11.171,1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374,4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11.798,3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11.274,1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524,2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Goiás (GO)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15.694,1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15.120,3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573,8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16.248,0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15.755,3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492,7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16.656,5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16.427,8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228,6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Maranhão (MA)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9.515,6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9.338,5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177,1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9.964,5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9.666,0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298,5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10.147,5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10.181,3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-33,8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-0,3%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Minas </w:t>
            </w:r>
            <w:proofErr w:type="gramStart"/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Gerais (MG) - Ingênuo</w:t>
            </w:r>
            <w:proofErr w:type="gram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44.817,1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45.598,6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-781,5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46.167,2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46.924,1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-756,9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47.644,2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48.249,6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-605,4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-1,3%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Mato Grosso do Sul (MS)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7.458,2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7.514,6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-56,4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7.672,8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7.753,0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-80,2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8.095,6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8.059,5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36,1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Mato Grosso (MT)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10.348,3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10.302,3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10.615,1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10.645,6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-30,5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10.927,7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10.989,0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-61,3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-0,6%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proofErr w:type="gramStart"/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Pará (PA) - Combinação - Média</w:t>
            </w:r>
            <w:proofErr w:type="gram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13.909,8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13.894,5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15,3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14.666,6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14.398,5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268,1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15.092,5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15.056,8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35,7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Paraíba (PB)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7.321,0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6.962,9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358,2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7.429,4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7.159,6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269,9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7.399,8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7.411,7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-11,9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Pernambuco (PE)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17.621,0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17.472,9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148,1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0,8%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18.035,6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17.937,4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98,2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18.475,0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18.401,9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Piauí (PI)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5.988,2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5.525,3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462,9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6.103,6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5.738,8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364,8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6,0%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6.201,5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5.992,6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208,9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Paraná (PR) - Combinação - Mediana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26.425,2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25.331,7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1.093,5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26.970,7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26.260,1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710,6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28.336,7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27.263,5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1.073,2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3,8%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Rio de Janeiro (RJ)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47.388,3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44.994,8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2.393,6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5,1%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47.896,3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45.837,2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2.059,1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46.045,5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46.692,5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-646,9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-1,4%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Rio Grande do Norte (RN) - Ingênuo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7.390,9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7.532,7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-141,8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7.384,5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7.750,0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-365,5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-4,9%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7.386,1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7.967,3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-581,2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-7,9%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Rondônia (RO) - Combinação - Média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5.120,7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4.939,9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180,8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5.340,3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5.047,3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293,0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5.489,3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5.161,1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328,1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6,0%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Roraima (RR)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2.534,5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2.467,8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66,6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2,6%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2.725,8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2.528,1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197,7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2.785,3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2.593,9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191,4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6,9%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Rio Grande do Sul (RS) - Suavização Exponencial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27.348,1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27.283,9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64,2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27.691,6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28.071,7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-380,1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-1,4%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28.633,5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28.931,0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-297,5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-1,0%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Santa Catarina (SC) - ARIMA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16.725,9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16.513,4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212,4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1,3%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17.351,3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17.139,7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211,7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1,2%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17.835,5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17.825,5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10,0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0,1%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Sergipe (SE)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5.721,7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5.522,5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199,1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5.839,9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5.682,0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157,9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2,7%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5.982,5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5.866,0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116,5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1,9%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São Paulo (SP) - LSTVAR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133.955,7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128.714,7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5.241,0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3,9%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134.129,2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132.054,2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2.075,1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1,5%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135.630,2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135.299,9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330,3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0,2%</w:t>
            </w:r>
          </w:p>
        </w:tc>
      </w:tr>
      <w:tr w:rsidR="0090526C" w:rsidRPr="0090526C" w:rsidTr="0090526C">
        <w:trPr>
          <w:trHeight w:val="282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Tocantins (TO) - STAR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5.636,1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5.220,0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416,1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7,4%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5.915,1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5.496,9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418,2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7,1%</w:t>
            </w:r>
          </w:p>
        </w:tc>
        <w:tc>
          <w:tcPr>
            <w:tcW w:w="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6.071,5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5.834,7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236,7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26C" w:rsidRPr="0090526C" w:rsidRDefault="0090526C" w:rsidP="009052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</w:pPr>
            <w:r w:rsidRPr="0090526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3,9%</w:t>
            </w:r>
          </w:p>
        </w:tc>
      </w:tr>
    </w:tbl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  <w:sectPr w:rsidR="00FB5E7A" w:rsidSect="00FB5E7A">
          <w:pgSz w:w="16838" w:h="11906" w:orient="landscape"/>
          <w:pgMar w:top="1701" w:right="1701" w:bottom="1134" w:left="1134" w:header="709" w:footer="709" w:gutter="0"/>
          <w:cols w:space="708"/>
          <w:docGrid w:linePitch="360"/>
        </w:sectPr>
      </w:pPr>
    </w:p>
    <w:p w:rsidR="00DE2973" w:rsidRDefault="00DE2973" w:rsidP="00DE2973">
      <w:pPr>
        <w:spacing w:after="0" w:line="360" w:lineRule="auto"/>
        <w:jc w:val="both"/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4.3. Acurácia dos Métodos e Modelos – Caracterização dos Resultados</w:t>
      </w: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A511A0" w:rsidRPr="0058424A" w:rsidRDefault="00A511A0" w:rsidP="00A511A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8424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tabela</w:t>
      </w:r>
      <w:r w:rsidRPr="00584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612803">
        <w:rPr>
          <w:rFonts w:ascii="Arial" w:hAnsi="Arial" w:cs="Arial"/>
        </w:rPr>
        <w:t xml:space="preserve"> apresenta o MAPE para as diferentes regiões. É possível notar que a Região Sul possui o menor MAPE para todos os horizontes considerados. Já a região Norte possui o maior MAPE para todos os horizontes. O MAPE da região Norte chega a ser quase três vezes maior do que o da região Sul em todos os períodos. A região Sudeste teve o segundo menor MAPE na previsão um passo a frente sendo que </w:t>
      </w:r>
      <w:proofErr w:type="gramStart"/>
      <w:r w:rsidR="00612803">
        <w:rPr>
          <w:rFonts w:ascii="Arial" w:hAnsi="Arial" w:cs="Arial"/>
        </w:rPr>
        <w:t>a Centro-Oeste</w:t>
      </w:r>
      <w:proofErr w:type="gramEnd"/>
      <w:r w:rsidR="00612803">
        <w:rPr>
          <w:rFonts w:ascii="Arial" w:hAnsi="Arial" w:cs="Arial"/>
        </w:rPr>
        <w:t xml:space="preserve"> ficou com a segunda posição em todos os demais períodos. </w:t>
      </w: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Pr="00F86EC8" w:rsidRDefault="00F86EC8" w:rsidP="00F86E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 xml:space="preserve">4 - </w:t>
      </w:r>
      <w:r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7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40"/>
        <w:gridCol w:w="1024"/>
        <w:gridCol w:w="1024"/>
        <w:gridCol w:w="1024"/>
        <w:gridCol w:w="1024"/>
        <w:gridCol w:w="1024"/>
      </w:tblGrid>
      <w:tr w:rsidR="00F86EC8" w:rsidRPr="00F86EC8" w:rsidTr="00F86EC8">
        <w:trPr>
          <w:trHeight w:val="300"/>
        </w:trPr>
        <w:tc>
          <w:tcPr>
            <w:tcW w:w="16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Região</w:t>
            </w:r>
          </w:p>
        </w:tc>
        <w:tc>
          <w:tcPr>
            <w:tcW w:w="57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F86EC8" w:rsidRPr="00F86EC8" w:rsidTr="00F86EC8">
        <w:trPr>
          <w:trHeight w:val="480"/>
        </w:trPr>
        <w:tc>
          <w:tcPr>
            <w:tcW w:w="160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3,3%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5,3%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5,4%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8,4%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8,4%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7,9%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8,3%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11,8%</w:t>
            </w:r>
          </w:p>
        </w:tc>
      </w:tr>
      <w:tr w:rsidR="00F86EC8" w:rsidRPr="00F86EC8" w:rsidTr="00F86EC8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9,3%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12,0%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12,7%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13,9%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14,3%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14,5%</w:t>
            </w:r>
          </w:p>
        </w:tc>
      </w:tr>
    </w:tbl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86EC8" w:rsidRDefault="00612803" w:rsidP="0061280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ahoma" w:hAnsi="Arial" w:cs="Arial"/>
          <w:b/>
          <w:iCs/>
          <w:sz w:val="24"/>
          <w:szCs w:val="24"/>
        </w:rPr>
      </w:pPr>
      <w:r w:rsidRPr="0058424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tabela</w:t>
      </w:r>
      <w:r w:rsidRPr="00584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apre</w:t>
      </w:r>
      <w:r>
        <w:rPr>
          <w:rFonts w:ascii="Arial" w:hAnsi="Arial" w:cs="Arial"/>
        </w:rPr>
        <w:t xml:space="preserve">senta o MAPE para diferentes categorias dos métodos e modelos utilizados. As combinações apresentaram o menor MAPE para todos os horizontes, seguidos dos modelos </w:t>
      </w:r>
      <w:proofErr w:type="spellStart"/>
      <w:r>
        <w:rPr>
          <w:rFonts w:ascii="Arial" w:hAnsi="Arial" w:cs="Arial"/>
        </w:rPr>
        <w:t>univariados</w:t>
      </w:r>
      <w:proofErr w:type="spellEnd"/>
      <w:r>
        <w:rPr>
          <w:rFonts w:ascii="Arial" w:hAnsi="Arial" w:cs="Arial"/>
        </w:rPr>
        <w:t xml:space="preserve">. Interessante notar o fato de que os modelos multivariados, apesar de possuírem maior complexidade associada, não foram capazes de obter uma acurácia superior aos métodos </w:t>
      </w:r>
      <w:proofErr w:type="spellStart"/>
      <w:r>
        <w:rPr>
          <w:rFonts w:ascii="Arial" w:hAnsi="Arial" w:cs="Arial"/>
        </w:rPr>
        <w:t>univariados</w:t>
      </w:r>
      <w:proofErr w:type="spellEnd"/>
      <w:r>
        <w:rPr>
          <w:rFonts w:ascii="Arial" w:hAnsi="Arial" w:cs="Arial"/>
        </w:rPr>
        <w:t>.</w:t>
      </w:r>
    </w:p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86EC8" w:rsidRPr="00F86EC8" w:rsidRDefault="00F86EC8" w:rsidP="00F86E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t xml:space="preserve">TABELA </w:t>
      </w:r>
      <w:r>
        <w:rPr>
          <w:rFonts w:ascii="Arial" w:hAnsi="Arial" w:cs="Arial"/>
          <w:sz w:val="20"/>
          <w:szCs w:val="20"/>
        </w:rPr>
        <w:t xml:space="preserve">5 - </w:t>
      </w:r>
      <w:r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7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640"/>
        <w:gridCol w:w="1024"/>
        <w:gridCol w:w="1024"/>
        <w:gridCol w:w="1024"/>
        <w:gridCol w:w="1024"/>
        <w:gridCol w:w="1024"/>
      </w:tblGrid>
      <w:tr w:rsidR="00F86EC8" w:rsidRPr="00F86EC8" w:rsidTr="00F86EC8">
        <w:trPr>
          <w:trHeight w:val="300"/>
        </w:trPr>
        <w:tc>
          <w:tcPr>
            <w:tcW w:w="16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Categoria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  <w:t>Método</w:t>
            </w:r>
          </w:p>
        </w:tc>
        <w:tc>
          <w:tcPr>
            <w:tcW w:w="576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F86EC8" w:rsidRPr="00F86EC8" w:rsidTr="00F86EC8">
        <w:trPr>
          <w:trHeight w:val="480"/>
        </w:trPr>
        <w:tc>
          <w:tcPr>
            <w:tcW w:w="16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Combinação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8,6%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9,1%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Univariado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7,1%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9,5%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9,7%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10,3%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Multivariado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8,2%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10,8%</w:t>
            </w:r>
          </w:p>
        </w:tc>
      </w:tr>
      <w:tr w:rsidR="00F86EC8" w:rsidRPr="00F86EC8" w:rsidTr="00F86EC8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Benchmarking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10,1%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12,1%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12,6%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13,1%</w:t>
            </w:r>
          </w:p>
        </w:tc>
      </w:tr>
    </w:tbl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612803" w:rsidRDefault="00612803" w:rsidP="005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="Tahoma" w:hAnsi="Arial" w:cs="Arial"/>
          <w:b/>
          <w:iCs/>
          <w:sz w:val="24"/>
          <w:szCs w:val="24"/>
        </w:rPr>
      </w:pPr>
      <w:r w:rsidRPr="0058424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tabela</w:t>
      </w:r>
      <w:r w:rsidRPr="00584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apresenta o MAPE para </w:t>
      </w:r>
      <w:r>
        <w:rPr>
          <w:rFonts w:ascii="Arial" w:hAnsi="Arial" w:cs="Arial"/>
        </w:rPr>
        <w:t>diferentes níveis de</w:t>
      </w:r>
      <w:r w:rsidR="00547D24">
        <w:rPr>
          <w:rFonts w:ascii="Arial" w:hAnsi="Arial" w:cs="Arial"/>
        </w:rPr>
        <w:t xml:space="preserve"> participação do ICMS na RCL. Os Estados que possuem uma participação do ICMS na RCL maior do que 74,6% tiveram o menor MAPE em todo o período considerado.</w:t>
      </w:r>
    </w:p>
    <w:p w:rsidR="00F86EC8" w:rsidRPr="00F86EC8" w:rsidRDefault="00F86EC8" w:rsidP="00F86EC8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314AD">
        <w:rPr>
          <w:rFonts w:ascii="Arial" w:hAnsi="Arial" w:cs="Arial"/>
          <w:sz w:val="20"/>
          <w:szCs w:val="20"/>
        </w:rPr>
        <w:lastRenderedPageBreak/>
        <w:t>T</w:t>
      </w:r>
      <w:bookmarkStart w:id="0" w:name="_GoBack"/>
      <w:bookmarkEnd w:id="0"/>
      <w:r w:rsidRPr="00A314AD">
        <w:rPr>
          <w:rFonts w:ascii="Arial" w:hAnsi="Arial" w:cs="Arial"/>
          <w:sz w:val="20"/>
          <w:szCs w:val="20"/>
        </w:rPr>
        <w:t xml:space="preserve">ABELA </w:t>
      </w:r>
      <w:r w:rsidR="0061280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- </w:t>
      </w:r>
      <w:r w:rsidRPr="00E42C25">
        <w:rPr>
          <w:rFonts w:ascii="Arial" w:hAnsi="Arial" w:cs="Arial"/>
          <w:sz w:val="20"/>
          <w:szCs w:val="20"/>
        </w:rPr>
        <w:t xml:space="preserve">Erro Absoluto Percentual Médio (MAPE) - Fora da Amostra </w:t>
      </w:r>
      <w:proofErr w:type="gramStart"/>
      <w:r w:rsidRPr="00E42C25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E42C25">
        <w:rPr>
          <w:rFonts w:ascii="Arial" w:hAnsi="Arial" w:cs="Arial"/>
          <w:sz w:val="20"/>
          <w:szCs w:val="20"/>
        </w:rPr>
        <w:t>maio/2013 – dez/2014, n=20 )</w:t>
      </w:r>
    </w:p>
    <w:tbl>
      <w:tblPr>
        <w:tblW w:w="90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20"/>
        <w:gridCol w:w="767"/>
        <w:gridCol w:w="999"/>
        <w:gridCol w:w="999"/>
        <w:gridCol w:w="999"/>
        <w:gridCol w:w="999"/>
        <w:gridCol w:w="999"/>
      </w:tblGrid>
      <w:tr w:rsidR="00F86EC8" w:rsidRPr="00F86EC8" w:rsidTr="00F86EC8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Part (%) ICMS na RCL</w:t>
            </w:r>
          </w:p>
        </w:tc>
        <w:tc>
          <w:tcPr>
            <w:tcW w:w="122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% Estados</w:t>
            </w:r>
          </w:p>
        </w:tc>
        <w:tc>
          <w:tcPr>
            <w:tcW w:w="57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Horizonte de Previsão</w:t>
            </w:r>
          </w:p>
        </w:tc>
      </w:tr>
      <w:tr w:rsidR="00F86EC8" w:rsidRPr="00F86EC8" w:rsidTr="00F86EC8">
        <w:trPr>
          <w:trHeight w:val="480"/>
        </w:trPr>
        <w:tc>
          <w:tcPr>
            <w:tcW w:w="208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2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  <w:r w:rsidRPr="00F86EC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1-20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0.207,0.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342]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15,4%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0.342,0.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477]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11,1%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7,2%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7,7%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9,8%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0.477,0.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612]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18,5%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7,3%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8,8%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9,4%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11,3%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0.612,0.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746]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25,9%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8,5%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10,6%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11,0%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11,7%</w:t>
            </w:r>
          </w:p>
        </w:tc>
      </w:tr>
      <w:tr w:rsidR="00F86EC8" w:rsidRPr="00F86EC8" w:rsidTr="00F86EC8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Start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0.746,0.</w:t>
            </w:r>
            <w:proofErr w:type="gramEnd"/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882]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25,9%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3,7%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5,0%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6,0%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6,3%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6EC8" w:rsidRPr="00F86EC8" w:rsidRDefault="00F86EC8" w:rsidP="00F86E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86E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6,6%</w:t>
            </w:r>
          </w:p>
        </w:tc>
      </w:tr>
    </w:tbl>
    <w:p w:rsidR="00F86EC8" w:rsidRDefault="00F86EC8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p w:rsidR="00FB5E7A" w:rsidRPr="007718E0" w:rsidRDefault="00FB5E7A" w:rsidP="00634818">
      <w:pPr>
        <w:autoSpaceDE w:val="0"/>
        <w:autoSpaceDN w:val="0"/>
        <w:adjustRightInd w:val="0"/>
        <w:spacing w:after="0" w:line="360" w:lineRule="auto"/>
        <w:rPr>
          <w:rFonts w:ascii="Arial" w:eastAsia="Tahoma" w:hAnsi="Arial" w:cs="Arial"/>
          <w:b/>
          <w:iCs/>
          <w:sz w:val="24"/>
          <w:szCs w:val="24"/>
        </w:rPr>
      </w:pPr>
    </w:p>
    <w:sectPr w:rsidR="00FB5E7A" w:rsidRPr="007718E0" w:rsidSect="00FB5E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40C" w:rsidRDefault="0059540C" w:rsidP="00C5609E">
      <w:pPr>
        <w:spacing w:after="0" w:line="240" w:lineRule="auto"/>
      </w:pPr>
      <w:r>
        <w:separator/>
      </w:r>
    </w:p>
  </w:endnote>
  <w:endnote w:type="continuationSeparator" w:id="0">
    <w:p w:rsidR="0059540C" w:rsidRDefault="0059540C" w:rsidP="00C5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40C" w:rsidRDefault="0059540C" w:rsidP="00C5609E">
      <w:pPr>
        <w:spacing w:after="0" w:line="240" w:lineRule="auto"/>
      </w:pPr>
      <w:r>
        <w:separator/>
      </w:r>
    </w:p>
  </w:footnote>
  <w:footnote w:type="continuationSeparator" w:id="0">
    <w:p w:rsidR="0059540C" w:rsidRDefault="0059540C" w:rsidP="00C56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A98"/>
    <w:multiLevelType w:val="hybridMultilevel"/>
    <w:tmpl w:val="30AECF7C"/>
    <w:lvl w:ilvl="0" w:tplc="5488587C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CD8"/>
    <w:rsid w:val="00006117"/>
    <w:rsid w:val="00013212"/>
    <w:rsid w:val="000230B8"/>
    <w:rsid w:val="00040BEC"/>
    <w:rsid w:val="00043629"/>
    <w:rsid w:val="0005679B"/>
    <w:rsid w:val="000711A1"/>
    <w:rsid w:val="00074151"/>
    <w:rsid w:val="0008455B"/>
    <w:rsid w:val="000903F8"/>
    <w:rsid w:val="0009360D"/>
    <w:rsid w:val="000A1A11"/>
    <w:rsid w:val="000A5F4B"/>
    <w:rsid w:val="000C25CE"/>
    <w:rsid w:val="000D2397"/>
    <w:rsid w:val="000D6FAD"/>
    <w:rsid w:val="000E3922"/>
    <w:rsid w:val="000F3434"/>
    <w:rsid w:val="001026B8"/>
    <w:rsid w:val="00112500"/>
    <w:rsid w:val="00114BAB"/>
    <w:rsid w:val="00125593"/>
    <w:rsid w:val="0013317C"/>
    <w:rsid w:val="00147166"/>
    <w:rsid w:val="001607BD"/>
    <w:rsid w:val="00161779"/>
    <w:rsid w:val="001676ED"/>
    <w:rsid w:val="001749CD"/>
    <w:rsid w:val="00176AE7"/>
    <w:rsid w:val="00177487"/>
    <w:rsid w:val="00190D01"/>
    <w:rsid w:val="00193CAA"/>
    <w:rsid w:val="001970C8"/>
    <w:rsid w:val="001A4A85"/>
    <w:rsid w:val="00207BAF"/>
    <w:rsid w:val="00232B5B"/>
    <w:rsid w:val="002451FD"/>
    <w:rsid w:val="00245396"/>
    <w:rsid w:val="00253D2A"/>
    <w:rsid w:val="00276126"/>
    <w:rsid w:val="0027782D"/>
    <w:rsid w:val="002853D1"/>
    <w:rsid w:val="00293CD8"/>
    <w:rsid w:val="002A432E"/>
    <w:rsid w:val="002A5CA0"/>
    <w:rsid w:val="002C5571"/>
    <w:rsid w:val="002D0E04"/>
    <w:rsid w:val="002D4867"/>
    <w:rsid w:val="002E0542"/>
    <w:rsid w:val="002E0547"/>
    <w:rsid w:val="00305E1D"/>
    <w:rsid w:val="00321275"/>
    <w:rsid w:val="00321627"/>
    <w:rsid w:val="00323DE1"/>
    <w:rsid w:val="00324D4E"/>
    <w:rsid w:val="00331D7E"/>
    <w:rsid w:val="00336185"/>
    <w:rsid w:val="00350336"/>
    <w:rsid w:val="00351F30"/>
    <w:rsid w:val="00356C51"/>
    <w:rsid w:val="003715D9"/>
    <w:rsid w:val="00395D17"/>
    <w:rsid w:val="0039611A"/>
    <w:rsid w:val="00397391"/>
    <w:rsid w:val="003A5AA2"/>
    <w:rsid w:val="003A703A"/>
    <w:rsid w:val="003B1F3F"/>
    <w:rsid w:val="003C0C81"/>
    <w:rsid w:val="003C21F3"/>
    <w:rsid w:val="003C533B"/>
    <w:rsid w:val="003D451A"/>
    <w:rsid w:val="003F6A9B"/>
    <w:rsid w:val="00402ED8"/>
    <w:rsid w:val="004039B8"/>
    <w:rsid w:val="00412439"/>
    <w:rsid w:val="004149F3"/>
    <w:rsid w:val="004168DF"/>
    <w:rsid w:val="004231F2"/>
    <w:rsid w:val="004321C9"/>
    <w:rsid w:val="00443CB8"/>
    <w:rsid w:val="00445269"/>
    <w:rsid w:val="00455307"/>
    <w:rsid w:val="00467165"/>
    <w:rsid w:val="00473B3B"/>
    <w:rsid w:val="004810B7"/>
    <w:rsid w:val="00487785"/>
    <w:rsid w:val="00491573"/>
    <w:rsid w:val="004928C8"/>
    <w:rsid w:val="004A3084"/>
    <w:rsid w:val="004A5834"/>
    <w:rsid w:val="004A6493"/>
    <w:rsid w:val="004B2BE2"/>
    <w:rsid w:val="004B4188"/>
    <w:rsid w:val="004B4719"/>
    <w:rsid w:val="004C4D7B"/>
    <w:rsid w:val="004E2CF6"/>
    <w:rsid w:val="004F4D5B"/>
    <w:rsid w:val="004F5513"/>
    <w:rsid w:val="00506825"/>
    <w:rsid w:val="00514B2A"/>
    <w:rsid w:val="0051585F"/>
    <w:rsid w:val="00524201"/>
    <w:rsid w:val="00544326"/>
    <w:rsid w:val="00547D24"/>
    <w:rsid w:val="005513D6"/>
    <w:rsid w:val="0057606B"/>
    <w:rsid w:val="00576701"/>
    <w:rsid w:val="0058424A"/>
    <w:rsid w:val="0059540C"/>
    <w:rsid w:val="005A3344"/>
    <w:rsid w:val="005B0837"/>
    <w:rsid w:val="005B1B69"/>
    <w:rsid w:val="005B3666"/>
    <w:rsid w:val="005D2DE8"/>
    <w:rsid w:val="005D3DA2"/>
    <w:rsid w:val="005E105D"/>
    <w:rsid w:val="005E1AD3"/>
    <w:rsid w:val="005F645C"/>
    <w:rsid w:val="005F678D"/>
    <w:rsid w:val="00606834"/>
    <w:rsid w:val="00607102"/>
    <w:rsid w:val="00612803"/>
    <w:rsid w:val="00617E65"/>
    <w:rsid w:val="00634818"/>
    <w:rsid w:val="00642DE7"/>
    <w:rsid w:val="00660006"/>
    <w:rsid w:val="006607FC"/>
    <w:rsid w:val="00665352"/>
    <w:rsid w:val="00665AD2"/>
    <w:rsid w:val="00683C40"/>
    <w:rsid w:val="006856A9"/>
    <w:rsid w:val="00692E81"/>
    <w:rsid w:val="00697F7F"/>
    <w:rsid w:val="006A1238"/>
    <w:rsid w:val="006A33E9"/>
    <w:rsid w:val="006A4F7F"/>
    <w:rsid w:val="006B5423"/>
    <w:rsid w:val="006C09E7"/>
    <w:rsid w:val="006C5EE4"/>
    <w:rsid w:val="006C76FD"/>
    <w:rsid w:val="006D6D06"/>
    <w:rsid w:val="007003DD"/>
    <w:rsid w:val="00705D87"/>
    <w:rsid w:val="00713504"/>
    <w:rsid w:val="00716784"/>
    <w:rsid w:val="007175F6"/>
    <w:rsid w:val="007313A6"/>
    <w:rsid w:val="00750CB9"/>
    <w:rsid w:val="00757B91"/>
    <w:rsid w:val="007718E0"/>
    <w:rsid w:val="007C00BD"/>
    <w:rsid w:val="007C1679"/>
    <w:rsid w:val="007C4563"/>
    <w:rsid w:val="007C7327"/>
    <w:rsid w:val="007D08A9"/>
    <w:rsid w:val="0080564C"/>
    <w:rsid w:val="008126B1"/>
    <w:rsid w:val="00815735"/>
    <w:rsid w:val="008168B6"/>
    <w:rsid w:val="00817620"/>
    <w:rsid w:val="00823E0A"/>
    <w:rsid w:val="00834AA5"/>
    <w:rsid w:val="0085731B"/>
    <w:rsid w:val="00864847"/>
    <w:rsid w:val="00870B32"/>
    <w:rsid w:val="008810A2"/>
    <w:rsid w:val="00884EE4"/>
    <w:rsid w:val="008911E4"/>
    <w:rsid w:val="00891CB7"/>
    <w:rsid w:val="008928D0"/>
    <w:rsid w:val="00893DAC"/>
    <w:rsid w:val="00896117"/>
    <w:rsid w:val="008B1711"/>
    <w:rsid w:val="008C223A"/>
    <w:rsid w:val="008D01CD"/>
    <w:rsid w:val="008D3CAD"/>
    <w:rsid w:val="008D58FE"/>
    <w:rsid w:val="008D77AB"/>
    <w:rsid w:val="008E582D"/>
    <w:rsid w:val="008F506A"/>
    <w:rsid w:val="00901163"/>
    <w:rsid w:val="0090526C"/>
    <w:rsid w:val="009103A1"/>
    <w:rsid w:val="00917965"/>
    <w:rsid w:val="00922E95"/>
    <w:rsid w:val="00933D1A"/>
    <w:rsid w:val="00940D38"/>
    <w:rsid w:val="00965E22"/>
    <w:rsid w:val="009738D6"/>
    <w:rsid w:val="00973E71"/>
    <w:rsid w:val="00977DAD"/>
    <w:rsid w:val="0098131A"/>
    <w:rsid w:val="009A6E8A"/>
    <w:rsid w:val="009C13BF"/>
    <w:rsid w:val="009D5587"/>
    <w:rsid w:val="009E0C42"/>
    <w:rsid w:val="009F051C"/>
    <w:rsid w:val="00A123BC"/>
    <w:rsid w:val="00A13B48"/>
    <w:rsid w:val="00A156DF"/>
    <w:rsid w:val="00A21FB7"/>
    <w:rsid w:val="00A314AD"/>
    <w:rsid w:val="00A511A0"/>
    <w:rsid w:val="00A51C6A"/>
    <w:rsid w:val="00A556FE"/>
    <w:rsid w:val="00A56265"/>
    <w:rsid w:val="00A66738"/>
    <w:rsid w:val="00A7152E"/>
    <w:rsid w:val="00A73F9B"/>
    <w:rsid w:val="00A7419E"/>
    <w:rsid w:val="00A7494A"/>
    <w:rsid w:val="00AA23CB"/>
    <w:rsid w:val="00AA4713"/>
    <w:rsid w:val="00AB1D53"/>
    <w:rsid w:val="00AC7D20"/>
    <w:rsid w:val="00AD3E08"/>
    <w:rsid w:val="00AD67CC"/>
    <w:rsid w:val="00AE26EB"/>
    <w:rsid w:val="00AF059E"/>
    <w:rsid w:val="00AF7479"/>
    <w:rsid w:val="00B016C3"/>
    <w:rsid w:val="00B037E7"/>
    <w:rsid w:val="00B048E1"/>
    <w:rsid w:val="00B06652"/>
    <w:rsid w:val="00B11278"/>
    <w:rsid w:val="00B11505"/>
    <w:rsid w:val="00B127BC"/>
    <w:rsid w:val="00B2366E"/>
    <w:rsid w:val="00B31CFC"/>
    <w:rsid w:val="00B32A82"/>
    <w:rsid w:val="00B33C3E"/>
    <w:rsid w:val="00B42EED"/>
    <w:rsid w:val="00B42F8A"/>
    <w:rsid w:val="00B46502"/>
    <w:rsid w:val="00B51D4E"/>
    <w:rsid w:val="00B52100"/>
    <w:rsid w:val="00B532FE"/>
    <w:rsid w:val="00B668C1"/>
    <w:rsid w:val="00B74966"/>
    <w:rsid w:val="00B761F3"/>
    <w:rsid w:val="00B824E3"/>
    <w:rsid w:val="00B857CE"/>
    <w:rsid w:val="00B91C43"/>
    <w:rsid w:val="00B94227"/>
    <w:rsid w:val="00BA42F0"/>
    <w:rsid w:val="00BA5860"/>
    <w:rsid w:val="00BA6230"/>
    <w:rsid w:val="00BA7696"/>
    <w:rsid w:val="00BD6E74"/>
    <w:rsid w:val="00BD70FC"/>
    <w:rsid w:val="00BD77E0"/>
    <w:rsid w:val="00BD7D60"/>
    <w:rsid w:val="00BE1DF6"/>
    <w:rsid w:val="00BE444D"/>
    <w:rsid w:val="00BE6AC6"/>
    <w:rsid w:val="00BF34C8"/>
    <w:rsid w:val="00BF3E95"/>
    <w:rsid w:val="00C00718"/>
    <w:rsid w:val="00C26247"/>
    <w:rsid w:val="00C26D74"/>
    <w:rsid w:val="00C40B3A"/>
    <w:rsid w:val="00C42914"/>
    <w:rsid w:val="00C55272"/>
    <w:rsid w:val="00C5609E"/>
    <w:rsid w:val="00C61333"/>
    <w:rsid w:val="00C63328"/>
    <w:rsid w:val="00C64B82"/>
    <w:rsid w:val="00C773BB"/>
    <w:rsid w:val="00C91EA2"/>
    <w:rsid w:val="00C9645D"/>
    <w:rsid w:val="00CB59F9"/>
    <w:rsid w:val="00CC1499"/>
    <w:rsid w:val="00CE0EC8"/>
    <w:rsid w:val="00CE688E"/>
    <w:rsid w:val="00CF0282"/>
    <w:rsid w:val="00CF19D0"/>
    <w:rsid w:val="00CF6CC0"/>
    <w:rsid w:val="00D34825"/>
    <w:rsid w:val="00D46BD0"/>
    <w:rsid w:val="00D56A79"/>
    <w:rsid w:val="00D76676"/>
    <w:rsid w:val="00D9269B"/>
    <w:rsid w:val="00D94CC0"/>
    <w:rsid w:val="00DA5654"/>
    <w:rsid w:val="00DB0FDE"/>
    <w:rsid w:val="00DC039E"/>
    <w:rsid w:val="00DC1D1F"/>
    <w:rsid w:val="00DC29A8"/>
    <w:rsid w:val="00DC4E42"/>
    <w:rsid w:val="00DC76AE"/>
    <w:rsid w:val="00DC7DCE"/>
    <w:rsid w:val="00DD78CC"/>
    <w:rsid w:val="00DE2973"/>
    <w:rsid w:val="00DE3031"/>
    <w:rsid w:val="00DF2582"/>
    <w:rsid w:val="00E01B88"/>
    <w:rsid w:val="00E062BB"/>
    <w:rsid w:val="00E12C32"/>
    <w:rsid w:val="00E15BD2"/>
    <w:rsid w:val="00E3783F"/>
    <w:rsid w:val="00E40EB2"/>
    <w:rsid w:val="00E42C25"/>
    <w:rsid w:val="00E5186E"/>
    <w:rsid w:val="00E54861"/>
    <w:rsid w:val="00E67B19"/>
    <w:rsid w:val="00E7061B"/>
    <w:rsid w:val="00E76332"/>
    <w:rsid w:val="00EA15D9"/>
    <w:rsid w:val="00EE33F6"/>
    <w:rsid w:val="00EE3A54"/>
    <w:rsid w:val="00EE5442"/>
    <w:rsid w:val="00EF28FB"/>
    <w:rsid w:val="00EF42D3"/>
    <w:rsid w:val="00EF587A"/>
    <w:rsid w:val="00F00D1A"/>
    <w:rsid w:val="00F035D6"/>
    <w:rsid w:val="00F11EB9"/>
    <w:rsid w:val="00F31382"/>
    <w:rsid w:val="00F47592"/>
    <w:rsid w:val="00F47A2E"/>
    <w:rsid w:val="00F86EC8"/>
    <w:rsid w:val="00F878D1"/>
    <w:rsid w:val="00F9068C"/>
    <w:rsid w:val="00FA496D"/>
    <w:rsid w:val="00FA6A5C"/>
    <w:rsid w:val="00FB5E7A"/>
    <w:rsid w:val="00FC6418"/>
    <w:rsid w:val="00FD28C4"/>
    <w:rsid w:val="00FE2625"/>
    <w:rsid w:val="00FE4220"/>
    <w:rsid w:val="00FE4842"/>
    <w:rsid w:val="00FE670D"/>
    <w:rsid w:val="00FF395F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09E"/>
  </w:style>
  <w:style w:type="paragraph" w:styleId="Rodap">
    <w:name w:val="footer"/>
    <w:basedOn w:val="Normal"/>
    <w:link w:val="RodapChar"/>
    <w:uiPriority w:val="99"/>
    <w:unhideWhenUsed/>
    <w:rsid w:val="00C56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09E"/>
  </w:style>
  <w:style w:type="character" w:customStyle="1" w:styleId="longtext">
    <w:name w:val="long_text"/>
    <w:basedOn w:val="Fontepargpadro"/>
    <w:rsid w:val="00A123BC"/>
  </w:style>
  <w:style w:type="paragraph" w:styleId="PargrafodaLista">
    <w:name w:val="List Paragraph"/>
    <w:basedOn w:val="Normal"/>
    <w:uiPriority w:val="34"/>
    <w:qFormat/>
    <w:rsid w:val="00F9068C"/>
    <w:pPr>
      <w:spacing w:after="160" w:line="259" w:lineRule="auto"/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06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906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9068C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068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F9068C"/>
    <w:rPr>
      <w:color w:val="0000FF"/>
      <w:u w:val="single"/>
    </w:rPr>
  </w:style>
  <w:style w:type="paragraph" w:styleId="Reviso">
    <w:name w:val="Revision"/>
    <w:hidden/>
    <w:uiPriority w:val="99"/>
    <w:semiHidden/>
    <w:rsid w:val="00CE688E"/>
    <w:pPr>
      <w:spacing w:after="0" w:line="240" w:lineRule="auto"/>
    </w:pPr>
  </w:style>
  <w:style w:type="character" w:customStyle="1" w:styleId="hps">
    <w:name w:val="hps"/>
    <w:basedOn w:val="Fontepargpadro"/>
    <w:rsid w:val="008D01CD"/>
  </w:style>
  <w:style w:type="paragraph" w:styleId="Legenda">
    <w:name w:val="caption"/>
    <w:basedOn w:val="Normal"/>
    <w:qFormat/>
    <w:rsid w:val="004168DF"/>
    <w:pPr>
      <w:suppressLineNumbers/>
      <w:tabs>
        <w:tab w:val="left" w:pos="708"/>
      </w:tabs>
      <w:suppressAutoHyphens/>
      <w:spacing w:before="120" w:after="120"/>
    </w:pPr>
    <w:rPr>
      <w:rFonts w:ascii="Times New Roman" w:eastAsia="Times New Roman" w:hAnsi="Times New Roman" w:cs="Lohit Hindi"/>
      <w:i/>
      <w:iCs/>
      <w:color w:val="00000A"/>
      <w:sz w:val="24"/>
      <w:szCs w:val="24"/>
      <w:lang w:val="pt-PT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D64DA-C8C7-437B-9FA7-AE338BE1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1813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Reis Pompeu de Moraes</dc:creator>
  <cp:lastModifiedBy>Francisco Alves de Oliveira Júnior (SEPLAG)</cp:lastModifiedBy>
  <cp:revision>19</cp:revision>
  <cp:lastPrinted>2015-10-22T20:15:00Z</cp:lastPrinted>
  <dcterms:created xsi:type="dcterms:W3CDTF">2015-05-20T00:32:00Z</dcterms:created>
  <dcterms:modified xsi:type="dcterms:W3CDTF">2015-10-22T21:42:00Z</dcterms:modified>
</cp:coreProperties>
</file>