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5720D" w14:textId="3C9865A8" w:rsidR="00A43F6A" w:rsidRPr="00AC16DE" w:rsidRDefault="00534023" w:rsidP="00870F79">
      <w:pPr>
        <w:pStyle w:val="FJP-Titulo1"/>
        <w:pBdr>
          <w:top w:val="none" w:sz="0" w:space="0" w:color="auto"/>
        </w:pBdr>
        <w:spacing w:line="480" w:lineRule="auto"/>
        <w:jc w:val="center"/>
        <w:rPr>
          <w:rFonts w:ascii="Times New Roman" w:hAnsi="Times New Roman"/>
          <w:sz w:val="24"/>
        </w:rPr>
      </w:pPr>
      <w:r w:rsidRPr="00AC16DE">
        <w:rPr>
          <w:rFonts w:ascii="Times New Roman" w:hAnsi="Times New Roman"/>
          <w:sz w:val="24"/>
        </w:rPr>
        <w:t xml:space="preserve">IDEOLOGIA PARTIDÁRIA E </w:t>
      </w:r>
      <w:r w:rsidR="004312BF" w:rsidRPr="00AC16DE">
        <w:rPr>
          <w:rFonts w:ascii="Times New Roman" w:hAnsi="Times New Roman"/>
          <w:sz w:val="24"/>
        </w:rPr>
        <w:t>CRISE FISCA</w:t>
      </w:r>
      <w:bookmarkStart w:id="0" w:name="_GoBack"/>
      <w:bookmarkEnd w:id="0"/>
      <w:r w:rsidR="004312BF" w:rsidRPr="00AC16DE">
        <w:rPr>
          <w:rFonts w:ascii="Times New Roman" w:hAnsi="Times New Roman"/>
          <w:sz w:val="24"/>
        </w:rPr>
        <w:t>L DOS ESTADOS: O CASO DE MINAS GERAIS</w:t>
      </w:r>
    </w:p>
    <w:p w14:paraId="3775264E" w14:textId="77777777" w:rsidR="00A43F6A" w:rsidRPr="00AC16DE" w:rsidRDefault="00A43F6A" w:rsidP="00870F79">
      <w:pPr>
        <w:pStyle w:val="FJP-Ttulo2"/>
        <w:spacing w:line="480" w:lineRule="auto"/>
        <w:outlineLvl w:val="0"/>
        <w:rPr>
          <w:rFonts w:ascii="Times New Roman" w:hAnsi="Times New Roman"/>
          <w:sz w:val="24"/>
        </w:rPr>
      </w:pPr>
      <w:r w:rsidRPr="00AC16DE">
        <w:rPr>
          <w:rFonts w:ascii="Times New Roman" w:hAnsi="Times New Roman"/>
          <w:sz w:val="24"/>
        </w:rPr>
        <w:t>1 Introdução</w:t>
      </w:r>
    </w:p>
    <w:p w14:paraId="244B400D" w14:textId="77777777" w:rsidR="00A43F6A" w:rsidRPr="00AC16DE" w:rsidRDefault="00A43F6A" w:rsidP="00870F79">
      <w:pPr>
        <w:pStyle w:val="FJP-CorpoTexto"/>
        <w:spacing w:line="480" w:lineRule="auto"/>
        <w:rPr>
          <w:rFonts w:ascii="Times New Roman" w:hAnsi="Times New Roman"/>
          <w:sz w:val="24"/>
          <w:szCs w:val="24"/>
        </w:rPr>
      </w:pPr>
      <w:r w:rsidRPr="00AC16DE">
        <w:rPr>
          <w:rFonts w:ascii="Times New Roman" w:hAnsi="Times New Roman"/>
          <w:sz w:val="24"/>
          <w:szCs w:val="24"/>
        </w:rPr>
        <w:t>A crise econômica brasileira recente se desdobrou na crise fiscal dos estados brasileiros. Em maior ou menor grau, as 27 unidades da federação enfrentam escassez de recursos para investimento, regimes previdenciários deficitários e dificuldades com o pagamento de dívidas.</w:t>
      </w:r>
    </w:p>
    <w:p w14:paraId="75E4F1A9" w14:textId="53D7B2C8" w:rsidR="00A43F6A" w:rsidRPr="00AC16DE" w:rsidRDefault="00A43F6A" w:rsidP="00870F79">
      <w:pPr>
        <w:pStyle w:val="FJP-CorpoTexto"/>
        <w:spacing w:line="480" w:lineRule="auto"/>
        <w:rPr>
          <w:rFonts w:ascii="Times New Roman" w:hAnsi="Times New Roman"/>
          <w:sz w:val="24"/>
          <w:szCs w:val="24"/>
        </w:rPr>
      </w:pPr>
      <w:r w:rsidRPr="00AC16DE">
        <w:rPr>
          <w:rFonts w:ascii="Times New Roman" w:hAnsi="Times New Roman"/>
          <w:sz w:val="24"/>
          <w:szCs w:val="24"/>
        </w:rPr>
        <w:t xml:space="preserve">O caso mineiro é o retrato desse fenômeno. O crescimento das receitas se retraiu fortemente no último triênio (2015-2017), apesar do empenho do governo para aumentar a arrecadação. Por outro lado, as despesas continuaram crescendo acima da inflação, a despeito da tentativa de conter os gastos públicos, em especial via investimentos. O resultado dessa equação é o surgimento de déficits crescentes, dificuldade de honrar compromissos, atrasos de pagamento do servidor, etc. </w:t>
      </w:r>
    </w:p>
    <w:p w14:paraId="6B17D069" w14:textId="77777777" w:rsidR="00A43F6A" w:rsidRPr="00AC16DE" w:rsidRDefault="00A43F6A" w:rsidP="00870F79">
      <w:pPr>
        <w:pStyle w:val="FJP-CorpoTexto"/>
        <w:spacing w:line="480" w:lineRule="auto"/>
        <w:rPr>
          <w:rFonts w:ascii="Times New Roman" w:hAnsi="Times New Roman"/>
          <w:sz w:val="24"/>
          <w:szCs w:val="24"/>
        </w:rPr>
      </w:pPr>
      <w:r w:rsidRPr="00AC16DE">
        <w:rPr>
          <w:rFonts w:ascii="Times New Roman" w:hAnsi="Times New Roman"/>
          <w:sz w:val="24"/>
          <w:szCs w:val="24"/>
        </w:rPr>
        <w:t>Em Minas Gerais, coincidentemente, a deterioração fiscal foi marcada pela mudança de governos. De 2003 a 2014, o estado foi governado por representantes do Partido da Social Democracia Brasileira (PSDB). Foram dois governos do Aécio Neves (2003-2006 e 2007- 2010) e o outro do Antônio Anastasia (2011-2014).  De 2015 em diante, o Partido dos Trabalhadores (PT), representado por Fernando Pimentel, assumiu a gestão do estado.</w:t>
      </w:r>
    </w:p>
    <w:p w14:paraId="0BA33B44" w14:textId="0982D972" w:rsidR="000E1E46" w:rsidRPr="00AC16DE" w:rsidRDefault="00A43F6A" w:rsidP="00870F79">
      <w:pPr>
        <w:pStyle w:val="FJP-CorpoTexto"/>
        <w:spacing w:line="480" w:lineRule="auto"/>
        <w:rPr>
          <w:rFonts w:ascii="Times New Roman" w:hAnsi="Times New Roman"/>
          <w:sz w:val="24"/>
          <w:szCs w:val="24"/>
        </w:rPr>
      </w:pPr>
      <w:r w:rsidRPr="00AC16DE">
        <w:rPr>
          <w:rFonts w:ascii="Times New Roman" w:hAnsi="Times New Roman"/>
          <w:sz w:val="24"/>
          <w:szCs w:val="24"/>
        </w:rPr>
        <w:t xml:space="preserve">De acordo com a literatura, embora os resultados não sejam conclusivos, governos estaduais com orientação de esquerda seriam favoráveis a políticas fiscais expansionistas (Cossio, 2001). Nesse caso, os resultados das contas públicas seriam, naturalmente, piores na atual gestão, cuja a ideologia se aproxima </w:t>
      </w:r>
      <w:r>
        <w:rPr>
          <w:rFonts w:ascii="Times New Roman" w:hAnsi="Times New Roman"/>
          <w:sz w:val="24"/>
          <w:szCs w:val="24"/>
        </w:rPr>
        <w:t xml:space="preserve">mais </w:t>
      </w:r>
      <w:r w:rsidRPr="00AC16DE">
        <w:rPr>
          <w:rFonts w:ascii="Times New Roman" w:hAnsi="Times New Roman"/>
          <w:sz w:val="24"/>
          <w:szCs w:val="24"/>
        </w:rPr>
        <w:t>da esquerda</w:t>
      </w:r>
      <w:r w:rsidR="000E1E46" w:rsidRPr="00AC16DE">
        <w:rPr>
          <w:rStyle w:val="Refdenotaderodap"/>
          <w:rFonts w:ascii="Times New Roman" w:hAnsi="Times New Roman"/>
          <w:sz w:val="24"/>
          <w:szCs w:val="24"/>
        </w:rPr>
        <w:footnoteReference w:id="1"/>
      </w:r>
      <w:r w:rsidR="000E1E46" w:rsidRPr="00AC16DE">
        <w:rPr>
          <w:rFonts w:ascii="Times New Roman" w:hAnsi="Times New Roman"/>
          <w:sz w:val="24"/>
          <w:szCs w:val="24"/>
        </w:rPr>
        <w:t xml:space="preserve">. </w:t>
      </w:r>
    </w:p>
    <w:p w14:paraId="10256191" w14:textId="14F27801"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lastRenderedPageBreak/>
        <w:t>Por outro lado, as mudanças institucionais implementadas ao longo da década de 90 e dos anos 2000, em particular a Lei de Responsabilidade Fiscal (LRF), restringiram o grau de liberdade dos governos estaduais em realizar gastos e financiar déficits (Cossio, 2001; Botelho, 2002; Nakaguma e Bender, 2006). Adicionalmente, no contexto atual de crise econômica e fiscal, assume-se que a margem de manobra dos estados seja ainda mais reduzida. Portanto, supõe-se que no triênio 2015-2017, os governos estaduais, seja</w:t>
      </w:r>
      <w:r>
        <w:rPr>
          <w:rFonts w:ascii="Times New Roman" w:hAnsi="Times New Roman"/>
          <w:sz w:val="24"/>
          <w:szCs w:val="24"/>
        </w:rPr>
        <w:t>m</w:t>
      </w:r>
      <w:r w:rsidRPr="00AC16DE">
        <w:rPr>
          <w:rFonts w:ascii="Times New Roman" w:hAnsi="Times New Roman"/>
          <w:sz w:val="24"/>
          <w:szCs w:val="24"/>
        </w:rPr>
        <w:t xml:space="preserve"> de esquerda ou de direita, estiveram empenhados em ajustar as contas públicas, em virtude de restrições legais e da crise financeira.</w:t>
      </w:r>
    </w:p>
    <w:p w14:paraId="051CC48E" w14:textId="483E3A52"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 xml:space="preserve">O presente artigo visa justamente a avaliar o esforço fiscal da atual gestão petista em perspectiva histórica. Ou seja, compara-se a trajetória recente das receitas e despesas ao seu comportamento em ciclos quadrienais anteriores, quando a orientação do governo era </w:t>
      </w:r>
      <w:r>
        <w:rPr>
          <w:rFonts w:ascii="Times New Roman" w:hAnsi="Times New Roman"/>
          <w:sz w:val="24"/>
          <w:szCs w:val="24"/>
        </w:rPr>
        <w:t xml:space="preserve">mais próxima do centro </w:t>
      </w:r>
      <w:r w:rsidRPr="00AC16DE">
        <w:rPr>
          <w:rFonts w:ascii="Times New Roman" w:hAnsi="Times New Roman"/>
          <w:sz w:val="24"/>
          <w:szCs w:val="24"/>
        </w:rPr>
        <w:t>(PSDB). Além disso, investiga-se a composição estrutural de ambas. Dessa forma, pondera-se o impacto de questões conjunturais e estruturais sobre as finanças públicas estaduais</w:t>
      </w:r>
      <w:r>
        <w:rPr>
          <w:rStyle w:val="Refdenotaderodap"/>
          <w:rFonts w:ascii="Times New Roman" w:hAnsi="Times New Roman"/>
          <w:sz w:val="24"/>
          <w:szCs w:val="24"/>
        </w:rPr>
        <w:footnoteReference w:id="2"/>
      </w:r>
      <w:r w:rsidRPr="00AC16DE">
        <w:rPr>
          <w:rFonts w:ascii="Times New Roman" w:hAnsi="Times New Roman"/>
          <w:sz w:val="24"/>
          <w:szCs w:val="24"/>
        </w:rPr>
        <w:t xml:space="preserve">. </w:t>
      </w:r>
    </w:p>
    <w:p w14:paraId="3BAD3D00"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Na próxima seção, discute-se a questão da influência ideológico partidária nos resultados orçamentários dos governos. Em seguida, traça-se um breve panorama da situação fiscal de Minas Gerais e examinam-se a dinâmica da receita e da despesa orçamentária, com enfoque no período de 2015 a 2017. Ao final, são apresentadas as conclusões dessa análise.</w:t>
      </w:r>
    </w:p>
    <w:p w14:paraId="0009F26F" w14:textId="77777777" w:rsidR="000E1E46" w:rsidRPr="00AC16DE" w:rsidRDefault="000E1E46" w:rsidP="00870F79">
      <w:pPr>
        <w:pStyle w:val="FJP-Ttulo2"/>
        <w:spacing w:line="480" w:lineRule="auto"/>
        <w:rPr>
          <w:rFonts w:ascii="Times New Roman" w:hAnsi="Times New Roman"/>
          <w:sz w:val="24"/>
        </w:rPr>
      </w:pPr>
      <w:r w:rsidRPr="00AC16DE">
        <w:rPr>
          <w:rFonts w:ascii="Times New Roman" w:hAnsi="Times New Roman"/>
          <w:sz w:val="24"/>
        </w:rPr>
        <w:t>2. Ideologia partidária, restrições legais e resultados orçamentários</w:t>
      </w:r>
    </w:p>
    <w:p w14:paraId="18A6401A" w14:textId="0E3032A4"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 xml:space="preserve">A literatura que discute a possibilidade de fatores políticos afetarem o comportamento das variáveis econômicas se divide, basicamente, em duas linhas. A primeira assume que os </w:t>
      </w:r>
      <w:r w:rsidRPr="00AC16DE">
        <w:rPr>
          <w:rFonts w:ascii="Times New Roman" w:hAnsi="Times New Roman"/>
          <w:i/>
          <w:sz w:val="24"/>
          <w:szCs w:val="24"/>
        </w:rPr>
        <w:t>policymakers</w:t>
      </w:r>
      <w:r w:rsidRPr="00AC16DE">
        <w:rPr>
          <w:rFonts w:ascii="Times New Roman" w:hAnsi="Times New Roman"/>
          <w:sz w:val="24"/>
          <w:szCs w:val="24"/>
        </w:rPr>
        <w:t>, independentemente da orientação ideológica, visam fundamentalmente a se manterem no poder.</w:t>
      </w:r>
      <w:r>
        <w:rPr>
          <w:rFonts w:ascii="Times New Roman" w:hAnsi="Times New Roman"/>
          <w:sz w:val="24"/>
          <w:szCs w:val="24"/>
        </w:rPr>
        <w:t xml:space="preserve"> Nessa perspectiva</w:t>
      </w:r>
      <w:r w:rsidRPr="00AC16DE">
        <w:rPr>
          <w:rFonts w:ascii="Times New Roman" w:hAnsi="Times New Roman"/>
          <w:sz w:val="24"/>
          <w:szCs w:val="24"/>
        </w:rPr>
        <w:t xml:space="preserve">, os ciclos eleitorais, nos quais se observam aumento de gastos no último ano, seriam o </w:t>
      </w:r>
      <w:r w:rsidRPr="00AC16DE">
        <w:rPr>
          <w:rFonts w:ascii="Times New Roman" w:hAnsi="Times New Roman"/>
          <w:sz w:val="24"/>
          <w:szCs w:val="24"/>
        </w:rPr>
        <w:lastRenderedPageBreak/>
        <w:t xml:space="preserve">resultado de ações dos governantes para se reelegerem. A segunda, que baliza esse estudo, destaca a influência de diferenças ideológicas e, mais explicitamente, partidárias, sobre o comportamento da economia. </w:t>
      </w:r>
    </w:p>
    <w:p w14:paraId="3CF5ECA1"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 xml:space="preserve">Caso se considere que a competição partidária seja caracterizada pela busca de sobrevivência política e não por distinções ideológicas, o comportamento dos governos tenderia a ser mais homogêneo. Ou seja, seriam priorizadas políticas cujo potencial eleitoral fosse maior (Dows, 1957; Nordhaus, 1975). </w:t>
      </w:r>
    </w:p>
    <w:p w14:paraId="4183B30D"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Por outro lado, caso a ideologia dos partidos seja relevante, presume-se que as preferências em relação à condução da política econômica sejam diferentes. Consequentemente, o comportamento da economia variaria de acordo com os estímulos econômicos escolhid</w:t>
      </w:r>
      <w:r>
        <w:rPr>
          <w:rFonts w:ascii="Times New Roman" w:hAnsi="Times New Roman"/>
          <w:sz w:val="24"/>
          <w:szCs w:val="24"/>
        </w:rPr>
        <w:t>os (Hibbs, 1977; Alesina, Roubini e Cohen, 199</w:t>
      </w:r>
      <w:r w:rsidRPr="00AC16DE">
        <w:rPr>
          <w:rFonts w:ascii="Times New Roman" w:hAnsi="Times New Roman"/>
          <w:sz w:val="24"/>
          <w:szCs w:val="24"/>
        </w:rPr>
        <w:t>7).</w:t>
      </w:r>
    </w:p>
    <w:p w14:paraId="7478C3D3"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Nessa linha, partidos de esquerda tenderiam a favorecer um Estado maior e mais ativo, valendo-se de instrumentos fiscais para restringir as desigualdades causadas pelo funcionamento da economia de mercado. Na outra ponta, partidos de direita estariam mais preocupados com a manutenção da estabilidade da economia e em assegurar o livre funcionamento do mercado. Assim, seriam caracterizados por um Estado menor e menos ativo. Mais especificamente, os primeiros se concentrariam no combate ao desemprego, e o segundo no controle da inflação (Tufte, 1978).</w:t>
      </w:r>
    </w:p>
    <w:p w14:paraId="57FD6824"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Muitos estudos, mesmo que não diretamente, estimam o impacto da ideologia partidária sobre os gastos fiscais dos governos estaduais no Brasil (Coss</w:t>
      </w:r>
      <w:r>
        <w:rPr>
          <w:rFonts w:ascii="Times New Roman" w:hAnsi="Times New Roman"/>
          <w:sz w:val="24"/>
          <w:szCs w:val="24"/>
        </w:rPr>
        <w:t>i</w:t>
      </w:r>
      <w:r w:rsidRPr="00AC16DE">
        <w:rPr>
          <w:rFonts w:ascii="Times New Roman" w:hAnsi="Times New Roman"/>
          <w:sz w:val="24"/>
          <w:szCs w:val="24"/>
        </w:rPr>
        <w:t>o, 2001; Bittencourt e Hilbrecht, 2003; Nakaguma e Bender, 2006). No entanto, os resultados não são conclusivos. Logo, não se pode afirmar que os resultados fiscais de governos de esquerda são piores do que os de direita.</w:t>
      </w:r>
    </w:p>
    <w:p w14:paraId="2F911BE6" w14:textId="07F04CFC"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 xml:space="preserve">Nesse debate, é fundamental levar em consideração as mudanças institucionais implementadas no Brasil nos anos 1990 e 2000, sobretudo após a implementação da LRF. À época da implantação do Plano Real, os governadores, hesitantes em face dos problemas relacionados à dívida pública e aos bancos estaduais, perderam o controle das contas públicas. A partir de então, através do programa de </w:t>
      </w:r>
      <w:r w:rsidRPr="00AC16DE">
        <w:rPr>
          <w:rFonts w:ascii="Times New Roman" w:hAnsi="Times New Roman"/>
          <w:sz w:val="24"/>
          <w:szCs w:val="24"/>
        </w:rPr>
        <w:lastRenderedPageBreak/>
        <w:t>ajuste fiscal, o governo fede</w:t>
      </w:r>
      <w:r>
        <w:rPr>
          <w:rFonts w:ascii="Times New Roman" w:hAnsi="Times New Roman"/>
          <w:sz w:val="24"/>
          <w:szCs w:val="24"/>
        </w:rPr>
        <w:t>ral passou a ditar as regras de</w:t>
      </w:r>
      <w:r w:rsidRPr="00AC16DE">
        <w:rPr>
          <w:rFonts w:ascii="Times New Roman" w:hAnsi="Times New Roman"/>
          <w:sz w:val="24"/>
          <w:szCs w:val="24"/>
        </w:rPr>
        <w:t xml:space="preserve"> gastos dos entes federados. A LRF completou a mudança do aparato institucional, estabelecendo limites legais para a dívida consolidada, operações de crédito e gastos com pessoal (Lopreato, 2008). </w:t>
      </w:r>
    </w:p>
    <w:p w14:paraId="6CE812D4" w14:textId="52435113"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 xml:space="preserve">Inclusive, no período dessas mudanças (entre os anos de 1995 e 2005), os resultados orçamentários dos estados, independentemente da posição ideológica do governo, mostraram significativa melhora (Arvate, Avelino e Lucinda, 2008). No entanto, na atual crise fiscal, fica patente que nem o programa de ajuste fiscal nem a LRF foram instrumentos suficientes para impedir a deterioração das finanças públicas dos estados. </w:t>
      </w:r>
    </w:p>
    <w:p w14:paraId="1E274BC6"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 xml:space="preserve">Na verdade, a agenda fiscal, preocupada exclusivamente com a questão do ajuste das contas públicas estaduais, contribuiu para debilitar a posição estadual na ordem federativa. A discussão sobre o federalismo brasileiro e, em particular, do papel dos estados nesse arranjo, foi negligenciada e substituída pela imposição de regras fiscais. O resultado são estados frágeis tanto no aspecto financeiro quanto na capacidade de articulação de políticas públicas consequentes. </w:t>
      </w:r>
    </w:p>
    <w:p w14:paraId="6492AF0A"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Se em 2008 Lopreato (2008) alertava sobre a insustentabilidade, no longo prazo, dos gastos estaduais com despesa de pessoal (ativos e inativos), na atual conjuntura essa questão tem contribuído significativamente para a crise financeira dos estados.  Em parte, os governos respondem a partir de métodos de contabilidade criativa (Oliveira, 2011), reclassificando despesas de pessoal em outras rubricas. Entretanto, essa alternativa apenas mascara o problema. E, em um contexto em que os déficits atuariais dos regimes de previdência do servidor Público (RPPS) se avolumam, é, claramente, insuficiente para superá-lo.</w:t>
      </w:r>
    </w:p>
    <w:p w14:paraId="6A51F0BE"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 xml:space="preserve">Sem omitir a importância da discussão das restrições legais tampouco do pacto federativo brasileiro, o presente estudo busca aferir a presença de viés ideológico na condução da política fiscal, entre 2015 e 2017, na gestão petista em Minas Gerais. Na seção seguinte, traça-se um breve panorama da situação fiscal atual do estado. </w:t>
      </w:r>
    </w:p>
    <w:p w14:paraId="648D8841" w14:textId="77777777" w:rsidR="000E1E46" w:rsidRPr="00AC16DE" w:rsidRDefault="000E1E46" w:rsidP="00870F79">
      <w:pPr>
        <w:pStyle w:val="FJP-Ttulo2"/>
        <w:spacing w:line="480" w:lineRule="auto"/>
        <w:rPr>
          <w:rFonts w:ascii="Times New Roman" w:hAnsi="Times New Roman"/>
          <w:sz w:val="24"/>
        </w:rPr>
      </w:pPr>
      <w:r w:rsidRPr="00AC16DE">
        <w:rPr>
          <w:rFonts w:ascii="Times New Roman" w:hAnsi="Times New Roman"/>
          <w:sz w:val="24"/>
        </w:rPr>
        <w:lastRenderedPageBreak/>
        <w:t>3. Panorama fiscal do estado de Minas Gerais</w:t>
      </w:r>
    </w:p>
    <w:p w14:paraId="24B120A6" w14:textId="5742CF8E"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Desde o início da recessão econômica em 2014</w:t>
      </w:r>
      <w:r w:rsidRPr="00AC16DE">
        <w:rPr>
          <w:rStyle w:val="Refdenotaderodap"/>
          <w:rFonts w:ascii="Times New Roman" w:hAnsi="Times New Roman"/>
          <w:sz w:val="24"/>
          <w:szCs w:val="24"/>
        </w:rPr>
        <w:footnoteReference w:id="3"/>
      </w:r>
      <w:r w:rsidRPr="00AC16DE">
        <w:rPr>
          <w:rFonts w:ascii="Times New Roman" w:hAnsi="Times New Roman"/>
          <w:sz w:val="24"/>
          <w:szCs w:val="24"/>
        </w:rPr>
        <w:t>, o estado de Minas Gerais tem apresentado sucessivos déficits fiscais. A tabela 1 apresenta os resultados orçamentários</w:t>
      </w:r>
      <w:r w:rsidRPr="00AC16DE">
        <w:rPr>
          <w:rStyle w:val="Refdenotaderodap"/>
          <w:rFonts w:ascii="Times New Roman" w:hAnsi="Times New Roman"/>
          <w:sz w:val="24"/>
          <w:szCs w:val="24"/>
        </w:rPr>
        <w:footnoteReference w:id="4"/>
      </w:r>
      <w:r w:rsidRPr="00AC16DE">
        <w:rPr>
          <w:rFonts w:ascii="Times New Roman" w:hAnsi="Times New Roman"/>
          <w:sz w:val="24"/>
          <w:szCs w:val="24"/>
        </w:rPr>
        <w:t>, comparando as receitas efetivadas com as despesas realizada</w:t>
      </w:r>
      <w:r w:rsidRPr="00AC16DE">
        <w:rPr>
          <w:rStyle w:val="Refdenotaderodap"/>
          <w:rFonts w:ascii="Times New Roman" w:hAnsi="Times New Roman"/>
          <w:sz w:val="24"/>
          <w:szCs w:val="24"/>
        </w:rPr>
        <w:footnoteReference w:id="5"/>
      </w:r>
      <w:r>
        <w:rPr>
          <w:rFonts w:ascii="Times New Roman" w:hAnsi="Times New Roman"/>
          <w:sz w:val="24"/>
          <w:szCs w:val="24"/>
        </w:rPr>
        <w:t>, e primário do e</w:t>
      </w:r>
      <w:r w:rsidRPr="00AC16DE">
        <w:rPr>
          <w:rFonts w:ascii="Times New Roman" w:hAnsi="Times New Roman"/>
          <w:sz w:val="24"/>
          <w:szCs w:val="24"/>
        </w:rPr>
        <w:t>stado. Em 2017, o valor nominal do déficit foi superior a 9 bilhões, ou seja, superior a 10% do valor arrecadado.</w:t>
      </w:r>
    </w:p>
    <w:p w14:paraId="3A3E3D86" w14:textId="2597B6D2" w:rsidR="000E1E46" w:rsidRPr="00AC16DE" w:rsidRDefault="000E1E46" w:rsidP="004312BF">
      <w:pPr>
        <w:pStyle w:val="FJP-Tab-T"/>
        <w:rPr>
          <w:rFonts w:ascii="Times New Roman" w:hAnsi="Times New Roman"/>
          <w:sz w:val="24"/>
          <w:szCs w:val="24"/>
        </w:rPr>
      </w:pPr>
      <w:r w:rsidRPr="00AC16DE">
        <w:rPr>
          <w:rFonts w:ascii="Times New Roman" w:hAnsi="Times New Roman"/>
          <w:sz w:val="24"/>
          <w:szCs w:val="24"/>
        </w:rPr>
        <w:t>Tabela 1: Resultado da execução orçamentária</w:t>
      </w:r>
      <w:r>
        <w:rPr>
          <w:rFonts w:ascii="Times New Roman" w:hAnsi="Times New Roman"/>
          <w:sz w:val="24"/>
          <w:szCs w:val="24"/>
        </w:rPr>
        <w:t xml:space="preserve"> e primário</w:t>
      </w:r>
      <w:r w:rsidRPr="00AC16DE">
        <w:rPr>
          <w:rFonts w:ascii="Times New Roman" w:hAnsi="Times New Roman"/>
          <w:sz w:val="24"/>
          <w:szCs w:val="24"/>
        </w:rPr>
        <w:t xml:space="preserve"> – Minas Gerais – 2002-2017 – (R$1,00)</w:t>
      </w:r>
    </w:p>
    <w:tbl>
      <w:tblPr>
        <w:tblW w:w="5000" w:type="pct"/>
        <w:jc w:val="center"/>
        <w:tblCellMar>
          <w:left w:w="70" w:type="dxa"/>
          <w:right w:w="70" w:type="dxa"/>
        </w:tblCellMar>
        <w:tblLook w:val="04A0" w:firstRow="1" w:lastRow="0" w:firstColumn="1" w:lastColumn="0" w:noHBand="0" w:noVBand="1"/>
      </w:tblPr>
      <w:tblGrid>
        <w:gridCol w:w="634"/>
        <w:gridCol w:w="2252"/>
        <w:gridCol w:w="2252"/>
        <w:gridCol w:w="2304"/>
        <w:gridCol w:w="2304"/>
      </w:tblGrid>
      <w:tr w:rsidR="000E1E46" w:rsidRPr="00273EC0" w14:paraId="2D690486" w14:textId="77777777" w:rsidTr="00E95534">
        <w:trPr>
          <w:trHeight w:val="255"/>
          <w:jc w:val="center"/>
        </w:trPr>
        <w:tc>
          <w:tcPr>
            <w:tcW w:w="325" w:type="pct"/>
            <w:tcBorders>
              <w:top w:val="single" w:sz="4" w:space="0" w:color="auto"/>
              <w:left w:val="nil"/>
              <w:bottom w:val="single" w:sz="4" w:space="0" w:color="auto"/>
              <w:right w:val="nil"/>
            </w:tcBorders>
            <w:shd w:val="clear" w:color="auto" w:fill="595959" w:themeFill="text1" w:themeFillTint="A6"/>
            <w:noWrap/>
            <w:vAlign w:val="center"/>
            <w:hideMark/>
          </w:tcPr>
          <w:p w14:paraId="0DF9A1CD" w14:textId="77777777" w:rsidR="000E1E46" w:rsidRPr="00273EC0" w:rsidRDefault="000E1E46" w:rsidP="00E95534">
            <w:pPr>
              <w:jc w:val="center"/>
              <w:rPr>
                <w:bCs/>
                <w:color w:val="FFFFFF" w:themeColor="background1"/>
                <w:sz w:val="16"/>
                <w:szCs w:val="16"/>
              </w:rPr>
            </w:pPr>
            <w:r w:rsidRPr="00273EC0">
              <w:rPr>
                <w:bCs/>
                <w:color w:val="FFFFFF" w:themeColor="background1"/>
                <w:sz w:val="16"/>
                <w:szCs w:val="16"/>
              </w:rPr>
              <w:t>Ano</w:t>
            </w:r>
          </w:p>
        </w:tc>
        <w:tc>
          <w:tcPr>
            <w:tcW w:w="1155" w:type="pct"/>
            <w:tcBorders>
              <w:top w:val="single" w:sz="4" w:space="0" w:color="auto"/>
              <w:left w:val="nil"/>
              <w:bottom w:val="single" w:sz="4" w:space="0" w:color="auto"/>
              <w:right w:val="nil"/>
            </w:tcBorders>
            <w:shd w:val="clear" w:color="auto" w:fill="595959" w:themeFill="text1" w:themeFillTint="A6"/>
            <w:noWrap/>
            <w:vAlign w:val="center"/>
            <w:hideMark/>
          </w:tcPr>
          <w:p w14:paraId="3CC0DD43" w14:textId="77777777" w:rsidR="000E1E46" w:rsidRPr="00273EC0" w:rsidRDefault="000E1E46" w:rsidP="00E95534">
            <w:pPr>
              <w:jc w:val="center"/>
              <w:rPr>
                <w:bCs/>
                <w:color w:val="FFFFFF" w:themeColor="background1"/>
                <w:sz w:val="16"/>
                <w:szCs w:val="16"/>
              </w:rPr>
            </w:pPr>
            <w:r w:rsidRPr="00273EC0">
              <w:rPr>
                <w:bCs/>
                <w:color w:val="FFFFFF" w:themeColor="background1"/>
                <w:sz w:val="16"/>
                <w:szCs w:val="16"/>
              </w:rPr>
              <w:t>Receitas</w:t>
            </w:r>
          </w:p>
        </w:tc>
        <w:tc>
          <w:tcPr>
            <w:tcW w:w="1155" w:type="pct"/>
            <w:tcBorders>
              <w:top w:val="single" w:sz="4" w:space="0" w:color="auto"/>
              <w:left w:val="nil"/>
              <w:bottom w:val="single" w:sz="4" w:space="0" w:color="auto"/>
              <w:right w:val="nil"/>
            </w:tcBorders>
            <w:shd w:val="clear" w:color="auto" w:fill="595959" w:themeFill="text1" w:themeFillTint="A6"/>
            <w:noWrap/>
            <w:vAlign w:val="center"/>
            <w:hideMark/>
          </w:tcPr>
          <w:p w14:paraId="4DF51820" w14:textId="77777777" w:rsidR="000E1E46" w:rsidRPr="00273EC0" w:rsidRDefault="000E1E46" w:rsidP="00E95534">
            <w:pPr>
              <w:jc w:val="center"/>
              <w:rPr>
                <w:bCs/>
                <w:color w:val="FFFFFF" w:themeColor="background1"/>
                <w:sz w:val="16"/>
                <w:szCs w:val="16"/>
              </w:rPr>
            </w:pPr>
            <w:r w:rsidRPr="00273EC0">
              <w:rPr>
                <w:bCs/>
                <w:color w:val="FFFFFF" w:themeColor="background1"/>
                <w:sz w:val="16"/>
                <w:szCs w:val="16"/>
              </w:rPr>
              <w:t>Despesas</w:t>
            </w:r>
          </w:p>
        </w:tc>
        <w:tc>
          <w:tcPr>
            <w:tcW w:w="1182" w:type="pct"/>
            <w:tcBorders>
              <w:top w:val="single" w:sz="4" w:space="0" w:color="auto"/>
              <w:left w:val="nil"/>
              <w:bottom w:val="single" w:sz="4" w:space="0" w:color="auto"/>
              <w:right w:val="nil"/>
            </w:tcBorders>
            <w:shd w:val="clear" w:color="auto" w:fill="595959" w:themeFill="text1" w:themeFillTint="A6"/>
            <w:noWrap/>
            <w:vAlign w:val="center"/>
            <w:hideMark/>
          </w:tcPr>
          <w:p w14:paraId="4EAB53B9" w14:textId="77777777" w:rsidR="000E1E46" w:rsidRPr="00273EC0" w:rsidRDefault="000E1E46" w:rsidP="00E95534">
            <w:pPr>
              <w:jc w:val="center"/>
              <w:rPr>
                <w:bCs/>
                <w:color w:val="FFFFFF" w:themeColor="background1"/>
                <w:sz w:val="16"/>
                <w:szCs w:val="16"/>
              </w:rPr>
            </w:pPr>
            <w:r w:rsidRPr="00273EC0">
              <w:rPr>
                <w:bCs/>
                <w:color w:val="FFFFFF" w:themeColor="background1"/>
                <w:sz w:val="16"/>
                <w:szCs w:val="16"/>
              </w:rPr>
              <w:t>Superávit/Déficit</w:t>
            </w:r>
          </w:p>
        </w:tc>
        <w:tc>
          <w:tcPr>
            <w:tcW w:w="1182" w:type="pct"/>
            <w:tcBorders>
              <w:top w:val="single" w:sz="4" w:space="0" w:color="auto"/>
              <w:left w:val="nil"/>
              <w:bottom w:val="single" w:sz="4" w:space="0" w:color="auto"/>
              <w:right w:val="nil"/>
            </w:tcBorders>
            <w:shd w:val="clear" w:color="auto" w:fill="595959" w:themeFill="text1" w:themeFillTint="A6"/>
          </w:tcPr>
          <w:p w14:paraId="1DB7C0B8" w14:textId="77777777" w:rsidR="000E1E46" w:rsidRPr="00273EC0" w:rsidRDefault="000E1E46" w:rsidP="00E95534">
            <w:pPr>
              <w:jc w:val="center"/>
              <w:rPr>
                <w:bCs/>
                <w:color w:val="FFFFFF" w:themeColor="background1"/>
                <w:sz w:val="16"/>
                <w:szCs w:val="16"/>
              </w:rPr>
            </w:pPr>
            <w:r w:rsidRPr="00273EC0">
              <w:rPr>
                <w:bCs/>
                <w:color w:val="FFFFFF" w:themeColor="background1"/>
                <w:sz w:val="16"/>
                <w:szCs w:val="16"/>
              </w:rPr>
              <w:t>Superávit/Déficit primário</w:t>
            </w:r>
          </w:p>
        </w:tc>
      </w:tr>
      <w:tr w:rsidR="000E1E46" w:rsidRPr="00F52899" w14:paraId="089850BB" w14:textId="77777777" w:rsidTr="00E95534">
        <w:trPr>
          <w:trHeight w:val="255"/>
          <w:jc w:val="center"/>
        </w:trPr>
        <w:tc>
          <w:tcPr>
            <w:tcW w:w="325" w:type="pct"/>
            <w:noWrap/>
            <w:vAlign w:val="center"/>
            <w:hideMark/>
          </w:tcPr>
          <w:p w14:paraId="30DF4C91" w14:textId="77777777" w:rsidR="000E1E46" w:rsidRPr="00273EC0" w:rsidRDefault="000E1E46" w:rsidP="00E95534">
            <w:pPr>
              <w:jc w:val="right"/>
              <w:rPr>
                <w:sz w:val="16"/>
                <w:szCs w:val="16"/>
              </w:rPr>
            </w:pPr>
            <w:r w:rsidRPr="00273EC0">
              <w:rPr>
                <w:sz w:val="16"/>
                <w:szCs w:val="16"/>
              </w:rPr>
              <w:t>2002</w:t>
            </w:r>
          </w:p>
        </w:tc>
        <w:tc>
          <w:tcPr>
            <w:tcW w:w="1155" w:type="pct"/>
            <w:noWrap/>
            <w:vAlign w:val="center"/>
            <w:hideMark/>
          </w:tcPr>
          <w:p w14:paraId="01891FE3" w14:textId="77777777" w:rsidR="000E1E46" w:rsidRPr="00273EC0" w:rsidRDefault="000E1E46" w:rsidP="00E95534">
            <w:pPr>
              <w:tabs>
                <w:tab w:val="left" w:pos="2226"/>
              </w:tabs>
              <w:ind w:right="406"/>
              <w:jc w:val="right"/>
              <w:rPr>
                <w:sz w:val="16"/>
                <w:szCs w:val="16"/>
              </w:rPr>
            </w:pPr>
            <w:r w:rsidRPr="00273EC0">
              <w:rPr>
                <w:sz w:val="16"/>
                <w:szCs w:val="16"/>
              </w:rPr>
              <w:t>18.521.298.723,95</w:t>
            </w:r>
          </w:p>
        </w:tc>
        <w:tc>
          <w:tcPr>
            <w:tcW w:w="1155" w:type="pct"/>
            <w:noWrap/>
            <w:vAlign w:val="center"/>
            <w:hideMark/>
          </w:tcPr>
          <w:p w14:paraId="0498E657" w14:textId="77777777" w:rsidR="000E1E46" w:rsidRPr="00273EC0" w:rsidRDefault="000E1E46" w:rsidP="00E95534">
            <w:pPr>
              <w:tabs>
                <w:tab w:val="left" w:pos="2226"/>
              </w:tabs>
              <w:ind w:right="490"/>
              <w:jc w:val="right"/>
              <w:rPr>
                <w:sz w:val="16"/>
                <w:szCs w:val="16"/>
              </w:rPr>
            </w:pPr>
            <w:r w:rsidRPr="00273EC0">
              <w:rPr>
                <w:sz w:val="16"/>
                <w:szCs w:val="16"/>
              </w:rPr>
              <w:t>19.359.441.437,90</w:t>
            </w:r>
          </w:p>
        </w:tc>
        <w:tc>
          <w:tcPr>
            <w:tcW w:w="1182" w:type="pct"/>
            <w:noWrap/>
            <w:vAlign w:val="center"/>
            <w:hideMark/>
          </w:tcPr>
          <w:p w14:paraId="78C944C9" w14:textId="77777777" w:rsidR="000E1E46" w:rsidRPr="00273EC0" w:rsidRDefault="000E1E46" w:rsidP="00E95534">
            <w:pPr>
              <w:ind w:right="353"/>
              <w:jc w:val="right"/>
              <w:rPr>
                <w:sz w:val="16"/>
                <w:szCs w:val="16"/>
              </w:rPr>
            </w:pPr>
            <w:r w:rsidRPr="00273EC0">
              <w:rPr>
                <w:sz w:val="16"/>
                <w:szCs w:val="16"/>
              </w:rPr>
              <w:t>(838.142.713,95)</w:t>
            </w:r>
          </w:p>
        </w:tc>
        <w:tc>
          <w:tcPr>
            <w:tcW w:w="1182" w:type="pct"/>
            <w:vAlign w:val="center"/>
          </w:tcPr>
          <w:p w14:paraId="5C60CCA9" w14:textId="77777777" w:rsidR="000E1E46" w:rsidRPr="00F52899" w:rsidRDefault="000E1E46" w:rsidP="00E95534">
            <w:pPr>
              <w:ind w:right="353"/>
              <w:jc w:val="right"/>
              <w:rPr>
                <w:sz w:val="16"/>
                <w:szCs w:val="16"/>
              </w:rPr>
            </w:pPr>
            <w:r w:rsidRPr="00F52899">
              <w:rPr>
                <w:sz w:val="16"/>
                <w:szCs w:val="16"/>
              </w:rPr>
              <w:t>488,812,796.48</w:t>
            </w:r>
          </w:p>
        </w:tc>
      </w:tr>
      <w:tr w:rsidR="000E1E46" w:rsidRPr="00F52899" w14:paraId="2E7CDE6C" w14:textId="77777777" w:rsidTr="00E95534">
        <w:trPr>
          <w:trHeight w:val="255"/>
          <w:jc w:val="center"/>
        </w:trPr>
        <w:tc>
          <w:tcPr>
            <w:tcW w:w="325" w:type="pct"/>
            <w:noWrap/>
            <w:vAlign w:val="center"/>
            <w:hideMark/>
          </w:tcPr>
          <w:p w14:paraId="565DC789" w14:textId="77777777" w:rsidR="000E1E46" w:rsidRPr="00273EC0" w:rsidRDefault="000E1E46" w:rsidP="00E95534">
            <w:pPr>
              <w:jc w:val="right"/>
              <w:rPr>
                <w:sz w:val="16"/>
                <w:szCs w:val="16"/>
              </w:rPr>
            </w:pPr>
            <w:r w:rsidRPr="00273EC0">
              <w:rPr>
                <w:sz w:val="16"/>
                <w:szCs w:val="16"/>
              </w:rPr>
              <w:t>2003</w:t>
            </w:r>
          </w:p>
        </w:tc>
        <w:tc>
          <w:tcPr>
            <w:tcW w:w="1155" w:type="pct"/>
            <w:noWrap/>
            <w:vAlign w:val="center"/>
            <w:hideMark/>
          </w:tcPr>
          <w:p w14:paraId="66BCB60C" w14:textId="77777777" w:rsidR="000E1E46" w:rsidRPr="00273EC0" w:rsidRDefault="000E1E46" w:rsidP="00E95534">
            <w:pPr>
              <w:tabs>
                <w:tab w:val="left" w:pos="2226"/>
              </w:tabs>
              <w:ind w:right="406"/>
              <w:jc w:val="right"/>
              <w:rPr>
                <w:sz w:val="16"/>
                <w:szCs w:val="16"/>
              </w:rPr>
            </w:pPr>
            <w:r w:rsidRPr="00273EC0">
              <w:rPr>
                <w:sz w:val="16"/>
                <w:szCs w:val="16"/>
              </w:rPr>
              <w:t>19.914.464.526,71</w:t>
            </w:r>
          </w:p>
        </w:tc>
        <w:tc>
          <w:tcPr>
            <w:tcW w:w="1155" w:type="pct"/>
            <w:noWrap/>
            <w:vAlign w:val="center"/>
            <w:hideMark/>
          </w:tcPr>
          <w:p w14:paraId="70A0DE0C" w14:textId="77777777" w:rsidR="000E1E46" w:rsidRPr="00273EC0" w:rsidRDefault="000E1E46" w:rsidP="00E95534">
            <w:pPr>
              <w:tabs>
                <w:tab w:val="left" w:pos="2226"/>
              </w:tabs>
              <w:ind w:right="490"/>
              <w:jc w:val="right"/>
              <w:rPr>
                <w:sz w:val="16"/>
                <w:szCs w:val="16"/>
              </w:rPr>
            </w:pPr>
            <w:r w:rsidRPr="00273EC0">
              <w:rPr>
                <w:sz w:val="16"/>
                <w:szCs w:val="16"/>
              </w:rPr>
              <w:t>20.263.459.410,28</w:t>
            </w:r>
          </w:p>
        </w:tc>
        <w:tc>
          <w:tcPr>
            <w:tcW w:w="1182" w:type="pct"/>
            <w:noWrap/>
            <w:vAlign w:val="center"/>
            <w:hideMark/>
          </w:tcPr>
          <w:p w14:paraId="66735D94" w14:textId="77777777" w:rsidR="000E1E46" w:rsidRPr="00273EC0" w:rsidRDefault="000E1E46" w:rsidP="00E95534">
            <w:pPr>
              <w:ind w:right="353"/>
              <w:jc w:val="right"/>
              <w:rPr>
                <w:sz w:val="16"/>
                <w:szCs w:val="16"/>
              </w:rPr>
            </w:pPr>
            <w:r w:rsidRPr="00273EC0">
              <w:rPr>
                <w:sz w:val="16"/>
                <w:szCs w:val="16"/>
              </w:rPr>
              <w:t>(348.994.883,57)</w:t>
            </w:r>
          </w:p>
        </w:tc>
        <w:tc>
          <w:tcPr>
            <w:tcW w:w="1182" w:type="pct"/>
            <w:vAlign w:val="center"/>
          </w:tcPr>
          <w:p w14:paraId="72D9F445" w14:textId="77777777" w:rsidR="000E1E46" w:rsidRPr="00F52899" w:rsidRDefault="000E1E46" w:rsidP="00E95534">
            <w:pPr>
              <w:ind w:right="353"/>
              <w:jc w:val="right"/>
              <w:rPr>
                <w:sz w:val="16"/>
                <w:szCs w:val="16"/>
              </w:rPr>
            </w:pPr>
            <w:r w:rsidRPr="00F52899">
              <w:rPr>
                <w:sz w:val="16"/>
                <w:szCs w:val="16"/>
              </w:rPr>
              <w:t>991,392,259.31</w:t>
            </w:r>
          </w:p>
        </w:tc>
      </w:tr>
      <w:tr w:rsidR="000E1E46" w:rsidRPr="00F52899" w14:paraId="3FA02C68" w14:textId="77777777" w:rsidTr="00E95534">
        <w:trPr>
          <w:trHeight w:val="255"/>
          <w:jc w:val="center"/>
        </w:trPr>
        <w:tc>
          <w:tcPr>
            <w:tcW w:w="325" w:type="pct"/>
            <w:noWrap/>
            <w:vAlign w:val="center"/>
            <w:hideMark/>
          </w:tcPr>
          <w:p w14:paraId="076DA9AF" w14:textId="77777777" w:rsidR="000E1E46" w:rsidRPr="00273EC0" w:rsidRDefault="000E1E46" w:rsidP="00E95534">
            <w:pPr>
              <w:jc w:val="right"/>
              <w:rPr>
                <w:sz w:val="16"/>
                <w:szCs w:val="16"/>
              </w:rPr>
            </w:pPr>
            <w:r w:rsidRPr="00273EC0">
              <w:rPr>
                <w:sz w:val="16"/>
                <w:szCs w:val="16"/>
              </w:rPr>
              <w:t>2004</w:t>
            </w:r>
          </w:p>
        </w:tc>
        <w:tc>
          <w:tcPr>
            <w:tcW w:w="1155" w:type="pct"/>
            <w:noWrap/>
            <w:vAlign w:val="center"/>
            <w:hideMark/>
          </w:tcPr>
          <w:p w14:paraId="151346E3" w14:textId="77777777" w:rsidR="000E1E46" w:rsidRPr="00273EC0" w:rsidRDefault="000E1E46" w:rsidP="00E95534">
            <w:pPr>
              <w:tabs>
                <w:tab w:val="left" w:pos="2226"/>
              </w:tabs>
              <w:ind w:right="406"/>
              <w:jc w:val="right"/>
              <w:rPr>
                <w:sz w:val="16"/>
                <w:szCs w:val="16"/>
              </w:rPr>
            </w:pPr>
            <w:r w:rsidRPr="00273EC0">
              <w:rPr>
                <w:sz w:val="16"/>
                <w:szCs w:val="16"/>
              </w:rPr>
              <w:t>21.817.258.709,37</w:t>
            </w:r>
          </w:p>
        </w:tc>
        <w:tc>
          <w:tcPr>
            <w:tcW w:w="1155" w:type="pct"/>
            <w:noWrap/>
            <w:vAlign w:val="center"/>
            <w:hideMark/>
          </w:tcPr>
          <w:p w14:paraId="1F9341AB" w14:textId="77777777" w:rsidR="000E1E46" w:rsidRPr="00273EC0" w:rsidRDefault="000E1E46" w:rsidP="00E95534">
            <w:pPr>
              <w:tabs>
                <w:tab w:val="left" w:pos="2226"/>
              </w:tabs>
              <w:ind w:right="490"/>
              <w:jc w:val="right"/>
              <w:rPr>
                <w:sz w:val="16"/>
                <w:szCs w:val="16"/>
              </w:rPr>
            </w:pPr>
            <w:r w:rsidRPr="00273EC0">
              <w:rPr>
                <w:sz w:val="16"/>
                <w:szCs w:val="16"/>
              </w:rPr>
              <w:t>21.726.608.097,05</w:t>
            </w:r>
          </w:p>
        </w:tc>
        <w:tc>
          <w:tcPr>
            <w:tcW w:w="1182" w:type="pct"/>
            <w:noWrap/>
            <w:vAlign w:val="center"/>
            <w:hideMark/>
          </w:tcPr>
          <w:p w14:paraId="6F4AF05F" w14:textId="77777777" w:rsidR="000E1E46" w:rsidRPr="00273EC0" w:rsidRDefault="000E1E46" w:rsidP="00E95534">
            <w:pPr>
              <w:ind w:right="353"/>
              <w:jc w:val="right"/>
              <w:rPr>
                <w:sz w:val="16"/>
                <w:szCs w:val="16"/>
              </w:rPr>
            </w:pPr>
            <w:r w:rsidRPr="00273EC0">
              <w:rPr>
                <w:sz w:val="16"/>
                <w:szCs w:val="16"/>
              </w:rPr>
              <w:t>90.650.612,32</w:t>
            </w:r>
          </w:p>
        </w:tc>
        <w:tc>
          <w:tcPr>
            <w:tcW w:w="1182" w:type="pct"/>
            <w:vAlign w:val="center"/>
          </w:tcPr>
          <w:p w14:paraId="28F44FA5" w14:textId="77777777" w:rsidR="000E1E46" w:rsidRPr="00F52899" w:rsidRDefault="000E1E46" w:rsidP="00E95534">
            <w:pPr>
              <w:ind w:right="353"/>
              <w:jc w:val="right"/>
              <w:rPr>
                <w:sz w:val="16"/>
                <w:szCs w:val="16"/>
              </w:rPr>
            </w:pPr>
            <w:r w:rsidRPr="00F52899">
              <w:rPr>
                <w:sz w:val="16"/>
                <w:szCs w:val="16"/>
              </w:rPr>
              <w:t>1,523,274,486.72</w:t>
            </w:r>
          </w:p>
        </w:tc>
      </w:tr>
      <w:tr w:rsidR="000E1E46" w:rsidRPr="00F52899" w14:paraId="08A88BB0" w14:textId="77777777" w:rsidTr="00E95534">
        <w:trPr>
          <w:trHeight w:val="255"/>
          <w:jc w:val="center"/>
        </w:trPr>
        <w:tc>
          <w:tcPr>
            <w:tcW w:w="325" w:type="pct"/>
            <w:noWrap/>
            <w:vAlign w:val="center"/>
            <w:hideMark/>
          </w:tcPr>
          <w:p w14:paraId="7ED465D9" w14:textId="77777777" w:rsidR="000E1E46" w:rsidRPr="00273EC0" w:rsidRDefault="000E1E46" w:rsidP="00E95534">
            <w:pPr>
              <w:jc w:val="right"/>
              <w:rPr>
                <w:sz w:val="16"/>
                <w:szCs w:val="16"/>
              </w:rPr>
            </w:pPr>
            <w:r w:rsidRPr="00273EC0">
              <w:rPr>
                <w:sz w:val="16"/>
                <w:szCs w:val="16"/>
              </w:rPr>
              <w:t>2005</w:t>
            </w:r>
          </w:p>
        </w:tc>
        <w:tc>
          <w:tcPr>
            <w:tcW w:w="1155" w:type="pct"/>
            <w:noWrap/>
            <w:vAlign w:val="center"/>
            <w:hideMark/>
          </w:tcPr>
          <w:p w14:paraId="35542E65" w14:textId="77777777" w:rsidR="000E1E46" w:rsidRPr="00273EC0" w:rsidRDefault="000E1E46" w:rsidP="00E95534">
            <w:pPr>
              <w:tabs>
                <w:tab w:val="left" w:pos="2226"/>
              </w:tabs>
              <w:ind w:right="406"/>
              <w:jc w:val="right"/>
              <w:rPr>
                <w:sz w:val="16"/>
                <w:szCs w:val="16"/>
              </w:rPr>
            </w:pPr>
            <w:r w:rsidRPr="00273EC0">
              <w:rPr>
                <w:sz w:val="16"/>
                <w:szCs w:val="16"/>
              </w:rPr>
              <w:t>25.513.724.170,28</w:t>
            </w:r>
          </w:p>
        </w:tc>
        <w:tc>
          <w:tcPr>
            <w:tcW w:w="1155" w:type="pct"/>
            <w:noWrap/>
            <w:vAlign w:val="center"/>
            <w:hideMark/>
          </w:tcPr>
          <w:p w14:paraId="79849634" w14:textId="77777777" w:rsidR="000E1E46" w:rsidRPr="00273EC0" w:rsidRDefault="000E1E46" w:rsidP="00E95534">
            <w:pPr>
              <w:tabs>
                <w:tab w:val="left" w:pos="2226"/>
              </w:tabs>
              <w:ind w:right="490"/>
              <w:jc w:val="right"/>
              <w:rPr>
                <w:sz w:val="16"/>
                <w:szCs w:val="16"/>
              </w:rPr>
            </w:pPr>
            <w:r w:rsidRPr="00273EC0">
              <w:rPr>
                <w:sz w:val="16"/>
                <w:szCs w:val="16"/>
              </w:rPr>
              <w:t>25.292.069.834,95</w:t>
            </w:r>
          </w:p>
        </w:tc>
        <w:tc>
          <w:tcPr>
            <w:tcW w:w="1182" w:type="pct"/>
            <w:noWrap/>
            <w:vAlign w:val="center"/>
            <w:hideMark/>
          </w:tcPr>
          <w:p w14:paraId="6E834DF6" w14:textId="77777777" w:rsidR="000E1E46" w:rsidRPr="00273EC0" w:rsidRDefault="000E1E46" w:rsidP="00E95534">
            <w:pPr>
              <w:ind w:right="353"/>
              <w:jc w:val="right"/>
              <w:rPr>
                <w:sz w:val="16"/>
                <w:szCs w:val="16"/>
              </w:rPr>
            </w:pPr>
            <w:r w:rsidRPr="00273EC0">
              <w:rPr>
                <w:sz w:val="16"/>
                <w:szCs w:val="16"/>
              </w:rPr>
              <w:t>221.654.335,33</w:t>
            </w:r>
          </w:p>
        </w:tc>
        <w:tc>
          <w:tcPr>
            <w:tcW w:w="1182" w:type="pct"/>
            <w:vAlign w:val="center"/>
          </w:tcPr>
          <w:p w14:paraId="3E52C6FC" w14:textId="77777777" w:rsidR="000E1E46" w:rsidRPr="00F52899" w:rsidRDefault="000E1E46" w:rsidP="00E95534">
            <w:pPr>
              <w:ind w:right="353"/>
              <w:jc w:val="right"/>
              <w:rPr>
                <w:sz w:val="16"/>
                <w:szCs w:val="16"/>
              </w:rPr>
            </w:pPr>
            <w:r w:rsidRPr="00F52899">
              <w:rPr>
                <w:sz w:val="16"/>
                <w:szCs w:val="16"/>
              </w:rPr>
              <w:t>1,928,250,358.57</w:t>
            </w:r>
          </w:p>
        </w:tc>
      </w:tr>
      <w:tr w:rsidR="000E1E46" w:rsidRPr="00F52899" w14:paraId="304B1589" w14:textId="77777777" w:rsidTr="00E95534">
        <w:trPr>
          <w:trHeight w:val="255"/>
          <w:jc w:val="center"/>
        </w:trPr>
        <w:tc>
          <w:tcPr>
            <w:tcW w:w="325" w:type="pct"/>
            <w:noWrap/>
            <w:vAlign w:val="center"/>
            <w:hideMark/>
          </w:tcPr>
          <w:p w14:paraId="4503A61F" w14:textId="77777777" w:rsidR="000E1E46" w:rsidRPr="00273EC0" w:rsidRDefault="000E1E46" w:rsidP="00E95534">
            <w:pPr>
              <w:jc w:val="right"/>
              <w:rPr>
                <w:sz w:val="16"/>
                <w:szCs w:val="16"/>
              </w:rPr>
            </w:pPr>
            <w:r w:rsidRPr="00273EC0">
              <w:rPr>
                <w:sz w:val="16"/>
                <w:szCs w:val="16"/>
              </w:rPr>
              <w:t>2006</w:t>
            </w:r>
          </w:p>
        </w:tc>
        <w:tc>
          <w:tcPr>
            <w:tcW w:w="1155" w:type="pct"/>
            <w:noWrap/>
            <w:vAlign w:val="center"/>
            <w:hideMark/>
          </w:tcPr>
          <w:p w14:paraId="3808BC2B" w14:textId="77777777" w:rsidR="000E1E46" w:rsidRPr="00273EC0" w:rsidRDefault="000E1E46" w:rsidP="00E95534">
            <w:pPr>
              <w:tabs>
                <w:tab w:val="left" w:pos="2226"/>
              </w:tabs>
              <w:ind w:right="406"/>
              <w:jc w:val="right"/>
              <w:rPr>
                <w:sz w:val="16"/>
                <w:szCs w:val="16"/>
              </w:rPr>
            </w:pPr>
            <w:r w:rsidRPr="00273EC0">
              <w:rPr>
                <w:sz w:val="16"/>
                <w:szCs w:val="16"/>
              </w:rPr>
              <w:t>29.099.915.698,15</w:t>
            </w:r>
          </w:p>
        </w:tc>
        <w:tc>
          <w:tcPr>
            <w:tcW w:w="1155" w:type="pct"/>
            <w:noWrap/>
            <w:vAlign w:val="center"/>
            <w:hideMark/>
          </w:tcPr>
          <w:p w14:paraId="42278D58" w14:textId="77777777" w:rsidR="000E1E46" w:rsidRPr="00273EC0" w:rsidRDefault="000E1E46" w:rsidP="00E95534">
            <w:pPr>
              <w:tabs>
                <w:tab w:val="left" w:pos="2226"/>
              </w:tabs>
              <w:ind w:right="490"/>
              <w:jc w:val="right"/>
              <w:rPr>
                <w:sz w:val="16"/>
                <w:szCs w:val="16"/>
              </w:rPr>
            </w:pPr>
            <w:r w:rsidRPr="00273EC0">
              <w:rPr>
                <w:sz w:val="16"/>
                <w:szCs w:val="16"/>
              </w:rPr>
              <w:t>29.018.789.168,21</w:t>
            </w:r>
          </w:p>
        </w:tc>
        <w:tc>
          <w:tcPr>
            <w:tcW w:w="1182" w:type="pct"/>
            <w:noWrap/>
            <w:vAlign w:val="center"/>
            <w:hideMark/>
          </w:tcPr>
          <w:p w14:paraId="02664D01" w14:textId="77777777" w:rsidR="000E1E46" w:rsidRPr="00273EC0" w:rsidRDefault="000E1E46" w:rsidP="00E95534">
            <w:pPr>
              <w:ind w:right="353"/>
              <w:jc w:val="right"/>
              <w:rPr>
                <w:sz w:val="16"/>
                <w:szCs w:val="16"/>
              </w:rPr>
            </w:pPr>
            <w:r w:rsidRPr="00273EC0">
              <w:rPr>
                <w:sz w:val="16"/>
                <w:szCs w:val="16"/>
              </w:rPr>
              <w:t>81.126.529,94</w:t>
            </w:r>
          </w:p>
        </w:tc>
        <w:tc>
          <w:tcPr>
            <w:tcW w:w="1182" w:type="pct"/>
            <w:vAlign w:val="center"/>
          </w:tcPr>
          <w:p w14:paraId="29A4BF49" w14:textId="77777777" w:rsidR="000E1E46" w:rsidRPr="00F52899" w:rsidRDefault="000E1E46" w:rsidP="00E95534">
            <w:pPr>
              <w:ind w:right="353"/>
              <w:jc w:val="right"/>
              <w:rPr>
                <w:sz w:val="16"/>
                <w:szCs w:val="16"/>
              </w:rPr>
            </w:pPr>
            <w:r w:rsidRPr="00F52899">
              <w:rPr>
                <w:sz w:val="16"/>
                <w:szCs w:val="16"/>
              </w:rPr>
              <w:t>1,937,265,184.29</w:t>
            </w:r>
          </w:p>
        </w:tc>
      </w:tr>
      <w:tr w:rsidR="000E1E46" w:rsidRPr="00F52899" w14:paraId="35F32B48" w14:textId="77777777" w:rsidTr="00E95534">
        <w:trPr>
          <w:trHeight w:val="255"/>
          <w:jc w:val="center"/>
        </w:trPr>
        <w:tc>
          <w:tcPr>
            <w:tcW w:w="325" w:type="pct"/>
            <w:noWrap/>
            <w:vAlign w:val="center"/>
            <w:hideMark/>
          </w:tcPr>
          <w:p w14:paraId="4B85F439" w14:textId="77777777" w:rsidR="000E1E46" w:rsidRPr="00273EC0" w:rsidRDefault="000E1E46" w:rsidP="00E95534">
            <w:pPr>
              <w:jc w:val="right"/>
              <w:rPr>
                <w:sz w:val="16"/>
                <w:szCs w:val="16"/>
              </w:rPr>
            </w:pPr>
            <w:r w:rsidRPr="00273EC0">
              <w:rPr>
                <w:sz w:val="16"/>
                <w:szCs w:val="16"/>
              </w:rPr>
              <w:t>2007</w:t>
            </w:r>
          </w:p>
        </w:tc>
        <w:tc>
          <w:tcPr>
            <w:tcW w:w="1155" w:type="pct"/>
            <w:noWrap/>
            <w:vAlign w:val="center"/>
            <w:hideMark/>
          </w:tcPr>
          <w:p w14:paraId="6CF7052C" w14:textId="77777777" w:rsidR="000E1E46" w:rsidRPr="00273EC0" w:rsidRDefault="000E1E46" w:rsidP="00E95534">
            <w:pPr>
              <w:tabs>
                <w:tab w:val="left" w:pos="2226"/>
              </w:tabs>
              <w:ind w:right="406"/>
              <w:jc w:val="right"/>
              <w:rPr>
                <w:sz w:val="16"/>
                <w:szCs w:val="16"/>
              </w:rPr>
            </w:pPr>
            <w:r w:rsidRPr="00273EC0">
              <w:rPr>
                <w:sz w:val="16"/>
                <w:szCs w:val="16"/>
              </w:rPr>
              <w:t>32.633.250.437,72</w:t>
            </w:r>
          </w:p>
        </w:tc>
        <w:tc>
          <w:tcPr>
            <w:tcW w:w="1155" w:type="pct"/>
            <w:noWrap/>
            <w:vAlign w:val="center"/>
            <w:hideMark/>
          </w:tcPr>
          <w:p w14:paraId="5B8E5A59" w14:textId="77777777" w:rsidR="000E1E46" w:rsidRPr="00273EC0" w:rsidRDefault="000E1E46" w:rsidP="00E95534">
            <w:pPr>
              <w:tabs>
                <w:tab w:val="left" w:pos="2226"/>
              </w:tabs>
              <w:ind w:right="490"/>
              <w:jc w:val="right"/>
              <w:rPr>
                <w:sz w:val="16"/>
                <w:szCs w:val="16"/>
              </w:rPr>
            </w:pPr>
            <w:r w:rsidRPr="00273EC0">
              <w:rPr>
                <w:sz w:val="16"/>
                <w:szCs w:val="16"/>
              </w:rPr>
              <w:t>32.443.148.300,45</w:t>
            </w:r>
          </w:p>
        </w:tc>
        <w:tc>
          <w:tcPr>
            <w:tcW w:w="1182" w:type="pct"/>
            <w:noWrap/>
            <w:vAlign w:val="center"/>
            <w:hideMark/>
          </w:tcPr>
          <w:p w14:paraId="7F2D01CA" w14:textId="77777777" w:rsidR="000E1E46" w:rsidRPr="00273EC0" w:rsidRDefault="000E1E46" w:rsidP="00E95534">
            <w:pPr>
              <w:ind w:right="353"/>
              <w:jc w:val="right"/>
              <w:rPr>
                <w:sz w:val="16"/>
                <w:szCs w:val="16"/>
              </w:rPr>
            </w:pPr>
            <w:r w:rsidRPr="00273EC0">
              <w:rPr>
                <w:sz w:val="16"/>
                <w:szCs w:val="16"/>
              </w:rPr>
              <w:t>190.102.137,27</w:t>
            </w:r>
          </w:p>
        </w:tc>
        <w:tc>
          <w:tcPr>
            <w:tcW w:w="1182" w:type="pct"/>
            <w:vAlign w:val="center"/>
          </w:tcPr>
          <w:p w14:paraId="7CAA8D14" w14:textId="77777777" w:rsidR="000E1E46" w:rsidRPr="00F52899" w:rsidRDefault="000E1E46" w:rsidP="00E95534">
            <w:pPr>
              <w:ind w:right="353"/>
              <w:jc w:val="right"/>
              <w:rPr>
                <w:sz w:val="16"/>
                <w:szCs w:val="16"/>
              </w:rPr>
            </w:pPr>
            <w:r w:rsidRPr="00F52899">
              <w:rPr>
                <w:sz w:val="16"/>
                <w:szCs w:val="16"/>
              </w:rPr>
              <w:t>2,308,780,268.48</w:t>
            </w:r>
          </w:p>
        </w:tc>
      </w:tr>
      <w:tr w:rsidR="000E1E46" w:rsidRPr="00F52899" w14:paraId="1D359D94" w14:textId="77777777" w:rsidTr="00E95534">
        <w:trPr>
          <w:trHeight w:val="255"/>
          <w:jc w:val="center"/>
        </w:trPr>
        <w:tc>
          <w:tcPr>
            <w:tcW w:w="325" w:type="pct"/>
            <w:noWrap/>
            <w:vAlign w:val="center"/>
            <w:hideMark/>
          </w:tcPr>
          <w:p w14:paraId="4CD03C1A" w14:textId="77777777" w:rsidR="000E1E46" w:rsidRPr="00273EC0" w:rsidRDefault="000E1E46" w:rsidP="00E95534">
            <w:pPr>
              <w:jc w:val="right"/>
              <w:rPr>
                <w:sz w:val="16"/>
                <w:szCs w:val="16"/>
              </w:rPr>
            </w:pPr>
            <w:r w:rsidRPr="00273EC0">
              <w:rPr>
                <w:sz w:val="16"/>
                <w:szCs w:val="16"/>
              </w:rPr>
              <w:t>2008</w:t>
            </w:r>
          </w:p>
        </w:tc>
        <w:tc>
          <w:tcPr>
            <w:tcW w:w="1155" w:type="pct"/>
            <w:noWrap/>
            <w:vAlign w:val="center"/>
            <w:hideMark/>
          </w:tcPr>
          <w:p w14:paraId="6B9E8E34" w14:textId="77777777" w:rsidR="000E1E46" w:rsidRPr="00273EC0" w:rsidRDefault="000E1E46" w:rsidP="00E95534">
            <w:pPr>
              <w:tabs>
                <w:tab w:val="left" w:pos="2226"/>
              </w:tabs>
              <w:ind w:right="406"/>
              <w:jc w:val="right"/>
              <w:rPr>
                <w:sz w:val="16"/>
                <w:szCs w:val="16"/>
              </w:rPr>
            </w:pPr>
            <w:r w:rsidRPr="00273EC0">
              <w:rPr>
                <w:sz w:val="16"/>
                <w:szCs w:val="16"/>
              </w:rPr>
              <w:t>39.923.333.756,02</w:t>
            </w:r>
          </w:p>
        </w:tc>
        <w:tc>
          <w:tcPr>
            <w:tcW w:w="1155" w:type="pct"/>
            <w:noWrap/>
            <w:vAlign w:val="center"/>
            <w:hideMark/>
          </w:tcPr>
          <w:p w14:paraId="3CC25C26" w14:textId="77777777" w:rsidR="000E1E46" w:rsidRPr="00273EC0" w:rsidRDefault="000E1E46" w:rsidP="00E95534">
            <w:pPr>
              <w:tabs>
                <w:tab w:val="left" w:pos="2226"/>
              </w:tabs>
              <w:ind w:right="490"/>
              <w:jc w:val="right"/>
              <w:rPr>
                <w:sz w:val="16"/>
                <w:szCs w:val="16"/>
              </w:rPr>
            </w:pPr>
            <w:r w:rsidRPr="00273EC0">
              <w:rPr>
                <w:sz w:val="16"/>
                <w:szCs w:val="16"/>
              </w:rPr>
              <w:t>39.299.362.850,28</w:t>
            </w:r>
          </w:p>
        </w:tc>
        <w:tc>
          <w:tcPr>
            <w:tcW w:w="1182" w:type="pct"/>
            <w:noWrap/>
            <w:vAlign w:val="center"/>
            <w:hideMark/>
          </w:tcPr>
          <w:p w14:paraId="0755F001" w14:textId="77777777" w:rsidR="000E1E46" w:rsidRPr="00273EC0" w:rsidRDefault="000E1E46" w:rsidP="00E95534">
            <w:pPr>
              <w:ind w:right="353"/>
              <w:jc w:val="right"/>
              <w:rPr>
                <w:sz w:val="16"/>
                <w:szCs w:val="16"/>
              </w:rPr>
            </w:pPr>
            <w:r w:rsidRPr="00273EC0">
              <w:rPr>
                <w:sz w:val="16"/>
                <w:szCs w:val="16"/>
              </w:rPr>
              <w:t>623.970.905,74</w:t>
            </w:r>
          </w:p>
        </w:tc>
        <w:tc>
          <w:tcPr>
            <w:tcW w:w="1182" w:type="pct"/>
            <w:vAlign w:val="center"/>
          </w:tcPr>
          <w:p w14:paraId="06E513CF" w14:textId="77777777" w:rsidR="000E1E46" w:rsidRPr="00F52899" w:rsidRDefault="000E1E46" w:rsidP="00E95534">
            <w:pPr>
              <w:ind w:right="353"/>
              <w:jc w:val="right"/>
              <w:rPr>
                <w:sz w:val="16"/>
                <w:szCs w:val="16"/>
              </w:rPr>
            </w:pPr>
            <w:r w:rsidRPr="00F52899">
              <w:rPr>
                <w:sz w:val="16"/>
                <w:szCs w:val="16"/>
              </w:rPr>
              <w:t>2,971,292,846.25</w:t>
            </w:r>
          </w:p>
        </w:tc>
      </w:tr>
      <w:tr w:rsidR="000E1E46" w:rsidRPr="00F52899" w14:paraId="72682BD0" w14:textId="77777777" w:rsidTr="00E95534">
        <w:trPr>
          <w:trHeight w:val="255"/>
          <w:jc w:val="center"/>
        </w:trPr>
        <w:tc>
          <w:tcPr>
            <w:tcW w:w="325" w:type="pct"/>
            <w:noWrap/>
            <w:vAlign w:val="center"/>
            <w:hideMark/>
          </w:tcPr>
          <w:p w14:paraId="2CEB0524" w14:textId="77777777" w:rsidR="000E1E46" w:rsidRPr="00273EC0" w:rsidRDefault="000E1E46" w:rsidP="00E95534">
            <w:pPr>
              <w:jc w:val="right"/>
              <w:rPr>
                <w:sz w:val="16"/>
                <w:szCs w:val="16"/>
              </w:rPr>
            </w:pPr>
            <w:r w:rsidRPr="00273EC0">
              <w:rPr>
                <w:sz w:val="16"/>
                <w:szCs w:val="16"/>
              </w:rPr>
              <w:t>2009</w:t>
            </w:r>
          </w:p>
        </w:tc>
        <w:tc>
          <w:tcPr>
            <w:tcW w:w="1155" w:type="pct"/>
            <w:noWrap/>
            <w:vAlign w:val="center"/>
            <w:hideMark/>
          </w:tcPr>
          <w:p w14:paraId="4F310FC4" w14:textId="77777777" w:rsidR="000E1E46" w:rsidRPr="00273EC0" w:rsidRDefault="000E1E46" w:rsidP="00E95534">
            <w:pPr>
              <w:tabs>
                <w:tab w:val="left" w:pos="2226"/>
              </w:tabs>
              <w:ind w:right="406"/>
              <w:jc w:val="right"/>
              <w:rPr>
                <w:sz w:val="16"/>
                <w:szCs w:val="16"/>
              </w:rPr>
            </w:pPr>
            <w:r w:rsidRPr="00273EC0">
              <w:rPr>
                <w:sz w:val="16"/>
                <w:szCs w:val="16"/>
              </w:rPr>
              <w:t>40.562.697.633,33</w:t>
            </w:r>
          </w:p>
        </w:tc>
        <w:tc>
          <w:tcPr>
            <w:tcW w:w="1155" w:type="pct"/>
            <w:noWrap/>
            <w:vAlign w:val="center"/>
            <w:hideMark/>
          </w:tcPr>
          <w:p w14:paraId="2836BC4E" w14:textId="77777777" w:rsidR="000E1E46" w:rsidRPr="00273EC0" w:rsidRDefault="000E1E46" w:rsidP="00E95534">
            <w:pPr>
              <w:tabs>
                <w:tab w:val="left" w:pos="2226"/>
              </w:tabs>
              <w:ind w:right="490"/>
              <w:jc w:val="right"/>
              <w:rPr>
                <w:sz w:val="16"/>
                <w:szCs w:val="16"/>
              </w:rPr>
            </w:pPr>
            <w:r w:rsidRPr="00273EC0">
              <w:rPr>
                <w:sz w:val="16"/>
                <w:szCs w:val="16"/>
              </w:rPr>
              <w:t>40.263.460.915,06</w:t>
            </w:r>
          </w:p>
        </w:tc>
        <w:tc>
          <w:tcPr>
            <w:tcW w:w="1182" w:type="pct"/>
            <w:noWrap/>
            <w:vAlign w:val="center"/>
            <w:hideMark/>
          </w:tcPr>
          <w:p w14:paraId="56E2B79A" w14:textId="77777777" w:rsidR="000E1E46" w:rsidRPr="00273EC0" w:rsidRDefault="000E1E46" w:rsidP="00E95534">
            <w:pPr>
              <w:ind w:right="353"/>
              <w:jc w:val="right"/>
              <w:rPr>
                <w:sz w:val="16"/>
                <w:szCs w:val="16"/>
              </w:rPr>
            </w:pPr>
            <w:r w:rsidRPr="00273EC0">
              <w:rPr>
                <w:sz w:val="16"/>
                <w:szCs w:val="16"/>
              </w:rPr>
              <w:t>299.236.718,27</w:t>
            </w:r>
          </w:p>
        </w:tc>
        <w:tc>
          <w:tcPr>
            <w:tcW w:w="1182" w:type="pct"/>
            <w:vAlign w:val="center"/>
          </w:tcPr>
          <w:p w14:paraId="52AA82C9" w14:textId="77777777" w:rsidR="000E1E46" w:rsidRPr="00F52899" w:rsidRDefault="000E1E46" w:rsidP="00E95534">
            <w:pPr>
              <w:ind w:right="353"/>
              <w:jc w:val="right"/>
              <w:rPr>
                <w:sz w:val="16"/>
                <w:szCs w:val="16"/>
              </w:rPr>
            </w:pPr>
            <w:r w:rsidRPr="00F52899">
              <w:rPr>
                <w:sz w:val="16"/>
                <w:szCs w:val="16"/>
              </w:rPr>
              <w:t>1,732,670,988.08</w:t>
            </w:r>
          </w:p>
        </w:tc>
      </w:tr>
      <w:tr w:rsidR="000E1E46" w:rsidRPr="00F52899" w14:paraId="0C031129" w14:textId="77777777" w:rsidTr="00E95534">
        <w:trPr>
          <w:trHeight w:val="255"/>
          <w:jc w:val="center"/>
        </w:trPr>
        <w:tc>
          <w:tcPr>
            <w:tcW w:w="325" w:type="pct"/>
            <w:noWrap/>
            <w:vAlign w:val="center"/>
            <w:hideMark/>
          </w:tcPr>
          <w:p w14:paraId="2165BFC1" w14:textId="77777777" w:rsidR="000E1E46" w:rsidRPr="00273EC0" w:rsidRDefault="000E1E46" w:rsidP="00E95534">
            <w:pPr>
              <w:jc w:val="right"/>
              <w:rPr>
                <w:sz w:val="16"/>
                <w:szCs w:val="16"/>
              </w:rPr>
            </w:pPr>
            <w:r w:rsidRPr="00273EC0">
              <w:rPr>
                <w:sz w:val="16"/>
                <w:szCs w:val="16"/>
              </w:rPr>
              <w:t>2010</w:t>
            </w:r>
          </w:p>
        </w:tc>
        <w:tc>
          <w:tcPr>
            <w:tcW w:w="1155" w:type="pct"/>
            <w:noWrap/>
            <w:vAlign w:val="center"/>
            <w:hideMark/>
          </w:tcPr>
          <w:p w14:paraId="577A05E2" w14:textId="77777777" w:rsidR="000E1E46" w:rsidRPr="00273EC0" w:rsidRDefault="000E1E46" w:rsidP="00E95534">
            <w:pPr>
              <w:tabs>
                <w:tab w:val="left" w:pos="2226"/>
              </w:tabs>
              <w:ind w:right="406"/>
              <w:jc w:val="right"/>
              <w:rPr>
                <w:sz w:val="16"/>
                <w:szCs w:val="16"/>
              </w:rPr>
            </w:pPr>
            <w:r w:rsidRPr="00273EC0">
              <w:rPr>
                <w:sz w:val="16"/>
                <w:szCs w:val="16"/>
              </w:rPr>
              <w:t>46.617.953.365,77</w:t>
            </w:r>
          </w:p>
        </w:tc>
        <w:tc>
          <w:tcPr>
            <w:tcW w:w="1155" w:type="pct"/>
            <w:noWrap/>
            <w:vAlign w:val="center"/>
            <w:hideMark/>
          </w:tcPr>
          <w:p w14:paraId="7F40A6D5" w14:textId="77777777" w:rsidR="000E1E46" w:rsidRPr="00273EC0" w:rsidRDefault="000E1E46" w:rsidP="00E95534">
            <w:pPr>
              <w:tabs>
                <w:tab w:val="left" w:pos="2226"/>
              </w:tabs>
              <w:ind w:right="490"/>
              <w:jc w:val="right"/>
              <w:rPr>
                <w:sz w:val="16"/>
                <w:szCs w:val="16"/>
              </w:rPr>
            </w:pPr>
            <w:r w:rsidRPr="00273EC0">
              <w:rPr>
                <w:sz w:val="16"/>
                <w:szCs w:val="16"/>
              </w:rPr>
              <w:t>46.051.174.100,08</w:t>
            </w:r>
          </w:p>
        </w:tc>
        <w:tc>
          <w:tcPr>
            <w:tcW w:w="1182" w:type="pct"/>
            <w:noWrap/>
            <w:vAlign w:val="center"/>
            <w:hideMark/>
          </w:tcPr>
          <w:p w14:paraId="6E4D439E" w14:textId="77777777" w:rsidR="000E1E46" w:rsidRPr="00273EC0" w:rsidRDefault="000E1E46" w:rsidP="00E95534">
            <w:pPr>
              <w:ind w:right="353"/>
              <w:jc w:val="right"/>
              <w:rPr>
                <w:sz w:val="16"/>
                <w:szCs w:val="16"/>
              </w:rPr>
            </w:pPr>
            <w:r w:rsidRPr="00273EC0">
              <w:rPr>
                <w:sz w:val="16"/>
                <w:szCs w:val="16"/>
              </w:rPr>
              <w:t>566.779.265,69</w:t>
            </w:r>
          </w:p>
        </w:tc>
        <w:tc>
          <w:tcPr>
            <w:tcW w:w="1182" w:type="pct"/>
            <w:vAlign w:val="center"/>
          </w:tcPr>
          <w:p w14:paraId="2528098C" w14:textId="77777777" w:rsidR="000E1E46" w:rsidRPr="00F52899" w:rsidRDefault="000E1E46" w:rsidP="00E95534">
            <w:pPr>
              <w:ind w:right="353"/>
              <w:jc w:val="right"/>
              <w:rPr>
                <w:sz w:val="16"/>
                <w:szCs w:val="16"/>
              </w:rPr>
            </w:pPr>
            <w:r w:rsidRPr="00F52899">
              <w:rPr>
                <w:sz w:val="16"/>
                <w:szCs w:val="16"/>
              </w:rPr>
              <w:t>1,851,098,933.58</w:t>
            </w:r>
          </w:p>
        </w:tc>
      </w:tr>
      <w:tr w:rsidR="000E1E46" w:rsidRPr="00F52899" w14:paraId="0F0FB953" w14:textId="77777777" w:rsidTr="00E95534">
        <w:trPr>
          <w:trHeight w:val="255"/>
          <w:jc w:val="center"/>
        </w:trPr>
        <w:tc>
          <w:tcPr>
            <w:tcW w:w="325" w:type="pct"/>
            <w:noWrap/>
            <w:vAlign w:val="center"/>
            <w:hideMark/>
          </w:tcPr>
          <w:p w14:paraId="6CB60871" w14:textId="77777777" w:rsidR="000E1E46" w:rsidRPr="00273EC0" w:rsidRDefault="000E1E46" w:rsidP="00E95534">
            <w:pPr>
              <w:jc w:val="right"/>
              <w:rPr>
                <w:sz w:val="16"/>
                <w:szCs w:val="16"/>
              </w:rPr>
            </w:pPr>
            <w:r w:rsidRPr="00273EC0">
              <w:rPr>
                <w:sz w:val="16"/>
                <w:szCs w:val="16"/>
              </w:rPr>
              <w:t>2011</w:t>
            </w:r>
          </w:p>
        </w:tc>
        <w:tc>
          <w:tcPr>
            <w:tcW w:w="1155" w:type="pct"/>
            <w:noWrap/>
            <w:vAlign w:val="center"/>
            <w:hideMark/>
          </w:tcPr>
          <w:p w14:paraId="1E6EB9E2" w14:textId="77777777" w:rsidR="000E1E46" w:rsidRPr="00273EC0" w:rsidRDefault="000E1E46" w:rsidP="00E95534">
            <w:pPr>
              <w:tabs>
                <w:tab w:val="left" w:pos="2226"/>
              </w:tabs>
              <w:ind w:right="406"/>
              <w:jc w:val="right"/>
              <w:rPr>
                <w:sz w:val="16"/>
                <w:szCs w:val="16"/>
              </w:rPr>
            </w:pPr>
            <w:r w:rsidRPr="00273EC0">
              <w:rPr>
                <w:sz w:val="16"/>
                <w:szCs w:val="16"/>
              </w:rPr>
              <w:t>54.844.453.661,49</w:t>
            </w:r>
          </w:p>
        </w:tc>
        <w:tc>
          <w:tcPr>
            <w:tcW w:w="1155" w:type="pct"/>
            <w:noWrap/>
            <w:vAlign w:val="center"/>
            <w:hideMark/>
          </w:tcPr>
          <w:p w14:paraId="18DDDD0F" w14:textId="77777777" w:rsidR="000E1E46" w:rsidRPr="00273EC0" w:rsidRDefault="000E1E46" w:rsidP="00E95534">
            <w:pPr>
              <w:tabs>
                <w:tab w:val="left" w:pos="2226"/>
              </w:tabs>
              <w:ind w:right="490"/>
              <w:jc w:val="right"/>
              <w:rPr>
                <w:sz w:val="16"/>
                <w:szCs w:val="16"/>
              </w:rPr>
            </w:pPr>
            <w:r w:rsidRPr="00273EC0">
              <w:rPr>
                <w:sz w:val="16"/>
                <w:szCs w:val="16"/>
              </w:rPr>
              <w:t>54.693.566.620,55</w:t>
            </w:r>
          </w:p>
        </w:tc>
        <w:tc>
          <w:tcPr>
            <w:tcW w:w="1182" w:type="pct"/>
            <w:noWrap/>
            <w:vAlign w:val="center"/>
            <w:hideMark/>
          </w:tcPr>
          <w:p w14:paraId="127646A5" w14:textId="77777777" w:rsidR="000E1E46" w:rsidRPr="00273EC0" w:rsidRDefault="000E1E46" w:rsidP="00E95534">
            <w:pPr>
              <w:ind w:right="353"/>
              <w:jc w:val="right"/>
              <w:rPr>
                <w:sz w:val="16"/>
                <w:szCs w:val="16"/>
              </w:rPr>
            </w:pPr>
            <w:r w:rsidRPr="00273EC0">
              <w:rPr>
                <w:sz w:val="16"/>
                <w:szCs w:val="16"/>
              </w:rPr>
              <w:t>150.887.040,94</w:t>
            </w:r>
          </w:p>
        </w:tc>
        <w:tc>
          <w:tcPr>
            <w:tcW w:w="1182" w:type="pct"/>
            <w:vAlign w:val="center"/>
          </w:tcPr>
          <w:p w14:paraId="5E80D246" w14:textId="77777777" w:rsidR="000E1E46" w:rsidRPr="00F52899" w:rsidRDefault="000E1E46" w:rsidP="00E95534">
            <w:pPr>
              <w:ind w:right="353"/>
              <w:jc w:val="right"/>
              <w:rPr>
                <w:sz w:val="16"/>
                <w:szCs w:val="16"/>
              </w:rPr>
            </w:pPr>
            <w:r w:rsidRPr="00F52899">
              <w:rPr>
                <w:sz w:val="16"/>
                <w:szCs w:val="16"/>
              </w:rPr>
              <w:t>2,756,656,223.90</w:t>
            </w:r>
          </w:p>
        </w:tc>
      </w:tr>
      <w:tr w:rsidR="000E1E46" w:rsidRPr="00F52899" w14:paraId="713FC990" w14:textId="77777777" w:rsidTr="00E95534">
        <w:trPr>
          <w:trHeight w:val="255"/>
          <w:jc w:val="center"/>
        </w:trPr>
        <w:tc>
          <w:tcPr>
            <w:tcW w:w="325" w:type="pct"/>
            <w:noWrap/>
            <w:vAlign w:val="center"/>
            <w:hideMark/>
          </w:tcPr>
          <w:p w14:paraId="69455C39" w14:textId="77777777" w:rsidR="000E1E46" w:rsidRPr="00273EC0" w:rsidRDefault="000E1E46" w:rsidP="00E95534">
            <w:pPr>
              <w:jc w:val="right"/>
              <w:rPr>
                <w:sz w:val="16"/>
                <w:szCs w:val="16"/>
              </w:rPr>
            </w:pPr>
            <w:r w:rsidRPr="00273EC0">
              <w:rPr>
                <w:sz w:val="16"/>
                <w:szCs w:val="16"/>
              </w:rPr>
              <w:t>2012</w:t>
            </w:r>
          </w:p>
        </w:tc>
        <w:tc>
          <w:tcPr>
            <w:tcW w:w="1155" w:type="pct"/>
            <w:noWrap/>
            <w:vAlign w:val="center"/>
            <w:hideMark/>
          </w:tcPr>
          <w:p w14:paraId="24EFE3F4" w14:textId="77777777" w:rsidR="000E1E46" w:rsidRPr="00273EC0" w:rsidRDefault="000E1E46" w:rsidP="00E95534">
            <w:pPr>
              <w:tabs>
                <w:tab w:val="left" w:pos="2226"/>
              </w:tabs>
              <w:ind w:right="406"/>
              <w:jc w:val="right"/>
              <w:rPr>
                <w:sz w:val="16"/>
                <w:szCs w:val="16"/>
              </w:rPr>
            </w:pPr>
            <w:r w:rsidRPr="00273EC0">
              <w:rPr>
                <w:sz w:val="16"/>
                <w:szCs w:val="16"/>
              </w:rPr>
              <w:t>65.248.608.349,17</w:t>
            </w:r>
          </w:p>
        </w:tc>
        <w:tc>
          <w:tcPr>
            <w:tcW w:w="1155" w:type="pct"/>
            <w:noWrap/>
            <w:vAlign w:val="center"/>
            <w:hideMark/>
          </w:tcPr>
          <w:p w14:paraId="2208DB0A" w14:textId="77777777" w:rsidR="000E1E46" w:rsidRPr="00273EC0" w:rsidRDefault="000E1E46" w:rsidP="00E95534">
            <w:pPr>
              <w:tabs>
                <w:tab w:val="left" w:pos="2226"/>
              </w:tabs>
              <w:ind w:right="490"/>
              <w:jc w:val="right"/>
              <w:rPr>
                <w:sz w:val="16"/>
                <w:szCs w:val="16"/>
              </w:rPr>
            </w:pPr>
            <w:r w:rsidRPr="00273EC0">
              <w:rPr>
                <w:sz w:val="16"/>
                <w:szCs w:val="16"/>
              </w:rPr>
              <w:t>63.172.171.470,52</w:t>
            </w:r>
          </w:p>
        </w:tc>
        <w:tc>
          <w:tcPr>
            <w:tcW w:w="1182" w:type="pct"/>
            <w:noWrap/>
            <w:vAlign w:val="center"/>
            <w:hideMark/>
          </w:tcPr>
          <w:p w14:paraId="48C7C87A" w14:textId="77777777" w:rsidR="000E1E46" w:rsidRPr="00273EC0" w:rsidRDefault="000E1E46" w:rsidP="00E95534">
            <w:pPr>
              <w:ind w:right="353"/>
              <w:jc w:val="right"/>
              <w:rPr>
                <w:sz w:val="16"/>
                <w:szCs w:val="16"/>
              </w:rPr>
            </w:pPr>
            <w:r w:rsidRPr="00273EC0">
              <w:rPr>
                <w:sz w:val="16"/>
                <w:szCs w:val="16"/>
              </w:rPr>
              <w:t>2.076.436.878,65</w:t>
            </w:r>
          </w:p>
        </w:tc>
        <w:tc>
          <w:tcPr>
            <w:tcW w:w="1182" w:type="pct"/>
            <w:vAlign w:val="center"/>
          </w:tcPr>
          <w:p w14:paraId="3362D2DA" w14:textId="77777777" w:rsidR="000E1E46" w:rsidRPr="00F52899" w:rsidRDefault="000E1E46" w:rsidP="00E95534">
            <w:pPr>
              <w:ind w:right="353"/>
              <w:jc w:val="right"/>
              <w:rPr>
                <w:sz w:val="16"/>
                <w:szCs w:val="16"/>
              </w:rPr>
            </w:pPr>
            <w:r w:rsidRPr="00F52899">
              <w:rPr>
                <w:sz w:val="16"/>
                <w:szCs w:val="16"/>
              </w:rPr>
              <w:t>3,068,529,846.03</w:t>
            </w:r>
          </w:p>
        </w:tc>
      </w:tr>
      <w:tr w:rsidR="000E1E46" w:rsidRPr="00F52899" w14:paraId="3CA89C38" w14:textId="77777777" w:rsidTr="00E95534">
        <w:trPr>
          <w:trHeight w:val="255"/>
          <w:jc w:val="center"/>
        </w:trPr>
        <w:tc>
          <w:tcPr>
            <w:tcW w:w="325" w:type="pct"/>
            <w:noWrap/>
            <w:vAlign w:val="center"/>
            <w:hideMark/>
          </w:tcPr>
          <w:p w14:paraId="37248762" w14:textId="77777777" w:rsidR="000E1E46" w:rsidRPr="00273EC0" w:rsidRDefault="000E1E46" w:rsidP="00E95534">
            <w:pPr>
              <w:jc w:val="right"/>
              <w:rPr>
                <w:sz w:val="16"/>
                <w:szCs w:val="16"/>
              </w:rPr>
            </w:pPr>
            <w:r w:rsidRPr="00273EC0">
              <w:rPr>
                <w:sz w:val="16"/>
                <w:szCs w:val="16"/>
              </w:rPr>
              <w:t>2013</w:t>
            </w:r>
          </w:p>
        </w:tc>
        <w:tc>
          <w:tcPr>
            <w:tcW w:w="1155" w:type="pct"/>
            <w:noWrap/>
            <w:vAlign w:val="center"/>
            <w:hideMark/>
          </w:tcPr>
          <w:p w14:paraId="0F6A8E00" w14:textId="77777777" w:rsidR="000E1E46" w:rsidRPr="00273EC0" w:rsidRDefault="000E1E46" w:rsidP="00E95534">
            <w:pPr>
              <w:tabs>
                <w:tab w:val="left" w:pos="2226"/>
              </w:tabs>
              <w:ind w:right="406"/>
              <w:jc w:val="right"/>
              <w:rPr>
                <w:sz w:val="16"/>
                <w:szCs w:val="16"/>
              </w:rPr>
            </w:pPr>
            <w:r w:rsidRPr="00273EC0">
              <w:rPr>
                <w:sz w:val="16"/>
                <w:szCs w:val="16"/>
              </w:rPr>
              <w:t>70.958.446.417,60</w:t>
            </w:r>
          </w:p>
        </w:tc>
        <w:tc>
          <w:tcPr>
            <w:tcW w:w="1155" w:type="pct"/>
            <w:noWrap/>
            <w:vAlign w:val="center"/>
            <w:hideMark/>
          </w:tcPr>
          <w:p w14:paraId="05D64FD9" w14:textId="77777777" w:rsidR="000E1E46" w:rsidRPr="00273EC0" w:rsidRDefault="000E1E46" w:rsidP="00E95534">
            <w:pPr>
              <w:tabs>
                <w:tab w:val="left" w:pos="2226"/>
              </w:tabs>
              <w:ind w:right="490"/>
              <w:jc w:val="right"/>
              <w:rPr>
                <w:sz w:val="16"/>
                <w:szCs w:val="16"/>
              </w:rPr>
            </w:pPr>
            <w:r w:rsidRPr="00273EC0">
              <w:rPr>
                <w:sz w:val="16"/>
                <w:szCs w:val="16"/>
              </w:rPr>
              <w:t>71.906.529.761,80</w:t>
            </w:r>
          </w:p>
        </w:tc>
        <w:tc>
          <w:tcPr>
            <w:tcW w:w="1182" w:type="pct"/>
            <w:noWrap/>
            <w:vAlign w:val="center"/>
            <w:hideMark/>
          </w:tcPr>
          <w:p w14:paraId="09C1F401" w14:textId="77777777" w:rsidR="000E1E46" w:rsidRPr="00273EC0" w:rsidRDefault="000E1E46" w:rsidP="00E95534">
            <w:pPr>
              <w:ind w:right="353"/>
              <w:jc w:val="right"/>
              <w:rPr>
                <w:sz w:val="16"/>
                <w:szCs w:val="16"/>
              </w:rPr>
            </w:pPr>
            <w:r w:rsidRPr="00273EC0">
              <w:rPr>
                <w:sz w:val="16"/>
                <w:szCs w:val="16"/>
              </w:rPr>
              <w:t>(948.083.344,20)</w:t>
            </w:r>
          </w:p>
        </w:tc>
        <w:tc>
          <w:tcPr>
            <w:tcW w:w="1182" w:type="pct"/>
            <w:vAlign w:val="center"/>
          </w:tcPr>
          <w:p w14:paraId="70BA785E" w14:textId="77777777" w:rsidR="000E1E46" w:rsidRPr="00F52899" w:rsidRDefault="000E1E46" w:rsidP="00E95534">
            <w:pPr>
              <w:ind w:right="353"/>
              <w:jc w:val="right"/>
              <w:rPr>
                <w:sz w:val="16"/>
                <w:szCs w:val="16"/>
              </w:rPr>
            </w:pPr>
            <w:r w:rsidRPr="00F52899">
              <w:rPr>
                <w:sz w:val="16"/>
                <w:szCs w:val="16"/>
              </w:rPr>
              <w:t>(86,159,755.68)</w:t>
            </w:r>
          </w:p>
        </w:tc>
      </w:tr>
      <w:tr w:rsidR="000E1E46" w:rsidRPr="00F52899" w14:paraId="617FCC90" w14:textId="77777777" w:rsidTr="00E95534">
        <w:trPr>
          <w:trHeight w:val="255"/>
          <w:jc w:val="center"/>
        </w:trPr>
        <w:tc>
          <w:tcPr>
            <w:tcW w:w="325" w:type="pct"/>
            <w:noWrap/>
            <w:vAlign w:val="center"/>
            <w:hideMark/>
          </w:tcPr>
          <w:p w14:paraId="2B7DE3BE" w14:textId="77777777" w:rsidR="000E1E46" w:rsidRPr="00273EC0" w:rsidRDefault="000E1E46" w:rsidP="00E95534">
            <w:pPr>
              <w:jc w:val="right"/>
              <w:rPr>
                <w:sz w:val="16"/>
                <w:szCs w:val="16"/>
              </w:rPr>
            </w:pPr>
            <w:r w:rsidRPr="00273EC0">
              <w:rPr>
                <w:sz w:val="16"/>
                <w:szCs w:val="16"/>
              </w:rPr>
              <w:t>2014</w:t>
            </w:r>
          </w:p>
        </w:tc>
        <w:tc>
          <w:tcPr>
            <w:tcW w:w="1155" w:type="pct"/>
            <w:noWrap/>
            <w:vAlign w:val="center"/>
            <w:hideMark/>
          </w:tcPr>
          <w:p w14:paraId="1796A9DF" w14:textId="77777777" w:rsidR="000E1E46" w:rsidRPr="00273EC0" w:rsidRDefault="000E1E46" w:rsidP="00E95534">
            <w:pPr>
              <w:tabs>
                <w:tab w:val="left" w:pos="2226"/>
              </w:tabs>
              <w:ind w:right="406"/>
              <w:jc w:val="right"/>
              <w:rPr>
                <w:sz w:val="16"/>
                <w:szCs w:val="16"/>
              </w:rPr>
            </w:pPr>
            <w:r w:rsidRPr="00273EC0">
              <w:rPr>
                <w:sz w:val="16"/>
                <w:szCs w:val="16"/>
              </w:rPr>
              <w:t>73.347.436.267,16</w:t>
            </w:r>
          </w:p>
        </w:tc>
        <w:tc>
          <w:tcPr>
            <w:tcW w:w="1155" w:type="pct"/>
            <w:noWrap/>
            <w:vAlign w:val="center"/>
            <w:hideMark/>
          </w:tcPr>
          <w:p w14:paraId="09FF8C2F" w14:textId="77777777" w:rsidR="000E1E46" w:rsidRPr="00273EC0" w:rsidRDefault="000E1E46" w:rsidP="00E95534">
            <w:pPr>
              <w:tabs>
                <w:tab w:val="left" w:pos="2226"/>
              </w:tabs>
              <w:ind w:right="490"/>
              <w:jc w:val="right"/>
              <w:rPr>
                <w:sz w:val="16"/>
                <w:szCs w:val="16"/>
              </w:rPr>
            </w:pPr>
            <w:r w:rsidRPr="00273EC0">
              <w:rPr>
                <w:sz w:val="16"/>
                <w:szCs w:val="16"/>
              </w:rPr>
              <w:t>75.512.924.847,61</w:t>
            </w:r>
          </w:p>
        </w:tc>
        <w:tc>
          <w:tcPr>
            <w:tcW w:w="1182" w:type="pct"/>
            <w:noWrap/>
            <w:vAlign w:val="center"/>
            <w:hideMark/>
          </w:tcPr>
          <w:p w14:paraId="2BB19515" w14:textId="77777777" w:rsidR="000E1E46" w:rsidRPr="00273EC0" w:rsidRDefault="000E1E46" w:rsidP="00E95534">
            <w:pPr>
              <w:ind w:right="353"/>
              <w:jc w:val="right"/>
              <w:rPr>
                <w:sz w:val="16"/>
                <w:szCs w:val="16"/>
              </w:rPr>
            </w:pPr>
            <w:r w:rsidRPr="00273EC0">
              <w:rPr>
                <w:sz w:val="16"/>
                <w:szCs w:val="16"/>
              </w:rPr>
              <w:t>(2.165.488.580,45)</w:t>
            </w:r>
          </w:p>
        </w:tc>
        <w:tc>
          <w:tcPr>
            <w:tcW w:w="1182" w:type="pct"/>
            <w:vAlign w:val="center"/>
          </w:tcPr>
          <w:p w14:paraId="56B10E56" w14:textId="77777777" w:rsidR="000E1E46" w:rsidRPr="00F52899" w:rsidRDefault="000E1E46" w:rsidP="00E95534">
            <w:pPr>
              <w:ind w:right="353"/>
              <w:jc w:val="right"/>
              <w:rPr>
                <w:sz w:val="16"/>
                <w:szCs w:val="16"/>
              </w:rPr>
            </w:pPr>
            <w:r w:rsidRPr="00F52899">
              <w:rPr>
                <w:sz w:val="16"/>
                <w:szCs w:val="16"/>
              </w:rPr>
              <w:t>1,030,992,187.40</w:t>
            </w:r>
          </w:p>
        </w:tc>
      </w:tr>
      <w:tr w:rsidR="000E1E46" w:rsidRPr="00F52899" w14:paraId="2549C802" w14:textId="77777777" w:rsidTr="00E95534">
        <w:trPr>
          <w:trHeight w:val="255"/>
          <w:jc w:val="center"/>
        </w:trPr>
        <w:tc>
          <w:tcPr>
            <w:tcW w:w="325" w:type="pct"/>
            <w:noWrap/>
            <w:vAlign w:val="center"/>
            <w:hideMark/>
          </w:tcPr>
          <w:p w14:paraId="7ED7898C" w14:textId="77777777" w:rsidR="000E1E46" w:rsidRPr="00273EC0" w:rsidRDefault="000E1E46" w:rsidP="00E95534">
            <w:pPr>
              <w:jc w:val="right"/>
              <w:rPr>
                <w:sz w:val="16"/>
                <w:szCs w:val="16"/>
              </w:rPr>
            </w:pPr>
            <w:r w:rsidRPr="00273EC0">
              <w:rPr>
                <w:sz w:val="16"/>
                <w:szCs w:val="16"/>
              </w:rPr>
              <w:t>2015</w:t>
            </w:r>
          </w:p>
        </w:tc>
        <w:tc>
          <w:tcPr>
            <w:tcW w:w="1155" w:type="pct"/>
            <w:noWrap/>
            <w:vAlign w:val="center"/>
            <w:hideMark/>
          </w:tcPr>
          <w:p w14:paraId="2DC4CCE0" w14:textId="77777777" w:rsidR="000E1E46" w:rsidRPr="00273EC0" w:rsidRDefault="000E1E46" w:rsidP="00E95534">
            <w:pPr>
              <w:tabs>
                <w:tab w:val="left" w:pos="2226"/>
              </w:tabs>
              <w:ind w:right="406"/>
              <w:jc w:val="right"/>
              <w:rPr>
                <w:sz w:val="16"/>
                <w:szCs w:val="16"/>
              </w:rPr>
            </w:pPr>
            <w:r w:rsidRPr="00273EC0">
              <w:rPr>
                <w:sz w:val="16"/>
                <w:szCs w:val="16"/>
              </w:rPr>
              <w:t>76.154.853.985,51</w:t>
            </w:r>
          </w:p>
        </w:tc>
        <w:tc>
          <w:tcPr>
            <w:tcW w:w="1155" w:type="pct"/>
            <w:noWrap/>
            <w:vAlign w:val="center"/>
            <w:hideMark/>
          </w:tcPr>
          <w:p w14:paraId="71F48184" w14:textId="77777777" w:rsidR="000E1E46" w:rsidRPr="00273EC0" w:rsidRDefault="000E1E46" w:rsidP="00E95534">
            <w:pPr>
              <w:tabs>
                <w:tab w:val="left" w:pos="2226"/>
              </w:tabs>
              <w:ind w:right="490"/>
              <w:jc w:val="right"/>
              <w:rPr>
                <w:sz w:val="16"/>
                <w:szCs w:val="16"/>
              </w:rPr>
            </w:pPr>
            <w:r w:rsidRPr="00273EC0">
              <w:rPr>
                <w:sz w:val="16"/>
                <w:szCs w:val="16"/>
              </w:rPr>
              <w:t>85.119.036.085,58</w:t>
            </w:r>
          </w:p>
        </w:tc>
        <w:tc>
          <w:tcPr>
            <w:tcW w:w="1182" w:type="pct"/>
            <w:noWrap/>
            <w:vAlign w:val="center"/>
            <w:hideMark/>
          </w:tcPr>
          <w:p w14:paraId="4C19A47B" w14:textId="77777777" w:rsidR="000E1E46" w:rsidRPr="00273EC0" w:rsidRDefault="000E1E46" w:rsidP="00E95534">
            <w:pPr>
              <w:ind w:right="353"/>
              <w:jc w:val="right"/>
              <w:rPr>
                <w:sz w:val="16"/>
                <w:szCs w:val="16"/>
              </w:rPr>
            </w:pPr>
            <w:r w:rsidRPr="00273EC0">
              <w:rPr>
                <w:sz w:val="16"/>
                <w:szCs w:val="16"/>
              </w:rPr>
              <w:t>(8.964.182.100,07)</w:t>
            </w:r>
          </w:p>
        </w:tc>
        <w:tc>
          <w:tcPr>
            <w:tcW w:w="1182" w:type="pct"/>
            <w:vAlign w:val="center"/>
          </w:tcPr>
          <w:p w14:paraId="0EC7E285" w14:textId="77777777" w:rsidR="000E1E46" w:rsidRPr="00F52899" w:rsidRDefault="000E1E46" w:rsidP="00E95534">
            <w:pPr>
              <w:ind w:right="353"/>
              <w:jc w:val="right"/>
              <w:rPr>
                <w:sz w:val="16"/>
                <w:szCs w:val="16"/>
              </w:rPr>
            </w:pPr>
            <w:r w:rsidRPr="00F52899">
              <w:rPr>
                <w:sz w:val="16"/>
                <w:szCs w:val="16"/>
              </w:rPr>
              <w:t>(3,243,577,459.30)</w:t>
            </w:r>
          </w:p>
        </w:tc>
      </w:tr>
      <w:tr w:rsidR="000E1E46" w:rsidRPr="00F52899" w14:paraId="6B48A83E" w14:textId="77777777" w:rsidTr="00E95534">
        <w:trPr>
          <w:trHeight w:val="255"/>
          <w:jc w:val="center"/>
        </w:trPr>
        <w:tc>
          <w:tcPr>
            <w:tcW w:w="325" w:type="pct"/>
            <w:noWrap/>
            <w:vAlign w:val="center"/>
            <w:hideMark/>
          </w:tcPr>
          <w:p w14:paraId="1A8AB757" w14:textId="77777777" w:rsidR="000E1E46" w:rsidRPr="00273EC0" w:rsidRDefault="000E1E46" w:rsidP="00E95534">
            <w:pPr>
              <w:jc w:val="right"/>
              <w:rPr>
                <w:sz w:val="16"/>
                <w:szCs w:val="16"/>
              </w:rPr>
            </w:pPr>
            <w:r w:rsidRPr="00273EC0">
              <w:rPr>
                <w:sz w:val="16"/>
                <w:szCs w:val="16"/>
              </w:rPr>
              <w:t>2016</w:t>
            </w:r>
          </w:p>
        </w:tc>
        <w:tc>
          <w:tcPr>
            <w:tcW w:w="1155" w:type="pct"/>
            <w:noWrap/>
            <w:vAlign w:val="center"/>
            <w:hideMark/>
          </w:tcPr>
          <w:p w14:paraId="56A84A70" w14:textId="77777777" w:rsidR="000E1E46" w:rsidRPr="00273EC0" w:rsidRDefault="000E1E46" w:rsidP="00E95534">
            <w:pPr>
              <w:tabs>
                <w:tab w:val="left" w:pos="2226"/>
              </w:tabs>
              <w:ind w:right="406"/>
              <w:jc w:val="right"/>
              <w:rPr>
                <w:sz w:val="16"/>
                <w:szCs w:val="16"/>
              </w:rPr>
            </w:pPr>
            <w:r w:rsidRPr="00273EC0">
              <w:rPr>
                <w:sz w:val="16"/>
                <w:szCs w:val="16"/>
              </w:rPr>
              <w:t>83.965.708.705,68</w:t>
            </w:r>
          </w:p>
        </w:tc>
        <w:tc>
          <w:tcPr>
            <w:tcW w:w="1155" w:type="pct"/>
            <w:noWrap/>
            <w:vAlign w:val="center"/>
            <w:hideMark/>
          </w:tcPr>
          <w:p w14:paraId="113C8F9E" w14:textId="77777777" w:rsidR="000E1E46" w:rsidRPr="00273EC0" w:rsidRDefault="000E1E46" w:rsidP="00E95534">
            <w:pPr>
              <w:tabs>
                <w:tab w:val="left" w:pos="2226"/>
              </w:tabs>
              <w:ind w:right="490"/>
              <w:jc w:val="right"/>
              <w:rPr>
                <w:sz w:val="16"/>
                <w:szCs w:val="16"/>
              </w:rPr>
            </w:pPr>
            <w:r w:rsidRPr="00273EC0">
              <w:rPr>
                <w:sz w:val="16"/>
                <w:szCs w:val="16"/>
              </w:rPr>
              <w:t>88.129.098.217,78</w:t>
            </w:r>
          </w:p>
        </w:tc>
        <w:tc>
          <w:tcPr>
            <w:tcW w:w="1182" w:type="pct"/>
            <w:noWrap/>
            <w:vAlign w:val="center"/>
            <w:hideMark/>
          </w:tcPr>
          <w:p w14:paraId="5B5E6D93" w14:textId="77777777" w:rsidR="000E1E46" w:rsidRPr="00273EC0" w:rsidRDefault="000E1E46" w:rsidP="00E95534">
            <w:pPr>
              <w:ind w:right="353"/>
              <w:jc w:val="right"/>
              <w:rPr>
                <w:sz w:val="16"/>
                <w:szCs w:val="16"/>
              </w:rPr>
            </w:pPr>
            <w:r w:rsidRPr="00273EC0">
              <w:rPr>
                <w:sz w:val="16"/>
                <w:szCs w:val="16"/>
              </w:rPr>
              <w:t>(4.163.389.512,10)</w:t>
            </w:r>
          </w:p>
        </w:tc>
        <w:tc>
          <w:tcPr>
            <w:tcW w:w="1182" w:type="pct"/>
            <w:vAlign w:val="center"/>
          </w:tcPr>
          <w:p w14:paraId="509E7DB0" w14:textId="77777777" w:rsidR="000E1E46" w:rsidRPr="00F52899" w:rsidRDefault="000E1E46" w:rsidP="00E95534">
            <w:pPr>
              <w:ind w:right="353"/>
              <w:jc w:val="right"/>
              <w:rPr>
                <w:sz w:val="16"/>
                <w:szCs w:val="16"/>
              </w:rPr>
            </w:pPr>
            <w:r w:rsidRPr="00F52899">
              <w:rPr>
                <w:sz w:val="16"/>
                <w:szCs w:val="16"/>
              </w:rPr>
              <w:t>(3,249,134,549.81)</w:t>
            </w:r>
          </w:p>
        </w:tc>
      </w:tr>
      <w:tr w:rsidR="000E1E46" w:rsidRPr="00F52899" w14:paraId="4BA8141B" w14:textId="77777777" w:rsidTr="00E95534">
        <w:trPr>
          <w:trHeight w:val="255"/>
          <w:jc w:val="center"/>
        </w:trPr>
        <w:tc>
          <w:tcPr>
            <w:tcW w:w="325" w:type="pct"/>
            <w:tcBorders>
              <w:top w:val="nil"/>
              <w:left w:val="nil"/>
              <w:bottom w:val="single" w:sz="6" w:space="0" w:color="C00000"/>
              <w:right w:val="nil"/>
            </w:tcBorders>
            <w:noWrap/>
            <w:vAlign w:val="center"/>
            <w:hideMark/>
          </w:tcPr>
          <w:p w14:paraId="5D6B5486" w14:textId="77777777" w:rsidR="000E1E46" w:rsidRPr="00273EC0" w:rsidRDefault="000E1E46" w:rsidP="00E95534">
            <w:pPr>
              <w:jc w:val="right"/>
              <w:rPr>
                <w:sz w:val="16"/>
                <w:szCs w:val="16"/>
              </w:rPr>
            </w:pPr>
            <w:r w:rsidRPr="00273EC0">
              <w:rPr>
                <w:sz w:val="16"/>
                <w:szCs w:val="16"/>
              </w:rPr>
              <w:t>2017</w:t>
            </w:r>
          </w:p>
        </w:tc>
        <w:tc>
          <w:tcPr>
            <w:tcW w:w="1155" w:type="pct"/>
            <w:tcBorders>
              <w:top w:val="nil"/>
              <w:left w:val="nil"/>
              <w:bottom w:val="single" w:sz="6" w:space="0" w:color="C00000"/>
              <w:right w:val="nil"/>
            </w:tcBorders>
            <w:noWrap/>
            <w:vAlign w:val="center"/>
            <w:hideMark/>
          </w:tcPr>
          <w:p w14:paraId="79967836" w14:textId="77777777" w:rsidR="000E1E46" w:rsidRPr="00273EC0" w:rsidRDefault="000E1E46" w:rsidP="00E95534">
            <w:pPr>
              <w:tabs>
                <w:tab w:val="left" w:pos="2226"/>
              </w:tabs>
              <w:ind w:right="406"/>
              <w:jc w:val="right"/>
              <w:rPr>
                <w:sz w:val="16"/>
                <w:szCs w:val="16"/>
              </w:rPr>
            </w:pPr>
            <w:r w:rsidRPr="00273EC0">
              <w:rPr>
                <w:sz w:val="16"/>
                <w:szCs w:val="16"/>
              </w:rPr>
              <w:t>88.623.909.094,56</w:t>
            </w:r>
          </w:p>
        </w:tc>
        <w:tc>
          <w:tcPr>
            <w:tcW w:w="1155" w:type="pct"/>
            <w:tcBorders>
              <w:top w:val="nil"/>
              <w:left w:val="nil"/>
              <w:bottom w:val="single" w:sz="6" w:space="0" w:color="C00000"/>
              <w:right w:val="nil"/>
            </w:tcBorders>
            <w:noWrap/>
            <w:vAlign w:val="center"/>
            <w:hideMark/>
          </w:tcPr>
          <w:p w14:paraId="1C8EA029" w14:textId="77777777" w:rsidR="000E1E46" w:rsidRPr="00273EC0" w:rsidRDefault="000E1E46" w:rsidP="00E95534">
            <w:pPr>
              <w:tabs>
                <w:tab w:val="left" w:pos="2226"/>
              </w:tabs>
              <w:ind w:right="490"/>
              <w:jc w:val="right"/>
              <w:rPr>
                <w:sz w:val="16"/>
                <w:szCs w:val="16"/>
              </w:rPr>
            </w:pPr>
            <w:r w:rsidRPr="00273EC0">
              <w:rPr>
                <w:sz w:val="16"/>
                <w:szCs w:val="16"/>
              </w:rPr>
              <w:t>98.391.669.163,23</w:t>
            </w:r>
          </w:p>
        </w:tc>
        <w:tc>
          <w:tcPr>
            <w:tcW w:w="1182" w:type="pct"/>
            <w:tcBorders>
              <w:top w:val="nil"/>
              <w:left w:val="nil"/>
              <w:bottom w:val="single" w:sz="6" w:space="0" w:color="C00000"/>
              <w:right w:val="nil"/>
            </w:tcBorders>
            <w:noWrap/>
            <w:vAlign w:val="center"/>
            <w:hideMark/>
          </w:tcPr>
          <w:p w14:paraId="26A31824" w14:textId="77777777" w:rsidR="000E1E46" w:rsidRPr="00273EC0" w:rsidRDefault="000E1E46" w:rsidP="00E95534">
            <w:pPr>
              <w:ind w:right="353"/>
              <w:jc w:val="right"/>
              <w:rPr>
                <w:sz w:val="16"/>
                <w:szCs w:val="16"/>
              </w:rPr>
            </w:pPr>
            <w:r w:rsidRPr="00273EC0">
              <w:rPr>
                <w:sz w:val="16"/>
                <w:szCs w:val="16"/>
              </w:rPr>
              <w:t>(9.767.760.068,67)</w:t>
            </w:r>
          </w:p>
        </w:tc>
        <w:tc>
          <w:tcPr>
            <w:tcW w:w="1182" w:type="pct"/>
            <w:tcBorders>
              <w:top w:val="nil"/>
              <w:left w:val="nil"/>
              <w:bottom w:val="single" w:sz="6" w:space="0" w:color="C00000"/>
              <w:right w:val="nil"/>
            </w:tcBorders>
            <w:vAlign w:val="center"/>
          </w:tcPr>
          <w:p w14:paraId="59E1EF59" w14:textId="77777777" w:rsidR="000E1E46" w:rsidRPr="00F52899" w:rsidRDefault="000E1E46" w:rsidP="00E95534">
            <w:pPr>
              <w:ind w:right="353"/>
              <w:jc w:val="right"/>
              <w:rPr>
                <w:sz w:val="16"/>
                <w:szCs w:val="16"/>
              </w:rPr>
            </w:pPr>
            <w:r w:rsidRPr="00F52899">
              <w:rPr>
                <w:sz w:val="16"/>
                <w:szCs w:val="16"/>
              </w:rPr>
              <w:t>(6,123,570,985.69)</w:t>
            </w:r>
          </w:p>
        </w:tc>
      </w:tr>
    </w:tbl>
    <w:p w14:paraId="659EA1E3" w14:textId="6BE60A15" w:rsidR="000E1E46" w:rsidRPr="00AC16DE" w:rsidRDefault="000E1E46" w:rsidP="004312BF">
      <w:pPr>
        <w:pStyle w:val="FJP-Fonte"/>
        <w:rPr>
          <w:rFonts w:ascii="Times New Roman" w:hAnsi="Times New Roman"/>
        </w:rPr>
      </w:pPr>
      <w:r w:rsidRPr="00AC16DE">
        <w:rPr>
          <w:rFonts w:ascii="Times New Roman" w:hAnsi="Times New Roman"/>
        </w:rPr>
        <w:t xml:space="preserve">Fonte: Elaboração própria a partir de dados do </w:t>
      </w:r>
      <w:r>
        <w:rPr>
          <w:rFonts w:ascii="Times New Roman" w:hAnsi="Times New Roman"/>
        </w:rPr>
        <w:t>Siafi-MG</w:t>
      </w:r>
    </w:p>
    <w:p w14:paraId="7AB814BD" w14:textId="0FB194D7" w:rsidR="000E1E46" w:rsidRPr="00AC16DE" w:rsidRDefault="000E1E46" w:rsidP="00870F79">
      <w:pPr>
        <w:pStyle w:val="FJP-CorpoTexto"/>
        <w:spacing w:line="480" w:lineRule="auto"/>
        <w:rPr>
          <w:rFonts w:ascii="Times New Roman" w:hAnsi="Times New Roman"/>
          <w:sz w:val="24"/>
          <w:szCs w:val="24"/>
        </w:rPr>
      </w:pPr>
      <w:r>
        <w:rPr>
          <w:rFonts w:ascii="Times New Roman" w:hAnsi="Times New Roman"/>
          <w:sz w:val="24"/>
          <w:szCs w:val="24"/>
        </w:rPr>
        <w:t xml:space="preserve">Observa-se, nos últimos anos, </w:t>
      </w:r>
      <w:r w:rsidRPr="00AC16DE">
        <w:rPr>
          <w:rFonts w:ascii="Times New Roman" w:hAnsi="Times New Roman"/>
          <w:sz w:val="24"/>
          <w:szCs w:val="24"/>
        </w:rPr>
        <w:t>o descas</w:t>
      </w:r>
      <w:r>
        <w:rPr>
          <w:rFonts w:ascii="Times New Roman" w:hAnsi="Times New Roman"/>
          <w:sz w:val="24"/>
          <w:szCs w:val="24"/>
        </w:rPr>
        <w:t>amento entre receita e despesa. A</w:t>
      </w:r>
      <w:r w:rsidRPr="00AC16DE">
        <w:rPr>
          <w:rFonts w:ascii="Times New Roman" w:hAnsi="Times New Roman"/>
          <w:sz w:val="24"/>
          <w:szCs w:val="24"/>
        </w:rPr>
        <w:t xml:space="preserve"> série de déficits</w:t>
      </w:r>
      <w:r>
        <w:rPr>
          <w:rFonts w:ascii="Times New Roman" w:hAnsi="Times New Roman"/>
          <w:sz w:val="24"/>
          <w:szCs w:val="24"/>
        </w:rPr>
        <w:t xml:space="preserve"> orçamentário</w:t>
      </w:r>
      <w:r w:rsidRPr="00AC16DE">
        <w:rPr>
          <w:rFonts w:ascii="Times New Roman" w:hAnsi="Times New Roman"/>
          <w:sz w:val="24"/>
          <w:szCs w:val="24"/>
        </w:rPr>
        <w:t xml:space="preserve"> se inicia em 2013, na gestão </w:t>
      </w:r>
      <w:r>
        <w:rPr>
          <w:rFonts w:ascii="Times New Roman" w:hAnsi="Times New Roman"/>
          <w:sz w:val="24"/>
          <w:szCs w:val="24"/>
        </w:rPr>
        <w:t>do governador Antônio Anastasia, embora em 2014 não tenha sido registrado déficit primário. Logo</w:t>
      </w:r>
      <w:r w:rsidRPr="00AC16DE">
        <w:rPr>
          <w:rFonts w:ascii="Times New Roman" w:hAnsi="Times New Roman"/>
          <w:sz w:val="24"/>
          <w:szCs w:val="24"/>
        </w:rPr>
        <w:t>, à despeito da orientação partidária, havia indícios de problemas est</w:t>
      </w:r>
      <w:r>
        <w:rPr>
          <w:rFonts w:ascii="Times New Roman" w:hAnsi="Times New Roman"/>
          <w:sz w:val="24"/>
          <w:szCs w:val="24"/>
        </w:rPr>
        <w:t>ruturais nas finanças públicas.</w:t>
      </w:r>
      <w:r w:rsidRPr="00AC16DE">
        <w:rPr>
          <w:rFonts w:ascii="Times New Roman" w:hAnsi="Times New Roman"/>
          <w:sz w:val="24"/>
          <w:szCs w:val="24"/>
        </w:rPr>
        <w:t xml:space="preserve"> </w:t>
      </w:r>
      <w:r>
        <w:rPr>
          <w:rFonts w:ascii="Times New Roman" w:hAnsi="Times New Roman"/>
          <w:sz w:val="24"/>
          <w:szCs w:val="24"/>
        </w:rPr>
        <w:t xml:space="preserve">Nos anos subsequentes, já na gestão petista, há nítida deterioração fiscal. </w:t>
      </w:r>
    </w:p>
    <w:p w14:paraId="6AC2E356" w14:textId="59BB34B2" w:rsidR="000E1E46" w:rsidRPr="00AC16DE" w:rsidRDefault="000E1E46" w:rsidP="00870F79">
      <w:pPr>
        <w:pStyle w:val="FJP-CorpoTexto"/>
        <w:spacing w:line="480" w:lineRule="auto"/>
        <w:rPr>
          <w:rFonts w:ascii="Times New Roman" w:eastAsiaTheme="minorHAnsi" w:hAnsi="Times New Roman"/>
          <w:sz w:val="24"/>
          <w:szCs w:val="24"/>
          <w:lang w:eastAsia="en-US"/>
        </w:rPr>
      </w:pPr>
      <w:r w:rsidRPr="00AC16DE">
        <w:rPr>
          <w:rFonts w:ascii="Times New Roman" w:hAnsi="Times New Roman"/>
          <w:sz w:val="24"/>
          <w:szCs w:val="24"/>
        </w:rPr>
        <w:lastRenderedPageBreak/>
        <w:t>Aliado aos recorrentes déficits houve piora em indicadores-chaves da Lei de Responsabilidade Fiscal (LRF). A relação entre gastos com pessoal e receita corre</w:t>
      </w:r>
      <w:r>
        <w:rPr>
          <w:rFonts w:ascii="Times New Roman" w:hAnsi="Times New Roman"/>
          <w:sz w:val="24"/>
          <w:szCs w:val="24"/>
        </w:rPr>
        <w:t>nte líquida, no poder executivo,</w:t>
      </w:r>
      <w:r w:rsidRPr="00AC16DE">
        <w:rPr>
          <w:rFonts w:ascii="Times New Roman" w:hAnsi="Times New Roman"/>
          <w:sz w:val="24"/>
          <w:szCs w:val="24"/>
        </w:rPr>
        <w:t xml:space="preserve"> está bastante próxima ao limite de 50% permitido pela legislação</w:t>
      </w:r>
      <w:r w:rsidRPr="00AC16DE">
        <w:rPr>
          <w:rStyle w:val="Refdenotaderodap"/>
          <w:rFonts w:ascii="Times New Roman" w:hAnsi="Times New Roman"/>
          <w:sz w:val="24"/>
          <w:szCs w:val="24"/>
        </w:rPr>
        <w:footnoteReference w:id="6"/>
      </w:r>
      <w:r w:rsidRPr="00AC16DE">
        <w:rPr>
          <w:rFonts w:ascii="Times New Roman" w:hAnsi="Times New Roman"/>
          <w:sz w:val="24"/>
          <w:szCs w:val="24"/>
        </w:rPr>
        <w:t>. O mesmo vale para a relação entre a dívida consolidada líquida e a receita corrente líquida, cujo limite é de 200%.</w:t>
      </w:r>
    </w:p>
    <w:p w14:paraId="519856C6" w14:textId="77777777" w:rsidR="000E1E46" w:rsidRPr="00AC16DE" w:rsidRDefault="000E1E46" w:rsidP="004312BF">
      <w:pPr>
        <w:pStyle w:val="FJP-Tab-T"/>
        <w:rPr>
          <w:rFonts w:ascii="Times New Roman" w:hAnsi="Times New Roman"/>
          <w:sz w:val="24"/>
          <w:szCs w:val="24"/>
        </w:rPr>
      </w:pPr>
      <w:r w:rsidRPr="00AC16DE">
        <w:rPr>
          <w:rFonts w:ascii="Times New Roman" w:hAnsi="Times New Roman"/>
          <w:sz w:val="24"/>
          <w:szCs w:val="24"/>
        </w:rPr>
        <w:t>Tabela 2: Principais indicadores da LRF – Minas Gerais – 2000-2017 – (%)</w:t>
      </w:r>
    </w:p>
    <w:tbl>
      <w:tblPr>
        <w:tblW w:w="9639" w:type="dxa"/>
        <w:jc w:val="center"/>
        <w:tblCellMar>
          <w:left w:w="70" w:type="dxa"/>
          <w:right w:w="70" w:type="dxa"/>
        </w:tblCellMar>
        <w:tblLook w:val="04A0" w:firstRow="1" w:lastRow="0" w:firstColumn="1" w:lastColumn="0" w:noHBand="0" w:noVBand="1"/>
      </w:tblPr>
      <w:tblGrid>
        <w:gridCol w:w="1928"/>
        <w:gridCol w:w="4338"/>
        <w:gridCol w:w="3373"/>
      </w:tblGrid>
      <w:tr w:rsidR="000E1E46" w:rsidRPr="00AB120C" w14:paraId="7C90CAC2" w14:textId="77777777" w:rsidTr="00FE0B4D">
        <w:trPr>
          <w:trHeight w:val="567"/>
          <w:jc w:val="center"/>
        </w:trPr>
        <w:tc>
          <w:tcPr>
            <w:tcW w:w="1701" w:type="dxa"/>
            <w:tcBorders>
              <w:top w:val="single" w:sz="4" w:space="0" w:color="auto"/>
              <w:left w:val="nil"/>
              <w:bottom w:val="single" w:sz="4" w:space="0" w:color="auto"/>
              <w:right w:val="nil"/>
            </w:tcBorders>
            <w:shd w:val="clear" w:color="auto" w:fill="3B3838" w:themeFill="background2" w:themeFillShade="40"/>
            <w:noWrap/>
            <w:vAlign w:val="center"/>
            <w:hideMark/>
          </w:tcPr>
          <w:p w14:paraId="5C45BF6C" w14:textId="77777777" w:rsidR="000E1E46" w:rsidRPr="00AB120C" w:rsidRDefault="000E1E46" w:rsidP="00AB120C">
            <w:pPr>
              <w:jc w:val="center"/>
              <w:rPr>
                <w:bCs/>
                <w:color w:val="FFFFFF" w:themeColor="background1"/>
                <w:sz w:val="16"/>
                <w:szCs w:val="16"/>
              </w:rPr>
            </w:pPr>
            <w:r w:rsidRPr="00AB120C">
              <w:rPr>
                <w:bCs/>
                <w:color w:val="FFFFFF" w:themeColor="background1"/>
                <w:sz w:val="16"/>
                <w:szCs w:val="16"/>
              </w:rPr>
              <w:t>Ano</w:t>
            </w:r>
          </w:p>
        </w:tc>
        <w:tc>
          <w:tcPr>
            <w:tcW w:w="3828" w:type="dxa"/>
            <w:tcBorders>
              <w:top w:val="single" w:sz="4" w:space="0" w:color="auto"/>
              <w:left w:val="nil"/>
              <w:bottom w:val="single" w:sz="4" w:space="0" w:color="auto"/>
              <w:right w:val="nil"/>
            </w:tcBorders>
            <w:shd w:val="clear" w:color="auto" w:fill="3B3838" w:themeFill="background2" w:themeFillShade="40"/>
            <w:vAlign w:val="center"/>
            <w:hideMark/>
          </w:tcPr>
          <w:p w14:paraId="7ACD75BC" w14:textId="77777777" w:rsidR="000E1E46" w:rsidRPr="00AB120C" w:rsidRDefault="000E1E46" w:rsidP="00AB120C">
            <w:pPr>
              <w:jc w:val="center"/>
              <w:rPr>
                <w:bCs/>
                <w:color w:val="FFFFFF" w:themeColor="background1"/>
                <w:sz w:val="16"/>
                <w:szCs w:val="16"/>
              </w:rPr>
            </w:pPr>
            <w:r w:rsidRPr="00AB120C">
              <w:rPr>
                <w:bCs/>
                <w:color w:val="FFFFFF" w:themeColor="background1"/>
                <w:sz w:val="16"/>
                <w:szCs w:val="16"/>
              </w:rPr>
              <w:t>Pessoal/Receita Corrente Líquida</w:t>
            </w:r>
          </w:p>
        </w:tc>
        <w:tc>
          <w:tcPr>
            <w:tcW w:w="2976" w:type="dxa"/>
            <w:tcBorders>
              <w:top w:val="single" w:sz="4" w:space="0" w:color="auto"/>
              <w:left w:val="nil"/>
              <w:bottom w:val="single" w:sz="4" w:space="0" w:color="auto"/>
              <w:right w:val="nil"/>
            </w:tcBorders>
            <w:shd w:val="clear" w:color="auto" w:fill="3B3838" w:themeFill="background2" w:themeFillShade="40"/>
            <w:vAlign w:val="center"/>
            <w:hideMark/>
          </w:tcPr>
          <w:p w14:paraId="372AB5E4" w14:textId="77777777" w:rsidR="000E1E46" w:rsidRPr="00AB120C" w:rsidRDefault="000E1E46" w:rsidP="00AB120C">
            <w:pPr>
              <w:jc w:val="center"/>
              <w:rPr>
                <w:bCs/>
                <w:color w:val="FFFFFF" w:themeColor="background1"/>
                <w:sz w:val="16"/>
                <w:szCs w:val="16"/>
              </w:rPr>
            </w:pPr>
            <w:r w:rsidRPr="00AB120C">
              <w:rPr>
                <w:bCs/>
                <w:color w:val="FFFFFF" w:themeColor="background1"/>
                <w:sz w:val="16"/>
                <w:szCs w:val="16"/>
              </w:rPr>
              <w:t>Dívida Consolidada Líquida/Receita Corrente Líquida</w:t>
            </w:r>
          </w:p>
        </w:tc>
      </w:tr>
      <w:tr w:rsidR="000E1E46" w:rsidRPr="00273EC0" w14:paraId="4433852D" w14:textId="77777777" w:rsidTr="00FE0B4D">
        <w:trPr>
          <w:trHeight w:val="255"/>
          <w:jc w:val="center"/>
        </w:trPr>
        <w:tc>
          <w:tcPr>
            <w:tcW w:w="1701" w:type="dxa"/>
            <w:noWrap/>
            <w:vAlign w:val="center"/>
            <w:hideMark/>
          </w:tcPr>
          <w:p w14:paraId="59BF79FF" w14:textId="77777777" w:rsidR="000E1E46" w:rsidRPr="00273EC0" w:rsidRDefault="000E1E46" w:rsidP="004312BF">
            <w:pPr>
              <w:rPr>
                <w:sz w:val="16"/>
                <w:szCs w:val="16"/>
              </w:rPr>
            </w:pPr>
            <w:r w:rsidRPr="00273EC0">
              <w:rPr>
                <w:sz w:val="16"/>
                <w:szCs w:val="16"/>
              </w:rPr>
              <w:t>2003</w:t>
            </w:r>
          </w:p>
        </w:tc>
        <w:tc>
          <w:tcPr>
            <w:tcW w:w="3828" w:type="dxa"/>
            <w:noWrap/>
            <w:vAlign w:val="center"/>
            <w:hideMark/>
          </w:tcPr>
          <w:p w14:paraId="21B81FDA" w14:textId="77777777" w:rsidR="000E1E46" w:rsidRPr="00273EC0" w:rsidRDefault="000E1E46" w:rsidP="004312BF">
            <w:pPr>
              <w:jc w:val="center"/>
              <w:rPr>
                <w:sz w:val="16"/>
                <w:szCs w:val="16"/>
              </w:rPr>
            </w:pPr>
            <w:r w:rsidRPr="00273EC0">
              <w:rPr>
                <w:sz w:val="16"/>
                <w:szCs w:val="16"/>
              </w:rPr>
              <w:t>...</w:t>
            </w:r>
          </w:p>
        </w:tc>
        <w:tc>
          <w:tcPr>
            <w:tcW w:w="2976" w:type="dxa"/>
            <w:noWrap/>
            <w:vAlign w:val="center"/>
            <w:hideMark/>
          </w:tcPr>
          <w:p w14:paraId="2FAABD79" w14:textId="77777777" w:rsidR="000E1E46" w:rsidRPr="00273EC0" w:rsidRDefault="000E1E46" w:rsidP="004312BF">
            <w:pPr>
              <w:jc w:val="center"/>
              <w:rPr>
                <w:sz w:val="16"/>
                <w:szCs w:val="16"/>
              </w:rPr>
            </w:pPr>
            <w:r w:rsidRPr="00273EC0">
              <w:rPr>
                <w:sz w:val="16"/>
                <w:szCs w:val="16"/>
              </w:rPr>
              <w:t>243</w:t>
            </w:r>
          </w:p>
        </w:tc>
      </w:tr>
      <w:tr w:rsidR="000E1E46" w:rsidRPr="00273EC0" w14:paraId="4828E787" w14:textId="77777777" w:rsidTr="00FE0B4D">
        <w:trPr>
          <w:trHeight w:val="255"/>
          <w:jc w:val="center"/>
        </w:trPr>
        <w:tc>
          <w:tcPr>
            <w:tcW w:w="1701" w:type="dxa"/>
            <w:noWrap/>
            <w:vAlign w:val="center"/>
            <w:hideMark/>
          </w:tcPr>
          <w:p w14:paraId="0788EE5C" w14:textId="77777777" w:rsidR="000E1E46" w:rsidRPr="00273EC0" w:rsidRDefault="000E1E46" w:rsidP="004312BF">
            <w:pPr>
              <w:rPr>
                <w:sz w:val="16"/>
                <w:szCs w:val="16"/>
              </w:rPr>
            </w:pPr>
            <w:r w:rsidRPr="00273EC0">
              <w:rPr>
                <w:sz w:val="16"/>
                <w:szCs w:val="16"/>
              </w:rPr>
              <w:t>2004</w:t>
            </w:r>
          </w:p>
        </w:tc>
        <w:tc>
          <w:tcPr>
            <w:tcW w:w="3828" w:type="dxa"/>
            <w:noWrap/>
            <w:vAlign w:val="center"/>
            <w:hideMark/>
          </w:tcPr>
          <w:p w14:paraId="2B2CFF30" w14:textId="77777777" w:rsidR="000E1E46" w:rsidRPr="00273EC0" w:rsidRDefault="000E1E46" w:rsidP="004312BF">
            <w:pPr>
              <w:jc w:val="center"/>
              <w:rPr>
                <w:sz w:val="16"/>
                <w:szCs w:val="16"/>
              </w:rPr>
            </w:pPr>
            <w:r w:rsidRPr="00273EC0">
              <w:rPr>
                <w:sz w:val="16"/>
                <w:szCs w:val="16"/>
              </w:rPr>
              <w:t>48,33</w:t>
            </w:r>
          </w:p>
        </w:tc>
        <w:tc>
          <w:tcPr>
            <w:tcW w:w="2976" w:type="dxa"/>
            <w:noWrap/>
            <w:vAlign w:val="center"/>
            <w:hideMark/>
          </w:tcPr>
          <w:p w14:paraId="78469E04" w14:textId="77777777" w:rsidR="000E1E46" w:rsidRPr="00273EC0" w:rsidRDefault="000E1E46" w:rsidP="004312BF">
            <w:pPr>
              <w:jc w:val="center"/>
              <w:rPr>
                <w:sz w:val="16"/>
                <w:szCs w:val="16"/>
              </w:rPr>
            </w:pPr>
            <w:r w:rsidRPr="00273EC0">
              <w:rPr>
                <w:sz w:val="16"/>
                <w:szCs w:val="16"/>
              </w:rPr>
              <w:t>224</w:t>
            </w:r>
          </w:p>
        </w:tc>
      </w:tr>
      <w:tr w:rsidR="000E1E46" w:rsidRPr="00273EC0" w14:paraId="3EA70A3E" w14:textId="77777777" w:rsidTr="00FE0B4D">
        <w:trPr>
          <w:trHeight w:val="255"/>
          <w:jc w:val="center"/>
        </w:trPr>
        <w:tc>
          <w:tcPr>
            <w:tcW w:w="1701" w:type="dxa"/>
            <w:noWrap/>
            <w:vAlign w:val="center"/>
            <w:hideMark/>
          </w:tcPr>
          <w:p w14:paraId="64470B6B" w14:textId="77777777" w:rsidR="000E1E46" w:rsidRPr="00273EC0" w:rsidRDefault="000E1E46" w:rsidP="004312BF">
            <w:pPr>
              <w:rPr>
                <w:sz w:val="16"/>
                <w:szCs w:val="16"/>
              </w:rPr>
            </w:pPr>
            <w:r w:rsidRPr="00273EC0">
              <w:rPr>
                <w:sz w:val="16"/>
                <w:szCs w:val="16"/>
              </w:rPr>
              <w:t>2005</w:t>
            </w:r>
          </w:p>
        </w:tc>
        <w:tc>
          <w:tcPr>
            <w:tcW w:w="3828" w:type="dxa"/>
            <w:noWrap/>
            <w:vAlign w:val="center"/>
            <w:hideMark/>
          </w:tcPr>
          <w:p w14:paraId="148DFEDC" w14:textId="77777777" w:rsidR="000E1E46" w:rsidRPr="00273EC0" w:rsidRDefault="000E1E46" w:rsidP="004312BF">
            <w:pPr>
              <w:jc w:val="center"/>
              <w:rPr>
                <w:sz w:val="16"/>
                <w:szCs w:val="16"/>
              </w:rPr>
            </w:pPr>
            <w:r w:rsidRPr="00273EC0">
              <w:rPr>
                <w:sz w:val="16"/>
                <w:szCs w:val="16"/>
              </w:rPr>
              <w:t>43,49</w:t>
            </w:r>
          </w:p>
        </w:tc>
        <w:tc>
          <w:tcPr>
            <w:tcW w:w="2976" w:type="dxa"/>
            <w:noWrap/>
            <w:vAlign w:val="center"/>
            <w:hideMark/>
          </w:tcPr>
          <w:p w14:paraId="2677027C" w14:textId="77777777" w:rsidR="000E1E46" w:rsidRPr="00273EC0" w:rsidRDefault="000E1E46" w:rsidP="004312BF">
            <w:pPr>
              <w:jc w:val="center"/>
              <w:rPr>
                <w:sz w:val="16"/>
                <w:szCs w:val="16"/>
              </w:rPr>
            </w:pPr>
            <w:r w:rsidRPr="00273EC0">
              <w:rPr>
                <w:sz w:val="16"/>
                <w:szCs w:val="16"/>
              </w:rPr>
              <w:t>203</w:t>
            </w:r>
          </w:p>
        </w:tc>
      </w:tr>
      <w:tr w:rsidR="000E1E46" w:rsidRPr="00273EC0" w14:paraId="4727EF1A" w14:textId="77777777" w:rsidTr="00FE0B4D">
        <w:trPr>
          <w:trHeight w:val="255"/>
          <w:jc w:val="center"/>
        </w:trPr>
        <w:tc>
          <w:tcPr>
            <w:tcW w:w="1701" w:type="dxa"/>
            <w:noWrap/>
            <w:vAlign w:val="center"/>
            <w:hideMark/>
          </w:tcPr>
          <w:p w14:paraId="2940B308" w14:textId="77777777" w:rsidR="000E1E46" w:rsidRPr="00273EC0" w:rsidRDefault="000E1E46" w:rsidP="004312BF">
            <w:pPr>
              <w:rPr>
                <w:sz w:val="16"/>
                <w:szCs w:val="16"/>
              </w:rPr>
            </w:pPr>
            <w:r w:rsidRPr="00273EC0">
              <w:rPr>
                <w:sz w:val="16"/>
                <w:szCs w:val="16"/>
              </w:rPr>
              <w:t>2006</w:t>
            </w:r>
          </w:p>
        </w:tc>
        <w:tc>
          <w:tcPr>
            <w:tcW w:w="3828" w:type="dxa"/>
            <w:noWrap/>
            <w:vAlign w:val="center"/>
            <w:hideMark/>
          </w:tcPr>
          <w:p w14:paraId="322110D3" w14:textId="77777777" w:rsidR="000E1E46" w:rsidRPr="00273EC0" w:rsidRDefault="000E1E46" w:rsidP="004312BF">
            <w:pPr>
              <w:jc w:val="center"/>
              <w:rPr>
                <w:sz w:val="16"/>
                <w:szCs w:val="16"/>
              </w:rPr>
            </w:pPr>
            <w:r w:rsidRPr="00273EC0">
              <w:rPr>
                <w:sz w:val="16"/>
                <w:szCs w:val="16"/>
              </w:rPr>
              <w:t>44,58</w:t>
            </w:r>
          </w:p>
        </w:tc>
        <w:tc>
          <w:tcPr>
            <w:tcW w:w="2976" w:type="dxa"/>
            <w:noWrap/>
            <w:vAlign w:val="center"/>
            <w:hideMark/>
          </w:tcPr>
          <w:p w14:paraId="398F3D1A" w14:textId="77777777" w:rsidR="000E1E46" w:rsidRPr="00273EC0" w:rsidRDefault="000E1E46" w:rsidP="004312BF">
            <w:pPr>
              <w:jc w:val="center"/>
              <w:rPr>
                <w:sz w:val="16"/>
                <w:szCs w:val="16"/>
              </w:rPr>
            </w:pPr>
            <w:r w:rsidRPr="00273EC0">
              <w:rPr>
                <w:sz w:val="16"/>
                <w:szCs w:val="16"/>
              </w:rPr>
              <w:t>189</w:t>
            </w:r>
          </w:p>
        </w:tc>
      </w:tr>
      <w:tr w:rsidR="000E1E46" w:rsidRPr="00273EC0" w14:paraId="272ADFE0" w14:textId="77777777" w:rsidTr="00FE0B4D">
        <w:trPr>
          <w:trHeight w:val="255"/>
          <w:jc w:val="center"/>
        </w:trPr>
        <w:tc>
          <w:tcPr>
            <w:tcW w:w="1701" w:type="dxa"/>
            <w:noWrap/>
            <w:vAlign w:val="center"/>
            <w:hideMark/>
          </w:tcPr>
          <w:p w14:paraId="620C9E6C" w14:textId="77777777" w:rsidR="000E1E46" w:rsidRPr="00273EC0" w:rsidRDefault="000E1E46" w:rsidP="004312BF">
            <w:pPr>
              <w:rPr>
                <w:sz w:val="16"/>
                <w:szCs w:val="16"/>
              </w:rPr>
            </w:pPr>
            <w:r w:rsidRPr="00273EC0">
              <w:rPr>
                <w:sz w:val="16"/>
                <w:szCs w:val="16"/>
              </w:rPr>
              <w:t>2007</w:t>
            </w:r>
          </w:p>
        </w:tc>
        <w:tc>
          <w:tcPr>
            <w:tcW w:w="3828" w:type="dxa"/>
            <w:noWrap/>
            <w:vAlign w:val="center"/>
            <w:hideMark/>
          </w:tcPr>
          <w:p w14:paraId="1926773E" w14:textId="77777777" w:rsidR="000E1E46" w:rsidRPr="00273EC0" w:rsidRDefault="000E1E46" w:rsidP="004312BF">
            <w:pPr>
              <w:jc w:val="center"/>
              <w:rPr>
                <w:sz w:val="16"/>
                <w:szCs w:val="16"/>
              </w:rPr>
            </w:pPr>
            <w:r w:rsidRPr="00273EC0">
              <w:rPr>
                <w:sz w:val="16"/>
                <w:szCs w:val="16"/>
              </w:rPr>
              <w:t>46,37</w:t>
            </w:r>
          </w:p>
        </w:tc>
        <w:tc>
          <w:tcPr>
            <w:tcW w:w="2976" w:type="dxa"/>
            <w:noWrap/>
            <w:vAlign w:val="center"/>
            <w:hideMark/>
          </w:tcPr>
          <w:p w14:paraId="73B94F7A" w14:textId="77777777" w:rsidR="000E1E46" w:rsidRPr="00273EC0" w:rsidRDefault="000E1E46" w:rsidP="004312BF">
            <w:pPr>
              <w:jc w:val="center"/>
              <w:rPr>
                <w:sz w:val="16"/>
                <w:szCs w:val="16"/>
              </w:rPr>
            </w:pPr>
            <w:r w:rsidRPr="00273EC0">
              <w:rPr>
                <w:sz w:val="16"/>
                <w:szCs w:val="16"/>
              </w:rPr>
              <w:t>188</w:t>
            </w:r>
          </w:p>
        </w:tc>
      </w:tr>
      <w:tr w:rsidR="000E1E46" w:rsidRPr="00273EC0" w14:paraId="2220C258" w14:textId="77777777" w:rsidTr="00FE0B4D">
        <w:trPr>
          <w:trHeight w:val="255"/>
          <w:jc w:val="center"/>
        </w:trPr>
        <w:tc>
          <w:tcPr>
            <w:tcW w:w="1701" w:type="dxa"/>
            <w:noWrap/>
            <w:vAlign w:val="center"/>
            <w:hideMark/>
          </w:tcPr>
          <w:p w14:paraId="32DB6539" w14:textId="77777777" w:rsidR="000E1E46" w:rsidRPr="00273EC0" w:rsidRDefault="000E1E46" w:rsidP="004312BF">
            <w:pPr>
              <w:rPr>
                <w:sz w:val="16"/>
                <w:szCs w:val="16"/>
              </w:rPr>
            </w:pPr>
            <w:r w:rsidRPr="00273EC0">
              <w:rPr>
                <w:sz w:val="16"/>
                <w:szCs w:val="16"/>
              </w:rPr>
              <w:t>2008</w:t>
            </w:r>
          </w:p>
        </w:tc>
        <w:tc>
          <w:tcPr>
            <w:tcW w:w="3828" w:type="dxa"/>
            <w:noWrap/>
            <w:vAlign w:val="center"/>
            <w:hideMark/>
          </w:tcPr>
          <w:p w14:paraId="25C7152C" w14:textId="77777777" w:rsidR="000E1E46" w:rsidRPr="00273EC0" w:rsidRDefault="000E1E46" w:rsidP="004312BF">
            <w:pPr>
              <w:jc w:val="center"/>
              <w:rPr>
                <w:sz w:val="16"/>
                <w:szCs w:val="16"/>
              </w:rPr>
            </w:pPr>
            <w:r w:rsidRPr="00273EC0">
              <w:rPr>
                <w:sz w:val="16"/>
                <w:szCs w:val="16"/>
              </w:rPr>
              <w:t>45,76</w:t>
            </w:r>
          </w:p>
        </w:tc>
        <w:tc>
          <w:tcPr>
            <w:tcW w:w="2976" w:type="dxa"/>
            <w:noWrap/>
            <w:vAlign w:val="center"/>
            <w:hideMark/>
          </w:tcPr>
          <w:p w14:paraId="61840E2D" w14:textId="77777777" w:rsidR="000E1E46" w:rsidRPr="00273EC0" w:rsidRDefault="000E1E46" w:rsidP="004312BF">
            <w:pPr>
              <w:jc w:val="center"/>
              <w:rPr>
                <w:sz w:val="16"/>
                <w:szCs w:val="16"/>
              </w:rPr>
            </w:pPr>
            <w:r w:rsidRPr="00273EC0">
              <w:rPr>
                <w:sz w:val="16"/>
                <w:szCs w:val="16"/>
              </w:rPr>
              <w:t>176</w:t>
            </w:r>
          </w:p>
        </w:tc>
      </w:tr>
      <w:tr w:rsidR="000E1E46" w:rsidRPr="00273EC0" w14:paraId="781A2224" w14:textId="77777777" w:rsidTr="00FE0B4D">
        <w:trPr>
          <w:trHeight w:val="255"/>
          <w:jc w:val="center"/>
        </w:trPr>
        <w:tc>
          <w:tcPr>
            <w:tcW w:w="1701" w:type="dxa"/>
            <w:noWrap/>
            <w:vAlign w:val="center"/>
            <w:hideMark/>
          </w:tcPr>
          <w:p w14:paraId="5DCC7652" w14:textId="77777777" w:rsidR="000E1E46" w:rsidRPr="00273EC0" w:rsidRDefault="000E1E46" w:rsidP="004312BF">
            <w:pPr>
              <w:rPr>
                <w:sz w:val="16"/>
                <w:szCs w:val="16"/>
              </w:rPr>
            </w:pPr>
            <w:r w:rsidRPr="00273EC0">
              <w:rPr>
                <w:sz w:val="16"/>
                <w:szCs w:val="16"/>
              </w:rPr>
              <w:t>2009</w:t>
            </w:r>
          </w:p>
        </w:tc>
        <w:tc>
          <w:tcPr>
            <w:tcW w:w="3828" w:type="dxa"/>
            <w:noWrap/>
            <w:vAlign w:val="center"/>
            <w:hideMark/>
          </w:tcPr>
          <w:p w14:paraId="07E40527" w14:textId="77777777" w:rsidR="000E1E46" w:rsidRPr="00273EC0" w:rsidRDefault="000E1E46" w:rsidP="004312BF">
            <w:pPr>
              <w:jc w:val="center"/>
              <w:rPr>
                <w:sz w:val="16"/>
                <w:szCs w:val="16"/>
              </w:rPr>
            </w:pPr>
            <w:r w:rsidRPr="00273EC0">
              <w:rPr>
                <w:sz w:val="16"/>
                <w:szCs w:val="16"/>
              </w:rPr>
              <w:t>46,16</w:t>
            </w:r>
          </w:p>
        </w:tc>
        <w:tc>
          <w:tcPr>
            <w:tcW w:w="2976" w:type="dxa"/>
            <w:noWrap/>
            <w:vAlign w:val="center"/>
            <w:hideMark/>
          </w:tcPr>
          <w:p w14:paraId="51A66915" w14:textId="77777777" w:rsidR="000E1E46" w:rsidRPr="00273EC0" w:rsidRDefault="000E1E46" w:rsidP="004312BF">
            <w:pPr>
              <w:jc w:val="center"/>
              <w:rPr>
                <w:sz w:val="16"/>
                <w:szCs w:val="16"/>
              </w:rPr>
            </w:pPr>
            <w:r w:rsidRPr="00273EC0">
              <w:rPr>
                <w:sz w:val="16"/>
                <w:szCs w:val="16"/>
              </w:rPr>
              <w:t>179</w:t>
            </w:r>
          </w:p>
        </w:tc>
      </w:tr>
      <w:tr w:rsidR="000E1E46" w:rsidRPr="00273EC0" w14:paraId="5E24B21E" w14:textId="77777777" w:rsidTr="00FE0B4D">
        <w:trPr>
          <w:trHeight w:val="255"/>
          <w:jc w:val="center"/>
        </w:trPr>
        <w:tc>
          <w:tcPr>
            <w:tcW w:w="1701" w:type="dxa"/>
            <w:noWrap/>
            <w:vAlign w:val="center"/>
            <w:hideMark/>
          </w:tcPr>
          <w:p w14:paraId="1D9CC547" w14:textId="77777777" w:rsidR="000E1E46" w:rsidRPr="00273EC0" w:rsidRDefault="000E1E46" w:rsidP="004312BF">
            <w:pPr>
              <w:rPr>
                <w:sz w:val="16"/>
                <w:szCs w:val="16"/>
              </w:rPr>
            </w:pPr>
            <w:r w:rsidRPr="00273EC0">
              <w:rPr>
                <w:sz w:val="16"/>
                <w:szCs w:val="16"/>
              </w:rPr>
              <w:t>2010</w:t>
            </w:r>
          </w:p>
        </w:tc>
        <w:tc>
          <w:tcPr>
            <w:tcW w:w="3828" w:type="dxa"/>
            <w:noWrap/>
            <w:vAlign w:val="center"/>
            <w:hideMark/>
          </w:tcPr>
          <w:p w14:paraId="2248F48F" w14:textId="77777777" w:rsidR="000E1E46" w:rsidRPr="00273EC0" w:rsidRDefault="000E1E46" w:rsidP="004312BF">
            <w:pPr>
              <w:jc w:val="center"/>
              <w:rPr>
                <w:sz w:val="16"/>
                <w:szCs w:val="16"/>
              </w:rPr>
            </w:pPr>
            <w:r w:rsidRPr="00273EC0">
              <w:rPr>
                <w:sz w:val="16"/>
                <w:szCs w:val="16"/>
              </w:rPr>
              <w:t>48,61</w:t>
            </w:r>
          </w:p>
        </w:tc>
        <w:tc>
          <w:tcPr>
            <w:tcW w:w="2976" w:type="dxa"/>
            <w:noWrap/>
            <w:vAlign w:val="center"/>
            <w:hideMark/>
          </w:tcPr>
          <w:p w14:paraId="63DADB87" w14:textId="77777777" w:rsidR="000E1E46" w:rsidRPr="00273EC0" w:rsidRDefault="000E1E46" w:rsidP="004312BF">
            <w:pPr>
              <w:jc w:val="center"/>
              <w:rPr>
                <w:sz w:val="16"/>
                <w:szCs w:val="16"/>
              </w:rPr>
            </w:pPr>
            <w:r w:rsidRPr="00273EC0">
              <w:rPr>
                <w:sz w:val="16"/>
                <w:szCs w:val="16"/>
              </w:rPr>
              <w:t>182</w:t>
            </w:r>
          </w:p>
        </w:tc>
      </w:tr>
      <w:tr w:rsidR="000E1E46" w:rsidRPr="00273EC0" w14:paraId="42CDE051" w14:textId="77777777" w:rsidTr="00FE0B4D">
        <w:trPr>
          <w:trHeight w:val="255"/>
          <w:jc w:val="center"/>
        </w:trPr>
        <w:tc>
          <w:tcPr>
            <w:tcW w:w="1701" w:type="dxa"/>
            <w:noWrap/>
            <w:vAlign w:val="center"/>
            <w:hideMark/>
          </w:tcPr>
          <w:p w14:paraId="40D20E34" w14:textId="77777777" w:rsidR="000E1E46" w:rsidRPr="00273EC0" w:rsidRDefault="000E1E46" w:rsidP="004312BF">
            <w:pPr>
              <w:rPr>
                <w:sz w:val="16"/>
                <w:szCs w:val="16"/>
              </w:rPr>
            </w:pPr>
            <w:r w:rsidRPr="00273EC0">
              <w:rPr>
                <w:sz w:val="16"/>
                <w:szCs w:val="16"/>
              </w:rPr>
              <w:t>2011</w:t>
            </w:r>
          </w:p>
        </w:tc>
        <w:tc>
          <w:tcPr>
            <w:tcW w:w="3828" w:type="dxa"/>
            <w:noWrap/>
            <w:vAlign w:val="center"/>
            <w:hideMark/>
          </w:tcPr>
          <w:p w14:paraId="5577AA8B" w14:textId="77777777" w:rsidR="000E1E46" w:rsidRPr="00273EC0" w:rsidRDefault="000E1E46" w:rsidP="004312BF">
            <w:pPr>
              <w:jc w:val="center"/>
              <w:rPr>
                <w:sz w:val="16"/>
                <w:szCs w:val="16"/>
              </w:rPr>
            </w:pPr>
            <w:r w:rsidRPr="00273EC0">
              <w:rPr>
                <w:sz w:val="16"/>
                <w:szCs w:val="16"/>
              </w:rPr>
              <w:t>38,85</w:t>
            </w:r>
          </w:p>
        </w:tc>
        <w:tc>
          <w:tcPr>
            <w:tcW w:w="2976" w:type="dxa"/>
            <w:noWrap/>
            <w:vAlign w:val="center"/>
            <w:hideMark/>
          </w:tcPr>
          <w:p w14:paraId="6AD6858A" w14:textId="77777777" w:rsidR="000E1E46" w:rsidRPr="00273EC0" w:rsidRDefault="000E1E46" w:rsidP="004312BF">
            <w:pPr>
              <w:jc w:val="center"/>
              <w:rPr>
                <w:sz w:val="16"/>
                <w:szCs w:val="16"/>
              </w:rPr>
            </w:pPr>
            <w:r w:rsidRPr="00273EC0">
              <w:rPr>
                <w:sz w:val="16"/>
                <w:szCs w:val="16"/>
              </w:rPr>
              <w:t>182</w:t>
            </w:r>
          </w:p>
        </w:tc>
      </w:tr>
      <w:tr w:rsidR="000E1E46" w:rsidRPr="00273EC0" w14:paraId="7D2D6358" w14:textId="77777777" w:rsidTr="00FE0B4D">
        <w:trPr>
          <w:trHeight w:val="255"/>
          <w:jc w:val="center"/>
        </w:trPr>
        <w:tc>
          <w:tcPr>
            <w:tcW w:w="1701" w:type="dxa"/>
            <w:noWrap/>
            <w:vAlign w:val="center"/>
            <w:hideMark/>
          </w:tcPr>
          <w:p w14:paraId="6F234D87" w14:textId="77777777" w:rsidR="000E1E46" w:rsidRPr="00273EC0" w:rsidRDefault="000E1E46" w:rsidP="004312BF">
            <w:pPr>
              <w:rPr>
                <w:sz w:val="16"/>
                <w:szCs w:val="16"/>
              </w:rPr>
            </w:pPr>
            <w:r w:rsidRPr="00273EC0">
              <w:rPr>
                <w:sz w:val="16"/>
                <w:szCs w:val="16"/>
              </w:rPr>
              <w:t>2012</w:t>
            </w:r>
          </w:p>
        </w:tc>
        <w:tc>
          <w:tcPr>
            <w:tcW w:w="3828" w:type="dxa"/>
            <w:noWrap/>
            <w:vAlign w:val="center"/>
            <w:hideMark/>
          </w:tcPr>
          <w:p w14:paraId="38622689" w14:textId="77777777" w:rsidR="000E1E46" w:rsidRPr="00273EC0" w:rsidRDefault="000E1E46" w:rsidP="004312BF">
            <w:pPr>
              <w:jc w:val="center"/>
              <w:rPr>
                <w:sz w:val="16"/>
                <w:szCs w:val="16"/>
              </w:rPr>
            </w:pPr>
            <w:r w:rsidRPr="00273EC0">
              <w:rPr>
                <w:sz w:val="16"/>
                <w:szCs w:val="16"/>
              </w:rPr>
              <w:t>40,73</w:t>
            </w:r>
          </w:p>
        </w:tc>
        <w:tc>
          <w:tcPr>
            <w:tcW w:w="2976" w:type="dxa"/>
            <w:noWrap/>
            <w:vAlign w:val="center"/>
            <w:hideMark/>
          </w:tcPr>
          <w:p w14:paraId="286D1E3A" w14:textId="77777777" w:rsidR="000E1E46" w:rsidRPr="00273EC0" w:rsidRDefault="000E1E46" w:rsidP="004312BF">
            <w:pPr>
              <w:jc w:val="center"/>
              <w:rPr>
                <w:sz w:val="16"/>
                <w:szCs w:val="16"/>
              </w:rPr>
            </w:pPr>
            <w:r w:rsidRPr="00273EC0">
              <w:rPr>
                <w:sz w:val="16"/>
                <w:szCs w:val="16"/>
              </w:rPr>
              <w:t>174</w:t>
            </w:r>
          </w:p>
        </w:tc>
      </w:tr>
      <w:tr w:rsidR="000E1E46" w:rsidRPr="00273EC0" w14:paraId="43096006" w14:textId="77777777" w:rsidTr="00FE0B4D">
        <w:trPr>
          <w:trHeight w:val="255"/>
          <w:jc w:val="center"/>
        </w:trPr>
        <w:tc>
          <w:tcPr>
            <w:tcW w:w="1701" w:type="dxa"/>
            <w:noWrap/>
            <w:vAlign w:val="center"/>
            <w:hideMark/>
          </w:tcPr>
          <w:p w14:paraId="514923B9" w14:textId="77777777" w:rsidR="000E1E46" w:rsidRPr="00273EC0" w:rsidRDefault="000E1E46" w:rsidP="004312BF">
            <w:pPr>
              <w:rPr>
                <w:sz w:val="16"/>
                <w:szCs w:val="16"/>
              </w:rPr>
            </w:pPr>
            <w:r w:rsidRPr="00273EC0">
              <w:rPr>
                <w:sz w:val="16"/>
                <w:szCs w:val="16"/>
              </w:rPr>
              <w:t>2013</w:t>
            </w:r>
          </w:p>
        </w:tc>
        <w:tc>
          <w:tcPr>
            <w:tcW w:w="3828" w:type="dxa"/>
            <w:noWrap/>
            <w:vAlign w:val="center"/>
            <w:hideMark/>
          </w:tcPr>
          <w:p w14:paraId="7DEC5AAD" w14:textId="77777777" w:rsidR="000E1E46" w:rsidRPr="00273EC0" w:rsidRDefault="000E1E46" w:rsidP="004312BF">
            <w:pPr>
              <w:jc w:val="center"/>
              <w:rPr>
                <w:sz w:val="16"/>
                <w:szCs w:val="16"/>
              </w:rPr>
            </w:pPr>
            <w:r w:rsidRPr="00273EC0">
              <w:rPr>
                <w:sz w:val="16"/>
                <w:szCs w:val="16"/>
              </w:rPr>
              <w:t>41,49</w:t>
            </w:r>
          </w:p>
        </w:tc>
        <w:tc>
          <w:tcPr>
            <w:tcW w:w="2976" w:type="dxa"/>
            <w:noWrap/>
            <w:vAlign w:val="center"/>
            <w:hideMark/>
          </w:tcPr>
          <w:p w14:paraId="6F5FA351" w14:textId="77777777" w:rsidR="000E1E46" w:rsidRPr="00273EC0" w:rsidRDefault="000E1E46" w:rsidP="004312BF">
            <w:pPr>
              <w:jc w:val="center"/>
              <w:rPr>
                <w:sz w:val="16"/>
                <w:szCs w:val="16"/>
              </w:rPr>
            </w:pPr>
            <w:r w:rsidRPr="00273EC0">
              <w:rPr>
                <w:sz w:val="16"/>
                <w:szCs w:val="16"/>
              </w:rPr>
              <w:t>183</w:t>
            </w:r>
          </w:p>
        </w:tc>
      </w:tr>
      <w:tr w:rsidR="000E1E46" w:rsidRPr="00273EC0" w14:paraId="3B96F5E9" w14:textId="77777777" w:rsidTr="00FE0B4D">
        <w:trPr>
          <w:trHeight w:val="255"/>
          <w:jc w:val="center"/>
        </w:trPr>
        <w:tc>
          <w:tcPr>
            <w:tcW w:w="1701" w:type="dxa"/>
            <w:noWrap/>
            <w:vAlign w:val="center"/>
            <w:hideMark/>
          </w:tcPr>
          <w:p w14:paraId="59B59AEC" w14:textId="77777777" w:rsidR="000E1E46" w:rsidRPr="00273EC0" w:rsidRDefault="000E1E46" w:rsidP="004312BF">
            <w:pPr>
              <w:rPr>
                <w:sz w:val="16"/>
                <w:szCs w:val="16"/>
              </w:rPr>
            </w:pPr>
            <w:r w:rsidRPr="00273EC0">
              <w:rPr>
                <w:sz w:val="16"/>
                <w:szCs w:val="16"/>
              </w:rPr>
              <w:t>2014</w:t>
            </w:r>
          </w:p>
        </w:tc>
        <w:tc>
          <w:tcPr>
            <w:tcW w:w="3828" w:type="dxa"/>
            <w:noWrap/>
            <w:vAlign w:val="center"/>
            <w:hideMark/>
          </w:tcPr>
          <w:p w14:paraId="27053A49" w14:textId="77777777" w:rsidR="000E1E46" w:rsidRPr="00273EC0" w:rsidRDefault="000E1E46" w:rsidP="004312BF">
            <w:pPr>
              <w:jc w:val="center"/>
              <w:rPr>
                <w:sz w:val="16"/>
                <w:szCs w:val="16"/>
              </w:rPr>
            </w:pPr>
            <w:r w:rsidRPr="00273EC0">
              <w:rPr>
                <w:sz w:val="16"/>
                <w:szCs w:val="16"/>
              </w:rPr>
              <w:t>43,49</w:t>
            </w:r>
          </w:p>
        </w:tc>
        <w:tc>
          <w:tcPr>
            <w:tcW w:w="2976" w:type="dxa"/>
            <w:noWrap/>
            <w:vAlign w:val="center"/>
            <w:hideMark/>
          </w:tcPr>
          <w:p w14:paraId="0E99C13D" w14:textId="77777777" w:rsidR="000E1E46" w:rsidRPr="00273EC0" w:rsidRDefault="000E1E46" w:rsidP="004312BF">
            <w:pPr>
              <w:jc w:val="center"/>
              <w:rPr>
                <w:sz w:val="16"/>
                <w:szCs w:val="16"/>
              </w:rPr>
            </w:pPr>
            <w:r w:rsidRPr="00273EC0">
              <w:rPr>
                <w:sz w:val="16"/>
                <w:szCs w:val="16"/>
              </w:rPr>
              <w:t>178</w:t>
            </w:r>
          </w:p>
        </w:tc>
      </w:tr>
      <w:tr w:rsidR="000E1E46" w:rsidRPr="00273EC0" w14:paraId="218DEA0C" w14:textId="77777777" w:rsidTr="00FE0B4D">
        <w:trPr>
          <w:trHeight w:val="255"/>
          <w:jc w:val="center"/>
        </w:trPr>
        <w:tc>
          <w:tcPr>
            <w:tcW w:w="1701" w:type="dxa"/>
            <w:noWrap/>
            <w:vAlign w:val="center"/>
            <w:hideMark/>
          </w:tcPr>
          <w:p w14:paraId="2964C0B1" w14:textId="77777777" w:rsidR="000E1E46" w:rsidRPr="00273EC0" w:rsidRDefault="000E1E46" w:rsidP="004312BF">
            <w:pPr>
              <w:rPr>
                <w:sz w:val="16"/>
                <w:szCs w:val="16"/>
              </w:rPr>
            </w:pPr>
            <w:r w:rsidRPr="00273EC0">
              <w:rPr>
                <w:sz w:val="16"/>
                <w:szCs w:val="16"/>
              </w:rPr>
              <w:t>2015</w:t>
            </w:r>
          </w:p>
        </w:tc>
        <w:tc>
          <w:tcPr>
            <w:tcW w:w="3828" w:type="dxa"/>
            <w:noWrap/>
            <w:vAlign w:val="center"/>
            <w:hideMark/>
          </w:tcPr>
          <w:p w14:paraId="19410000" w14:textId="77777777" w:rsidR="000E1E46" w:rsidRPr="00273EC0" w:rsidRDefault="000E1E46" w:rsidP="004312BF">
            <w:pPr>
              <w:jc w:val="center"/>
              <w:rPr>
                <w:sz w:val="16"/>
                <w:szCs w:val="16"/>
              </w:rPr>
            </w:pPr>
            <w:r w:rsidRPr="00273EC0">
              <w:rPr>
                <w:sz w:val="16"/>
                <w:szCs w:val="16"/>
              </w:rPr>
              <w:t>47,91</w:t>
            </w:r>
          </w:p>
        </w:tc>
        <w:tc>
          <w:tcPr>
            <w:tcW w:w="2976" w:type="dxa"/>
            <w:noWrap/>
            <w:vAlign w:val="center"/>
            <w:hideMark/>
          </w:tcPr>
          <w:p w14:paraId="6DA9AE3A" w14:textId="77777777" w:rsidR="000E1E46" w:rsidRPr="00273EC0" w:rsidRDefault="000E1E46" w:rsidP="004312BF">
            <w:pPr>
              <w:jc w:val="center"/>
              <w:rPr>
                <w:sz w:val="16"/>
                <w:szCs w:val="16"/>
              </w:rPr>
            </w:pPr>
            <w:r w:rsidRPr="00273EC0">
              <w:rPr>
                <w:sz w:val="16"/>
                <w:szCs w:val="16"/>
              </w:rPr>
              <w:t>198</w:t>
            </w:r>
          </w:p>
        </w:tc>
      </w:tr>
      <w:tr w:rsidR="000E1E46" w:rsidRPr="00273EC0" w14:paraId="2E3A6980" w14:textId="77777777" w:rsidTr="00FE0B4D">
        <w:trPr>
          <w:trHeight w:val="255"/>
          <w:jc w:val="center"/>
        </w:trPr>
        <w:tc>
          <w:tcPr>
            <w:tcW w:w="1701" w:type="dxa"/>
            <w:noWrap/>
            <w:vAlign w:val="center"/>
            <w:hideMark/>
          </w:tcPr>
          <w:p w14:paraId="5C589551" w14:textId="77777777" w:rsidR="000E1E46" w:rsidRPr="00273EC0" w:rsidRDefault="000E1E46" w:rsidP="004312BF">
            <w:pPr>
              <w:rPr>
                <w:sz w:val="16"/>
                <w:szCs w:val="16"/>
              </w:rPr>
            </w:pPr>
            <w:r w:rsidRPr="00273EC0">
              <w:rPr>
                <w:sz w:val="16"/>
                <w:szCs w:val="16"/>
              </w:rPr>
              <w:t>2016</w:t>
            </w:r>
          </w:p>
        </w:tc>
        <w:tc>
          <w:tcPr>
            <w:tcW w:w="3828" w:type="dxa"/>
            <w:noWrap/>
            <w:vAlign w:val="center"/>
            <w:hideMark/>
          </w:tcPr>
          <w:p w14:paraId="4D651ECA" w14:textId="77777777" w:rsidR="000E1E46" w:rsidRPr="00273EC0" w:rsidRDefault="000E1E46" w:rsidP="004312BF">
            <w:pPr>
              <w:jc w:val="center"/>
              <w:rPr>
                <w:sz w:val="16"/>
                <w:szCs w:val="16"/>
              </w:rPr>
            </w:pPr>
            <w:r w:rsidRPr="00273EC0">
              <w:rPr>
                <w:sz w:val="16"/>
                <w:szCs w:val="16"/>
              </w:rPr>
              <w:t>49,29</w:t>
            </w:r>
          </w:p>
        </w:tc>
        <w:tc>
          <w:tcPr>
            <w:tcW w:w="2976" w:type="dxa"/>
            <w:noWrap/>
            <w:vAlign w:val="center"/>
            <w:hideMark/>
          </w:tcPr>
          <w:p w14:paraId="3B5B0778" w14:textId="77777777" w:rsidR="000E1E46" w:rsidRPr="00273EC0" w:rsidRDefault="000E1E46" w:rsidP="004312BF">
            <w:pPr>
              <w:jc w:val="center"/>
              <w:rPr>
                <w:sz w:val="16"/>
                <w:szCs w:val="16"/>
              </w:rPr>
            </w:pPr>
            <w:r w:rsidRPr="00273EC0">
              <w:rPr>
                <w:sz w:val="16"/>
                <w:szCs w:val="16"/>
              </w:rPr>
              <w:t>203</w:t>
            </w:r>
          </w:p>
        </w:tc>
      </w:tr>
      <w:tr w:rsidR="000E1E46" w:rsidRPr="00273EC0" w14:paraId="2A2F7E0B" w14:textId="77777777" w:rsidTr="00FE0B4D">
        <w:trPr>
          <w:trHeight w:val="255"/>
          <w:jc w:val="center"/>
        </w:trPr>
        <w:tc>
          <w:tcPr>
            <w:tcW w:w="1701" w:type="dxa"/>
            <w:tcBorders>
              <w:top w:val="nil"/>
              <w:left w:val="nil"/>
              <w:bottom w:val="single" w:sz="6" w:space="0" w:color="C00000"/>
              <w:right w:val="nil"/>
            </w:tcBorders>
            <w:noWrap/>
            <w:vAlign w:val="center"/>
            <w:hideMark/>
          </w:tcPr>
          <w:p w14:paraId="11EE245A" w14:textId="77777777" w:rsidR="000E1E46" w:rsidRPr="00273EC0" w:rsidRDefault="000E1E46" w:rsidP="004312BF">
            <w:pPr>
              <w:rPr>
                <w:sz w:val="16"/>
                <w:szCs w:val="16"/>
              </w:rPr>
            </w:pPr>
            <w:r w:rsidRPr="00273EC0">
              <w:rPr>
                <w:sz w:val="16"/>
                <w:szCs w:val="16"/>
              </w:rPr>
              <w:t>2017</w:t>
            </w:r>
          </w:p>
        </w:tc>
        <w:tc>
          <w:tcPr>
            <w:tcW w:w="3828" w:type="dxa"/>
            <w:tcBorders>
              <w:top w:val="nil"/>
              <w:left w:val="nil"/>
              <w:bottom w:val="single" w:sz="6" w:space="0" w:color="C00000"/>
              <w:right w:val="nil"/>
            </w:tcBorders>
            <w:noWrap/>
            <w:vAlign w:val="center"/>
            <w:hideMark/>
          </w:tcPr>
          <w:p w14:paraId="77F543CB" w14:textId="77777777" w:rsidR="000E1E46" w:rsidRPr="00273EC0" w:rsidRDefault="000E1E46" w:rsidP="004312BF">
            <w:pPr>
              <w:jc w:val="center"/>
              <w:rPr>
                <w:sz w:val="16"/>
                <w:szCs w:val="16"/>
              </w:rPr>
            </w:pPr>
            <w:r w:rsidRPr="00273EC0">
              <w:rPr>
                <w:sz w:val="16"/>
                <w:szCs w:val="16"/>
              </w:rPr>
              <w:t>49,99</w:t>
            </w:r>
          </w:p>
        </w:tc>
        <w:tc>
          <w:tcPr>
            <w:tcW w:w="2976" w:type="dxa"/>
            <w:tcBorders>
              <w:top w:val="nil"/>
              <w:left w:val="nil"/>
              <w:bottom w:val="single" w:sz="6" w:space="0" w:color="C00000"/>
              <w:right w:val="nil"/>
            </w:tcBorders>
            <w:noWrap/>
            <w:vAlign w:val="center"/>
            <w:hideMark/>
          </w:tcPr>
          <w:p w14:paraId="1736BE4E" w14:textId="77777777" w:rsidR="000E1E46" w:rsidRPr="00273EC0" w:rsidRDefault="000E1E46" w:rsidP="004312BF">
            <w:pPr>
              <w:jc w:val="center"/>
              <w:rPr>
                <w:sz w:val="16"/>
                <w:szCs w:val="16"/>
              </w:rPr>
            </w:pPr>
            <w:r w:rsidRPr="00273EC0">
              <w:rPr>
                <w:sz w:val="16"/>
                <w:szCs w:val="16"/>
              </w:rPr>
              <w:t>186</w:t>
            </w:r>
          </w:p>
        </w:tc>
      </w:tr>
    </w:tbl>
    <w:p w14:paraId="1EB585A6" w14:textId="77777777" w:rsidR="000E1E46" w:rsidRDefault="000E1E46" w:rsidP="00FE0B4D">
      <w:pPr>
        <w:pStyle w:val="FJP-CorpoTexto"/>
        <w:spacing w:before="0" w:line="240" w:lineRule="auto"/>
        <w:rPr>
          <w:sz w:val="16"/>
          <w:szCs w:val="16"/>
        </w:rPr>
      </w:pPr>
      <w:r w:rsidRPr="00AC16DE">
        <w:rPr>
          <w:sz w:val="16"/>
          <w:szCs w:val="16"/>
        </w:rPr>
        <w:t>Fonte:</w:t>
      </w:r>
      <w:r w:rsidRPr="00A24954">
        <w:t xml:space="preserve"> </w:t>
      </w:r>
      <w:r w:rsidRPr="00A24954">
        <w:rPr>
          <w:sz w:val="16"/>
          <w:szCs w:val="16"/>
        </w:rPr>
        <w:t>Secretaria de Estado da Fazenda de Minas Gerais, Relatório de Gest</w:t>
      </w:r>
      <w:r>
        <w:rPr>
          <w:sz w:val="16"/>
          <w:szCs w:val="16"/>
        </w:rPr>
        <w:t>ão Fiscal terceiro quadrimestre</w:t>
      </w:r>
      <w:r w:rsidRPr="00AC16DE">
        <w:rPr>
          <w:sz w:val="16"/>
          <w:szCs w:val="16"/>
        </w:rPr>
        <w:t>.</w:t>
      </w:r>
    </w:p>
    <w:p w14:paraId="76A749D3" w14:textId="77777777" w:rsidR="000E1E46" w:rsidRDefault="000E1E46" w:rsidP="00870F79">
      <w:pPr>
        <w:pStyle w:val="FJP-CorpoTexto"/>
        <w:spacing w:line="480" w:lineRule="auto"/>
        <w:rPr>
          <w:rFonts w:ascii="Times New Roman" w:hAnsi="Times New Roman"/>
          <w:sz w:val="24"/>
          <w:szCs w:val="24"/>
        </w:rPr>
        <w:sectPr w:rsidR="000E1E46" w:rsidSect="00870F79">
          <w:type w:val="continuous"/>
          <w:pgSz w:w="11906" w:h="16838"/>
          <w:pgMar w:top="1440" w:right="1080" w:bottom="1440" w:left="1080" w:header="708" w:footer="708" w:gutter="0"/>
          <w:cols w:space="708"/>
          <w:docGrid w:linePitch="360"/>
        </w:sectPr>
      </w:pPr>
      <w:r w:rsidRPr="00AC16DE">
        <w:rPr>
          <w:rFonts w:ascii="Times New Roman" w:hAnsi="Times New Roman"/>
          <w:sz w:val="24"/>
          <w:szCs w:val="24"/>
        </w:rPr>
        <w:t>A partir da série de dados disponíveis, agrupando os períodos em quadriênios</w:t>
      </w:r>
      <w:r w:rsidRPr="00AC16DE">
        <w:rPr>
          <w:rStyle w:val="Refdenotaderodap"/>
          <w:rFonts w:ascii="Times New Roman" w:hAnsi="Times New Roman"/>
          <w:sz w:val="24"/>
          <w:szCs w:val="24"/>
        </w:rPr>
        <w:footnoteReference w:id="7"/>
      </w:r>
      <w:r w:rsidRPr="00AC16DE">
        <w:rPr>
          <w:rFonts w:ascii="Times New Roman" w:hAnsi="Times New Roman"/>
          <w:sz w:val="24"/>
          <w:szCs w:val="24"/>
        </w:rPr>
        <w:t>, verifica-se que nos últimos anos, o crescimento médio das receitas se reduziu pela metade. Inclusive, foi inferior à inflação média observada no período. Embora o crescimento médio das despesas tenha também diminuído, essa redução não foi suficiente para compensar a desaceleração da receita</w:t>
      </w:r>
      <w:r w:rsidRPr="00AC16DE">
        <w:rPr>
          <w:rStyle w:val="Refdenotaderodap"/>
          <w:rFonts w:ascii="Times New Roman" w:hAnsi="Times New Roman"/>
          <w:sz w:val="24"/>
          <w:szCs w:val="24"/>
        </w:rPr>
        <w:footnoteReference w:id="8"/>
      </w:r>
      <w:r w:rsidRPr="00AC16DE">
        <w:rPr>
          <w:rFonts w:ascii="Times New Roman" w:hAnsi="Times New Roman"/>
          <w:sz w:val="24"/>
          <w:szCs w:val="24"/>
        </w:rPr>
        <w:t>.</w:t>
      </w:r>
    </w:p>
    <w:p w14:paraId="46A0DFAA" w14:textId="5A291F6C" w:rsidR="000E1E46" w:rsidRPr="00AC16DE" w:rsidRDefault="000E1E46" w:rsidP="00870F79">
      <w:pPr>
        <w:pStyle w:val="FJP-CorpoTexto"/>
        <w:spacing w:line="480" w:lineRule="auto"/>
        <w:rPr>
          <w:rFonts w:ascii="Times New Roman" w:hAnsi="Times New Roman"/>
          <w:sz w:val="24"/>
          <w:szCs w:val="24"/>
        </w:rPr>
      </w:pPr>
    </w:p>
    <w:p w14:paraId="24B1637D" w14:textId="77777777" w:rsidR="000E1E46" w:rsidRPr="00AC16DE" w:rsidRDefault="000E1E46" w:rsidP="004312BF">
      <w:pPr>
        <w:pStyle w:val="FJP-Tab-T"/>
        <w:rPr>
          <w:rFonts w:ascii="Times New Roman" w:hAnsi="Times New Roman"/>
          <w:sz w:val="24"/>
          <w:szCs w:val="24"/>
        </w:rPr>
      </w:pPr>
      <w:r w:rsidRPr="00AC16DE">
        <w:rPr>
          <w:rFonts w:ascii="Times New Roman" w:hAnsi="Times New Roman"/>
          <w:sz w:val="24"/>
          <w:szCs w:val="24"/>
        </w:rPr>
        <w:t>Tabela 3: Crescimento médio da receita e despesa, média por quadriênio – Minas Gerais – 2003-2017 – (%)</w:t>
      </w:r>
    </w:p>
    <w:tbl>
      <w:tblPr>
        <w:tblW w:w="9639" w:type="dxa"/>
        <w:tblCellMar>
          <w:left w:w="70" w:type="dxa"/>
          <w:right w:w="70" w:type="dxa"/>
        </w:tblCellMar>
        <w:tblLook w:val="04A0" w:firstRow="1" w:lastRow="0" w:firstColumn="1" w:lastColumn="0" w:noHBand="0" w:noVBand="1"/>
      </w:tblPr>
      <w:tblGrid>
        <w:gridCol w:w="2916"/>
        <w:gridCol w:w="1216"/>
        <w:gridCol w:w="1296"/>
        <w:gridCol w:w="1494"/>
        <w:gridCol w:w="1210"/>
        <w:gridCol w:w="1507"/>
      </w:tblGrid>
      <w:tr w:rsidR="000E1E46" w:rsidRPr="00AC16DE" w14:paraId="2E1DD432" w14:textId="77777777" w:rsidTr="004312BF">
        <w:trPr>
          <w:trHeight w:val="510"/>
        </w:trPr>
        <w:tc>
          <w:tcPr>
            <w:tcW w:w="2552" w:type="dxa"/>
            <w:tcBorders>
              <w:top w:val="single" w:sz="4" w:space="0" w:color="auto"/>
              <w:left w:val="nil"/>
              <w:bottom w:val="single" w:sz="4" w:space="0" w:color="auto"/>
              <w:right w:val="nil"/>
            </w:tcBorders>
            <w:shd w:val="clear" w:color="auto" w:fill="595959" w:themeFill="text1" w:themeFillTint="A6"/>
            <w:vAlign w:val="center"/>
            <w:hideMark/>
          </w:tcPr>
          <w:p w14:paraId="44426703"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Especificação</w:t>
            </w:r>
          </w:p>
        </w:tc>
        <w:tc>
          <w:tcPr>
            <w:tcW w:w="1064" w:type="dxa"/>
            <w:tcBorders>
              <w:top w:val="single" w:sz="4" w:space="0" w:color="auto"/>
              <w:left w:val="nil"/>
              <w:bottom w:val="single" w:sz="4" w:space="0" w:color="auto"/>
              <w:right w:val="nil"/>
            </w:tcBorders>
            <w:shd w:val="clear" w:color="auto" w:fill="595959" w:themeFill="text1" w:themeFillTint="A6"/>
            <w:vAlign w:val="center"/>
            <w:hideMark/>
          </w:tcPr>
          <w:p w14:paraId="4276A532"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2003-2006</w:t>
            </w:r>
          </w:p>
          <w:p w14:paraId="5CAC5776"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(PSDB)</w:t>
            </w:r>
          </w:p>
        </w:tc>
        <w:tc>
          <w:tcPr>
            <w:tcW w:w="1134" w:type="dxa"/>
            <w:tcBorders>
              <w:top w:val="single" w:sz="4" w:space="0" w:color="auto"/>
              <w:left w:val="nil"/>
              <w:bottom w:val="single" w:sz="4" w:space="0" w:color="auto"/>
              <w:right w:val="nil"/>
            </w:tcBorders>
            <w:shd w:val="clear" w:color="auto" w:fill="595959" w:themeFill="text1" w:themeFillTint="A6"/>
            <w:vAlign w:val="center"/>
            <w:hideMark/>
          </w:tcPr>
          <w:p w14:paraId="5AA44413"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2007-2010</w:t>
            </w:r>
          </w:p>
          <w:p w14:paraId="6AD4708E"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(PSDB)</w:t>
            </w:r>
          </w:p>
        </w:tc>
        <w:tc>
          <w:tcPr>
            <w:tcW w:w="1307" w:type="dxa"/>
            <w:tcBorders>
              <w:top w:val="single" w:sz="4" w:space="0" w:color="auto"/>
              <w:left w:val="nil"/>
              <w:bottom w:val="single" w:sz="4" w:space="0" w:color="auto"/>
              <w:right w:val="nil"/>
            </w:tcBorders>
            <w:shd w:val="clear" w:color="auto" w:fill="595959" w:themeFill="text1" w:themeFillTint="A6"/>
            <w:vAlign w:val="center"/>
            <w:hideMark/>
          </w:tcPr>
          <w:p w14:paraId="72EEE7C0"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2011-2014</w:t>
            </w:r>
          </w:p>
          <w:p w14:paraId="523DADCE"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(PSDB)</w:t>
            </w:r>
          </w:p>
        </w:tc>
        <w:tc>
          <w:tcPr>
            <w:tcW w:w="1059" w:type="dxa"/>
            <w:tcBorders>
              <w:top w:val="single" w:sz="4" w:space="0" w:color="auto"/>
              <w:left w:val="nil"/>
              <w:bottom w:val="single" w:sz="4" w:space="0" w:color="auto"/>
              <w:right w:val="nil"/>
            </w:tcBorders>
            <w:shd w:val="clear" w:color="auto" w:fill="595959" w:themeFill="text1" w:themeFillTint="A6"/>
            <w:vAlign w:val="center"/>
            <w:hideMark/>
          </w:tcPr>
          <w:p w14:paraId="234197D2"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2015-2017</w:t>
            </w:r>
          </w:p>
          <w:p w14:paraId="266A20EB"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(PT)</w:t>
            </w:r>
          </w:p>
        </w:tc>
        <w:tc>
          <w:tcPr>
            <w:tcW w:w="1319" w:type="dxa"/>
            <w:tcBorders>
              <w:top w:val="single" w:sz="4" w:space="0" w:color="auto"/>
              <w:left w:val="nil"/>
              <w:bottom w:val="single" w:sz="4" w:space="0" w:color="auto"/>
              <w:right w:val="nil"/>
            </w:tcBorders>
            <w:shd w:val="clear" w:color="auto" w:fill="595959" w:themeFill="text1" w:themeFillTint="A6"/>
            <w:vAlign w:val="center"/>
            <w:hideMark/>
          </w:tcPr>
          <w:p w14:paraId="507D91BD"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Média do período</w:t>
            </w:r>
          </w:p>
          <w:p w14:paraId="7C4CEC9A"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(2003-2017)</w:t>
            </w:r>
          </w:p>
        </w:tc>
      </w:tr>
      <w:tr w:rsidR="000E1E46" w:rsidRPr="00AC16DE" w14:paraId="2B8E084F" w14:textId="77777777" w:rsidTr="004312BF">
        <w:trPr>
          <w:trHeight w:val="255"/>
        </w:trPr>
        <w:tc>
          <w:tcPr>
            <w:tcW w:w="2552" w:type="dxa"/>
            <w:noWrap/>
            <w:vAlign w:val="center"/>
            <w:hideMark/>
          </w:tcPr>
          <w:p w14:paraId="49624C91" w14:textId="77777777" w:rsidR="000E1E46" w:rsidRPr="00AC16DE" w:rsidRDefault="000E1E46" w:rsidP="004312BF">
            <w:pPr>
              <w:rPr>
                <w:sz w:val="16"/>
                <w:szCs w:val="16"/>
              </w:rPr>
            </w:pPr>
            <w:r w:rsidRPr="00AC16DE">
              <w:rPr>
                <w:sz w:val="16"/>
                <w:szCs w:val="16"/>
              </w:rPr>
              <w:t>Despesas</w:t>
            </w:r>
          </w:p>
        </w:tc>
        <w:tc>
          <w:tcPr>
            <w:tcW w:w="1064" w:type="dxa"/>
            <w:noWrap/>
            <w:vAlign w:val="center"/>
            <w:hideMark/>
          </w:tcPr>
          <w:p w14:paraId="5B203EAD" w14:textId="77777777" w:rsidR="000E1E46" w:rsidRPr="00AC16DE" w:rsidRDefault="000E1E46" w:rsidP="004312BF">
            <w:pPr>
              <w:jc w:val="center"/>
              <w:rPr>
                <w:sz w:val="16"/>
                <w:szCs w:val="16"/>
              </w:rPr>
            </w:pPr>
            <w:r w:rsidRPr="00AC16DE">
              <w:rPr>
                <w:sz w:val="16"/>
                <w:szCs w:val="16"/>
              </w:rPr>
              <w:t>10,76</w:t>
            </w:r>
          </w:p>
        </w:tc>
        <w:tc>
          <w:tcPr>
            <w:tcW w:w="1134" w:type="dxa"/>
            <w:noWrap/>
            <w:vAlign w:val="center"/>
            <w:hideMark/>
          </w:tcPr>
          <w:p w14:paraId="7F11512E" w14:textId="77777777" w:rsidR="000E1E46" w:rsidRPr="00AC16DE" w:rsidRDefault="000E1E46" w:rsidP="004312BF">
            <w:pPr>
              <w:jc w:val="center"/>
              <w:rPr>
                <w:sz w:val="16"/>
                <w:szCs w:val="16"/>
              </w:rPr>
            </w:pPr>
            <w:r w:rsidRPr="00AC16DE">
              <w:rPr>
                <w:sz w:val="16"/>
                <w:szCs w:val="16"/>
              </w:rPr>
              <w:t>12,44</w:t>
            </w:r>
          </w:p>
        </w:tc>
        <w:tc>
          <w:tcPr>
            <w:tcW w:w="1307" w:type="dxa"/>
            <w:noWrap/>
            <w:vAlign w:val="center"/>
            <w:hideMark/>
          </w:tcPr>
          <w:p w14:paraId="566445D9" w14:textId="77777777" w:rsidR="000E1E46" w:rsidRPr="00AC16DE" w:rsidRDefault="000E1E46" w:rsidP="004312BF">
            <w:pPr>
              <w:jc w:val="center"/>
              <w:rPr>
                <w:sz w:val="16"/>
                <w:szCs w:val="16"/>
              </w:rPr>
            </w:pPr>
            <w:r w:rsidRPr="00AC16DE">
              <w:rPr>
                <w:sz w:val="16"/>
                <w:szCs w:val="16"/>
              </w:rPr>
              <w:t>13,28</w:t>
            </w:r>
          </w:p>
        </w:tc>
        <w:tc>
          <w:tcPr>
            <w:tcW w:w="1059" w:type="dxa"/>
            <w:noWrap/>
            <w:vAlign w:val="center"/>
            <w:hideMark/>
          </w:tcPr>
          <w:p w14:paraId="5FD884A6" w14:textId="77777777" w:rsidR="000E1E46" w:rsidRPr="00AC16DE" w:rsidRDefault="000E1E46" w:rsidP="004312BF">
            <w:pPr>
              <w:jc w:val="center"/>
              <w:rPr>
                <w:sz w:val="16"/>
                <w:szCs w:val="16"/>
              </w:rPr>
            </w:pPr>
            <w:r w:rsidRPr="00AC16DE">
              <w:rPr>
                <w:sz w:val="16"/>
                <w:szCs w:val="16"/>
              </w:rPr>
              <w:t>9,30</w:t>
            </w:r>
          </w:p>
        </w:tc>
        <w:tc>
          <w:tcPr>
            <w:tcW w:w="1319" w:type="dxa"/>
            <w:noWrap/>
            <w:vAlign w:val="center"/>
            <w:hideMark/>
          </w:tcPr>
          <w:p w14:paraId="1065C6F3" w14:textId="77777777" w:rsidR="000E1E46" w:rsidRPr="00AC16DE" w:rsidRDefault="000E1E46" w:rsidP="004312BF">
            <w:pPr>
              <w:jc w:val="center"/>
              <w:rPr>
                <w:sz w:val="16"/>
                <w:szCs w:val="16"/>
              </w:rPr>
            </w:pPr>
            <w:r w:rsidRPr="00AC16DE">
              <w:rPr>
                <w:sz w:val="16"/>
                <w:szCs w:val="16"/>
              </w:rPr>
              <w:t>11,59</w:t>
            </w:r>
          </w:p>
        </w:tc>
      </w:tr>
      <w:tr w:rsidR="000E1E46" w:rsidRPr="00AC16DE" w14:paraId="036ACF2E" w14:textId="77777777" w:rsidTr="004312BF">
        <w:trPr>
          <w:trHeight w:val="255"/>
        </w:trPr>
        <w:tc>
          <w:tcPr>
            <w:tcW w:w="2552" w:type="dxa"/>
            <w:tcBorders>
              <w:top w:val="nil"/>
              <w:left w:val="nil"/>
              <w:bottom w:val="single" w:sz="4" w:space="0" w:color="auto"/>
              <w:right w:val="nil"/>
            </w:tcBorders>
            <w:noWrap/>
            <w:vAlign w:val="center"/>
            <w:hideMark/>
          </w:tcPr>
          <w:p w14:paraId="02E182BD" w14:textId="77777777" w:rsidR="000E1E46" w:rsidRPr="00AC16DE" w:rsidRDefault="000E1E46" w:rsidP="004312BF">
            <w:pPr>
              <w:rPr>
                <w:sz w:val="16"/>
                <w:szCs w:val="16"/>
              </w:rPr>
            </w:pPr>
            <w:r w:rsidRPr="00AC16DE">
              <w:rPr>
                <w:sz w:val="16"/>
                <w:szCs w:val="16"/>
              </w:rPr>
              <w:t>Receitas</w:t>
            </w:r>
          </w:p>
        </w:tc>
        <w:tc>
          <w:tcPr>
            <w:tcW w:w="1064" w:type="dxa"/>
            <w:tcBorders>
              <w:top w:val="nil"/>
              <w:left w:val="nil"/>
              <w:bottom w:val="single" w:sz="4" w:space="0" w:color="auto"/>
              <w:right w:val="nil"/>
            </w:tcBorders>
            <w:noWrap/>
            <w:vAlign w:val="center"/>
            <w:hideMark/>
          </w:tcPr>
          <w:p w14:paraId="20613D71" w14:textId="77777777" w:rsidR="000E1E46" w:rsidRPr="00AC16DE" w:rsidRDefault="000E1E46" w:rsidP="004312BF">
            <w:pPr>
              <w:jc w:val="center"/>
              <w:rPr>
                <w:sz w:val="16"/>
                <w:szCs w:val="16"/>
              </w:rPr>
            </w:pPr>
            <w:r w:rsidRPr="00AC16DE">
              <w:rPr>
                <w:sz w:val="16"/>
                <w:szCs w:val="16"/>
              </w:rPr>
              <w:t>12,02</w:t>
            </w:r>
          </w:p>
        </w:tc>
        <w:tc>
          <w:tcPr>
            <w:tcW w:w="1134" w:type="dxa"/>
            <w:tcBorders>
              <w:top w:val="nil"/>
              <w:left w:val="nil"/>
              <w:bottom w:val="single" w:sz="4" w:space="0" w:color="auto"/>
              <w:right w:val="nil"/>
            </w:tcBorders>
            <w:noWrap/>
            <w:vAlign w:val="center"/>
            <w:hideMark/>
          </w:tcPr>
          <w:p w14:paraId="4D7ED50B" w14:textId="77777777" w:rsidR="000E1E46" w:rsidRPr="00AC16DE" w:rsidRDefault="000E1E46" w:rsidP="004312BF">
            <w:pPr>
              <w:jc w:val="center"/>
              <w:rPr>
                <w:sz w:val="16"/>
                <w:szCs w:val="16"/>
              </w:rPr>
            </w:pPr>
            <w:r w:rsidRPr="00AC16DE">
              <w:rPr>
                <w:sz w:val="16"/>
                <w:szCs w:val="16"/>
              </w:rPr>
              <w:t>12,75</w:t>
            </w:r>
          </w:p>
        </w:tc>
        <w:tc>
          <w:tcPr>
            <w:tcW w:w="1307" w:type="dxa"/>
            <w:tcBorders>
              <w:top w:val="nil"/>
              <w:left w:val="nil"/>
              <w:bottom w:val="single" w:sz="4" w:space="0" w:color="auto"/>
              <w:right w:val="nil"/>
            </w:tcBorders>
            <w:noWrap/>
            <w:vAlign w:val="center"/>
            <w:hideMark/>
          </w:tcPr>
          <w:p w14:paraId="15BFF24C" w14:textId="77777777" w:rsidR="000E1E46" w:rsidRPr="00AC16DE" w:rsidRDefault="000E1E46" w:rsidP="004312BF">
            <w:pPr>
              <w:jc w:val="center"/>
              <w:rPr>
                <w:sz w:val="16"/>
                <w:szCs w:val="16"/>
              </w:rPr>
            </w:pPr>
            <w:r w:rsidRPr="00AC16DE">
              <w:rPr>
                <w:sz w:val="16"/>
                <w:szCs w:val="16"/>
              </w:rPr>
              <w:t>12,18</w:t>
            </w:r>
          </w:p>
        </w:tc>
        <w:tc>
          <w:tcPr>
            <w:tcW w:w="1059" w:type="dxa"/>
            <w:tcBorders>
              <w:top w:val="nil"/>
              <w:left w:val="nil"/>
              <w:bottom w:val="single" w:sz="4" w:space="0" w:color="auto"/>
              <w:right w:val="nil"/>
            </w:tcBorders>
            <w:noWrap/>
            <w:vAlign w:val="center"/>
            <w:hideMark/>
          </w:tcPr>
          <w:p w14:paraId="7FBF0547" w14:textId="77777777" w:rsidR="000E1E46" w:rsidRPr="00AC16DE" w:rsidRDefault="000E1E46" w:rsidP="004312BF">
            <w:pPr>
              <w:jc w:val="center"/>
              <w:rPr>
                <w:sz w:val="16"/>
                <w:szCs w:val="16"/>
              </w:rPr>
            </w:pPr>
            <w:r w:rsidRPr="00AC16DE">
              <w:rPr>
                <w:sz w:val="16"/>
                <w:szCs w:val="16"/>
              </w:rPr>
              <w:t>6,54</w:t>
            </w:r>
          </w:p>
        </w:tc>
        <w:tc>
          <w:tcPr>
            <w:tcW w:w="1319" w:type="dxa"/>
            <w:tcBorders>
              <w:top w:val="nil"/>
              <w:left w:val="nil"/>
              <w:bottom w:val="single" w:sz="4" w:space="0" w:color="auto"/>
              <w:right w:val="nil"/>
            </w:tcBorders>
            <w:noWrap/>
            <w:vAlign w:val="center"/>
            <w:hideMark/>
          </w:tcPr>
          <w:p w14:paraId="5E3A736C" w14:textId="77777777" w:rsidR="000E1E46" w:rsidRPr="00AC16DE" w:rsidRDefault="000E1E46" w:rsidP="004312BF">
            <w:pPr>
              <w:jc w:val="center"/>
              <w:rPr>
                <w:sz w:val="16"/>
                <w:szCs w:val="16"/>
              </w:rPr>
            </w:pPr>
            <w:r w:rsidRPr="00AC16DE">
              <w:rPr>
                <w:sz w:val="16"/>
                <w:szCs w:val="16"/>
              </w:rPr>
              <w:t>11,16</w:t>
            </w:r>
          </w:p>
        </w:tc>
      </w:tr>
      <w:tr w:rsidR="000E1E46" w:rsidRPr="00AC16DE" w14:paraId="27AD00E4" w14:textId="77777777" w:rsidTr="004312BF">
        <w:trPr>
          <w:trHeight w:val="255"/>
        </w:trPr>
        <w:tc>
          <w:tcPr>
            <w:tcW w:w="2552" w:type="dxa"/>
            <w:tcBorders>
              <w:top w:val="single" w:sz="4" w:space="0" w:color="auto"/>
              <w:left w:val="nil"/>
              <w:bottom w:val="single" w:sz="6" w:space="0" w:color="C00000"/>
              <w:right w:val="nil"/>
            </w:tcBorders>
            <w:noWrap/>
            <w:vAlign w:val="center"/>
            <w:hideMark/>
          </w:tcPr>
          <w:p w14:paraId="339ABC21" w14:textId="77777777" w:rsidR="000E1E46" w:rsidRPr="00AC16DE" w:rsidRDefault="000E1E46" w:rsidP="004312BF">
            <w:pPr>
              <w:rPr>
                <w:b/>
                <w:bCs/>
                <w:sz w:val="16"/>
                <w:szCs w:val="16"/>
              </w:rPr>
            </w:pPr>
            <w:r w:rsidRPr="00AC16DE">
              <w:rPr>
                <w:b/>
                <w:bCs/>
                <w:sz w:val="16"/>
                <w:szCs w:val="16"/>
              </w:rPr>
              <w:t>Média da Inflação (IPCA)</w:t>
            </w:r>
          </w:p>
        </w:tc>
        <w:tc>
          <w:tcPr>
            <w:tcW w:w="1064" w:type="dxa"/>
            <w:tcBorders>
              <w:top w:val="single" w:sz="4" w:space="0" w:color="auto"/>
              <w:left w:val="nil"/>
              <w:bottom w:val="single" w:sz="6" w:space="0" w:color="C00000"/>
              <w:right w:val="nil"/>
            </w:tcBorders>
            <w:noWrap/>
            <w:vAlign w:val="center"/>
            <w:hideMark/>
          </w:tcPr>
          <w:p w14:paraId="522FFC1A" w14:textId="77777777" w:rsidR="000E1E46" w:rsidRPr="00AC16DE" w:rsidRDefault="000E1E46" w:rsidP="004312BF">
            <w:pPr>
              <w:jc w:val="center"/>
              <w:rPr>
                <w:b/>
                <w:bCs/>
                <w:sz w:val="16"/>
                <w:szCs w:val="16"/>
              </w:rPr>
            </w:pPr>
            <w:r w:rsidRPr="00AC16DE">
              <w:rPr>
                <w:b/>
                <w:bCs/>
                <w:sz w:val="16"/>
                <w:szCs w:val="16"/>
              </w:rPr>
              <w:t>6,43</w:t>
            </w:r>
          </w:p>
        </w:tc>
        <w:tc>
          <w:tcPr>
            <w:tcW w:w="1134" w:type="dxa"/>
            <w:tcBorders>
              <w:top w:val="single" w:sz="4" w:space="0" w:color="auto"/>
              <w:left w:val="nil"/>
              <w:bottom w:val="single" w:sz="6" w:space="0" w:color="C00000"/>
              <w:right w:val="nil"/>
            </w:tcBorders>
            <w:noWrap/>
            <w:vAlign w:val="center"/>
            <w:hideMark/>
          </w:tcPr>
          <w:p w14:paraId="15E7618A" w14:textId="77777777" w:rsidR="000E1E46" w:rsidRPr="00AC16DE" w:rsidRDefault="000E1E46" w:rsidP="004312BF">
            <w:pPr>
              <w:jc w:val="center"/>
              <w:rPr>
                <w:b/>
                <w:bCs/>
                <w:sz w:val="16"/>
                <w:szCs w:val="16"/>
              </w:rPr>
            </w:pPr>
            <w:r w:rsidRPr="00AC16DE">
              <w:rPr>
                <w:b/>
                <w:bCs/>
                <w:sz w:val="16"/>
                <w:szCs w:val="16"/>
              </w:rPr>
              <w:t>5,15</w:t>
            </w:r>
          </w:p>
        </w:tc>
        <w:tc>
          <w:tcPr>
            <w:tcW w:w="1307" w:type="dxa"/>
            <w:tcBorders>
              <w:top w:val="single" w:sz="4" w:space="0" w:color="auto"/>
              <w:left w:val="nil"/>
              <w:bottom w:val="single" w:sz="6" w:space="0" w:color="C00000"/>
              <w:right w:val="nil"/>
            </w:tcBorders>
            <w:noWrap/>
            <w:vAlign w:val="center"/>
            <w:hideMark/>
          </w:tcPr>
          <w:p w14:paraId="6895BAC8" w14:textId="77777777" w:rsidR="000E1E46" w:rsidRPr="00AC16DE" w:rsidRDefault="000E1E46" w:rsidP="004312BF">
            <w:pPr>
              <w:jc w:val="center"/>
              <w:rPr>
                <w:b/>
                <w:bCs/>
                <w:sz w:val="16"/>
                <w:szCs w:val="16"/>
              </w:rPr>
            </w:pPr>
            <w:r w:rsidRPr="00AC16DE">
              <w:rPr>
                <w:b/>
                <w:bCs/>
                <w:sz w:val="16"/>
                <w:szCs w:val="16"/>
              </w:rPr>
              <w:t>6,17</w:t>
            </w:r>
          </w:p>
        </w:tc>
        <w:tc>
          <w:tcPr>
            <w:tcW w:w="1059" w:type="dxa"/>
            <w:tcBorders>
              <w:top w:val="single" w:sz="4" w:space="0" w:color="auto"/>
              <w:left w:val="nil"/>
              <w:bottom w:val="single" w:sz="6" w:space="0" w:color="C00000"/>
              <w:right w:val="nil"/>
            </w:tcBorders>
            <w:noWrap/>
            <w:vAlign w:val="center"/>
            <w:hideMark/>
          </w:tcPr>
          <w:p w14:paraId="532B67B7" w14:textId="77777777" w:rsidR="000E1E46" w:rsidRPr="00AC16DE" w:rsidRDefault="000E1E46" w:rsidP="004312BF">
            <w:pPr>
              <w:jc w:val="center"/>
              <w:rPr>
                <w:b/>
                <w:bCs/>
                <w:sz w:val="16"/>
                <w:szCs w:val="16"/>
              </w:rPr>
            </w:pPr>
            <w:r w:rsidRPr="00AC16DE">
              <w:rPr>
                <w:b/>
                <w:bCs/>
                <w:sz w:val="16"/>
                <w:szCs w:val="16"/>
              </w:rPr>
              <w:t>6,64</w:t>
            </w:r>
          </w:p>
        </w:tc>
        <w:tc>
          <w:tcPr>
            <w:tcW w:w="1319" w:type="dxa"/>
            <w:tcBorders>
              <w:top w:val="single" w:sz="4" w:space="0" w:color="auto"/>
              <w:left w:val="nil"/>
              <w:bottom w:val="single" w:sz="6" w:space="0" w:color="C00000"/>
              <w:right w:val="nil"/>
            </w:tcBorders>
            <w:noWrap/>
            <w:vAlign w:val="center"/>
            <w:hideMark/>
          </w:tcPr>
          <w:p w14:paraId="4336C83F" w14:textId="77777777" w:rsidR="000E1E46" w:rsidRPr="00AC16DE" w:rsidRDefault="000E1E46" w:rsidP="004312BF">
            <w:pPr>
              <w:jc w:val="center"/>
              <w:rPr>
                <w:b/>
                <w:bCs/>
                <w:sz w:val="16"/>
                <w:szCs w:val="16"/>
              </w:rPr>
            </w:pPr>
            <w:r w:rsidRPr="00AC16DE">
              <w:rPr>
                <w:b/>
                <w:bCs/>
                <w:sz w:val="16"/>
                <w:szCs w:val="16"/>
              </w:rPr>
              <w:t>6,06</w:t>
            </w:r>
          </w:p>
        </w:tc>
      </w:tr>
    </w:tbl>
    <w:p w14:paraId="3307E2CD" w14:textId="558C1C33" w:rsidR="000E1E46" w:rsidRPr="00AC16DE" w:rsidRDefault="000E1E46" w:rsidP="004312BF">
      <w:pPr>
        <w:pStyle w:val="FJP-Fonte"/>
        <w:rPr>
          <w:rFonts w:ascii="Times New Roman" w:hAnsi="Times New Roman"/>
        </w:rPr>
      </w:pPr>
      <w:r w:rsidRPr="00AC16DE">
        <w:rPr>
          <w:rFonts w:ascii="Times New Roman" w:hAnsi="Times New Roman"/>
        </w:rPr>
        <w:t>Fonte: Elaboração própria a partir de dados do</w:t>
      </w:r>
      <w:r>
        <w:rPr>
          <w:rFonts w:ascii="Times New Roman" w:hAnsi="Times New Roman"/>
        </w:rPr>
        <w:t xml:space="preserve"> Siafi-MG</w:t>
      </w:r>
      <w:r w:rsidRPr="00AC16DE">
        <w:rPr>
          <w:rFonts w:ascii="Times New Roman" w:hAnsi="Times New Roman"/>
        </w:rPr>
        <w:t>.</w:t>
      </w:r>
    </w:p>
    <w:p w14:paraId="5094A03F"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 xml:space="preserve">Dessa forma, considera-se que, à despeito do esforço fiscal dos últimos anos, a retração da atividade econômica, associada à dificuldade de conter o crescimento da despesa, resultou na piora sensível do quadro fiscal. Nesses termos, paradoxalmente, a gestão petista teria se mostrado mais responsável do ponto de fiscal do que as gestões anteriores, que estão mais à direita no espectro político. </w:t>
      </w:r>
    </w:p>
    <w:p w14:paraId="70D47F8E"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Nas seções seguintes, com vistas a explorar essa hipótese, detalham-se tanto a estrutura quanto a trajetória das receitas e das despesas orçamentárias. Em particular, destacam-se os resultados referentes ao último triênio.</w:t>
      </w:r>
    </w:p>
    <w:p w14:paraId="232E4F4B" w14:textId="77777777" w:rsidR="000E1E46" w:rsidRPr="00AC16DE" w:rsidRDefault="000E1E46" w:rsidP="00870F79">
      <w:pPr>
        <w:pStyle w:val="FJP-Ttulo2"/>
        <w:spacing w:line="480" w:lineRule="auto"/>
        <w:rPr>
          <w:rFonts w:ascii="Times New Roman" w:hAnsi="Times New Roman"/>
          <w:sz w:val="24"/>
        </w:rPr>
      </w:pPr>
      <w:r w:rsidRPr="00AC16DE">
        <w:rPr>
          <w:rFonts w:ascii="Times New Roman" w:hAnsi="Times New Roman"/>
          <w:sz w:val="24"/>
        </w:rPr>
        <w:t>4. Dinâmica das Receitas Orçamentárias</w:t>
      </w:r>
    </w:p>
    <w:p w14:paraId="3745E613" w14:textId="77777777" w:rsidR="000E1E46" w:rsidRDefault="000E1E46" w:rsidP="00870F79">
      <w:pPr>
        <w:pStyle w:val="FJP-CorpoTexto"/>
        <w:spacing w:line="480" w:lineRule="auto"/>
        <w:rPr>
          <w:rFonts w:ascii="Times New Roman" w:hAnsi="Times New Roman"/>
          <w:sz w:val="24"/>
          <w:szCs w:val="24"/>
        </w:rPr>
        <w:sectPr w:rsidR="000E1E46" w:rsidSect="000E1E46">
          <w:pgSz w:w="11906" w:h="16838"/>
          <w:pgMar w:top="1440" w:right="1080" w:bottom="1440" w:left="1080" w:header="708" w:footer="708" w:gutter="0"/>
          <w:cols w:space="708"/>
          <w:docGrid w:linePitch="360"/>
        </w:sectPr>
      </w:pPr>
      <w:r w:rsidRPr="00AC16DE">
        <w:rPr>
          <w:rFonts w:ascii="Times New Roman" w:hAnsi="Times New Roman"/>
          <w:sz w:val="24"/>
          <w:szCs w:val="24"/>
        </w:rPr>
        <w:t xml:space="preserve">A estrutura das receitas orçamentárias variou muito pouco ao longo dos anos, conforme retrata o gráfico 2. </w:t>
      </w:r>
      <w:r w:rsidRPr="00A43F6A">
        <w:rPr>
          <w:rFonts w:ascii="Times New Roman" w:hAnsi="Times New Roman"/>
          <w:sz w:val="24"/>
          <w:szCs w:val="24"/>
        </w:rPr>
        <w:t>Importante esclarecer que as receitas são agrupadas em receitas correntes, que é composta pelas receitas tributárias, de contribuições, patrimonial, industrial, de serviços e ainda as provenientes de outras pessoas de direito público ou privado (transferências correntes); e em receitas de capital, que se subdividem em operações de empréstimos, alienação de bens, transferências de capital, amortizações de empréstimo</w:t>
      </w:r>
      <w:r>
        <w:rPr>
          <w:rFonts w:ascii="Times New Roman" w:hAnsi="Times New Roman"/>
          <w:sz w:val="24"/>
          <w:szCs w:val="24"/>
        </w:rPr>
        <w:t xml:space="preserve">s e outras receitas de capital. </w:t>
      </w:r>
      <w:r w:rsidRPr="00AC16DE">
        <w:rPr>
          <w:rFonts w:ascii="Times New Roman" w:hAnsi="Times New Roman"/>
          <w:sz w:val="24"/>
          <w:szCs w:val="24"/>
        </w:rPr>
        <w:t>As receitas tributárias somadas às transferências correntes correspondem a mais de 70% do total desde 2002.</w:t>
      </w:r>
    </w:p>
    <w:p w14:paraId="42A4A884" w14:textId="0AC80A75" w:rsidR="000E1E46" w:rsidRPr="00AC16DE" w:rsidRDefault="000E1E46" w:rsidP="00870F79">
      <w:pPr>
        <w:pStyle w:val="FJP-CorpoTexto"/>
        <w:spacing w:line="480" w:lineRule="auto"/>
        <w:rPr>
          <w:rFonts w:ascii="Times New Roman" w:hAnsi="Times New Roman"/>
          <w:sz w:val="24"/>
          <w:szCs w:val="24"/>
        </w:rPr>
      </w:pPr>
    </w:p>
    <w:p w14:paraId="41E1B99A" w14:textId="77777777" w:rsidR="000E1E46" w:rsidRPr="00AC16DE" w:rsidRDefault="000E1E46" w:rsidP="004312BF">
      <w:pPr>
        <w:pStyle w:val="FJP-Grf-T"/>
        <w:rPr>
          <w:rFonts w:ascii="Times New Roman" w:hAnsi="Times New Roman"/>
          <w:sz w:val="24"/>
          <w:szCs w:val="24"/>
        </w:rPr>
      </w:pPr>
      <w:r w:rsidRPr="00AC16DE">
        <w:rPr>
          <w:rFonts w:ascii="Times New Roman" w:hAnsi="Times New Roman"/>
          <w:sz w:val="24"/>
          <w:szCs w:val="24"/>
        </w:rPr>
        <w:t>Gráfico 2: Estrutura das receitas – Minas Gerais – 2002-2017</w:t>
      </w:r>
    </w:p>
    <w:p w14:paraId="0B9A2722" w14:textId="1CD8A45A" w:rsidR="000E1E46" w:rsidRDefault="000E1E46" w:rsidP="004312BF">
      <w:pPr>
        <w:pStyle w:val="FJP-CorpoTexto"/>
        <w:spacing w:before="0" w:after="0" w:line="240" w:lineRule="auto"/>
        <w:jc w:val="center"/>
        <w:rPr>
          <w:noProof/>
        </w:rPr>
      </w:pPr>
      <w:r>
        <w:rPr>
          <w:noProof/>
        </w:rPr>
        <w:t xml:space="preserve">  </w:t>
      </w:r>
      <w:r>
        <w:rPr>
          <w:noProof/>
        </w:rPr>
        <w:drawing>
          <wp:inline distT="0" distB="0" distL="0" distR="0" wp14:anchorId="3E25D854" wp14:editId="583641AA">
            <wp:extent cx="2657475" cy="148160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2442" cy="1484372"/>
                    </a:xfrm>
                    <a:prstGeom prst="rect">
                      <a:avLst/>
                    </a:prstGeom>
                    <a:noFill/>
                  </pic:spPr>
                </pic:pic>
              </a:graphicData>
            </a:graphic>
          </wp:inline>
        </w:drawing>
      </w:r>
      <w:r>
        <w:rPr>
          <w:noProof/>
        </w:rPr>
        <w:drawing>
          <wp:inline distT="0" distB="0" distL="0" distR="0" wp14:anchorId="724267B0" wp14:editId="4ADA8CD4">
            <wp:extent cx="2562527" cy="1428666"/>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7424" cy="1431396"/>
                    </a:xfrm>
                    <a:prstGeom prst="rect">
                      <a:avLst/>
                    </a:prstGeom>
                    <a:noFill/>
                  </pic:spPr>
                </pic:pic>
              </a:graphicData>
            </a:graphic>
          </wp:inline>
        </w:drawing>
      </w:r>
    </w:p>
    <w:p w14:paraId="33DC0331" w14:textId="77777777" w:rsidR="000E1E46" w:rsidRPr="000757CB" w:rsidRDefault="000E1E46" w:rsidP="004312BF">
      <w:pPr>
        <w:tabs>
          <w:tab w:val="left" w:pos="4962"/>
        </w:tabs>
        <w:spacing w:after="360"/>
        <w:rPr>
          <w:rFonts w:asciiTheme="minorHAnsi" w:hAnsiTheme="minorHAnsi"/>
          <w:sz w:val="16"/>
          <w:szCs w:val="16"/>
        </w:rPr>
      </w:pPr>
      <w:r w:rsidRPr="000757CB">
        <w:rPr>
          <w:rFonts w:asciiTheme="minorHAnsi" w:hAnsiTheme="minorHAnsi"/>
          <w:sz w:val="16"/>
          <w:szCs w:val="16"/>
        </w:rPr>
        <w:t>(a) 2002</w:t>
      </w:r>
      <w:r w:rsidRPr="000757CB">
        <w:rPr>
          <w:rFonts w:asciiTheme="minorHAnsi" w:hAnsiTheme="minorHAnsi"/>
          <w:sz w:val="16"/>
          <w:szCs w:val="16"/>
        </w:rPr>
        <w:tab/>
        <w:t>(b) 2017</w:t>
      </w:r>
    </w:p>
    <w:p w14:paraId="1A733F5A" w14:textId="77777777" w:rsidR="000E1E46" w:rsidRPr="00AC16DE" w:rsidRDefault="000E1E46" w:rsidP="004312BF">
      <w:pPr>
        <w:pStyle w:val="FJP-Fonte"/>
        <w:spacing w:after="0"/>
        <w:rPr>
          <w:rFonts w:ascii="Times New Roman" w:hAnsi="Times New Roman"/>
        </w:rPr>
      </w:pPr>
      <w:r w:rsidRPr="00AC16DE">
        <w:rPr>
          <w:rFonts w:ascii="Times New Roman" w:hAnsi="Times New Roman"/>
        </w:rPr>
        <w:t>Fonte: Elaboração própria a partir de dados do anexo estatístico.</w:t>
      </w:r>
    </w:p>
    <w:p w14:paraId="52521D49" w14:textId="77777777" w:rsidR="000E1E46" w:rsidRPr="00AC16DE" w:rsidRDefault="000E1E46" w:rsidP="004312BF">
      <w:pPr>
        <w:pStyle w:val="FJP-Fonte"/>
        <w:rPr>
          <w:rFonts w:ascii="Times New Roman" w:hAnsi="Times New Roman"/>
        </w:rPr>
      </w:pPr>
      <w:r w:rsidRPr="00AC16DE">
        <w:rPr>
          <w:rFonts w:ascii="Times New Roman" w:hAnsi="Times New Roman"/>
        </w:rPr>
        <w:t>Nota: na estrutura de receitas de 2017 não foi considerada a dedução das receitas correntes.</w:t>
      </w:r>
    </w:p>
    <w:p w14:paraId="333A5F33" w14:textId="1ACC6C0A"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Apesar das certas diferenças</w:t>
      </w:r>
      <w:r w:rsidRPr="00AC16DE">
        <w:rPr>
          <w:rStyle w:val="Refdenotaderodap"/>
          <w:rFonts w:ascii="Times New Roman" w:hAnsi="Times New Roman"/>
          <w:sz w:val="24"/>
          <w:szCs w:val="24"/>
        </w:rPr>
        <w:footnoteReference w:id="9"/>
      </w:r>
      <w:r w:rsidRPr="00AC16DE">
        <w:rPr>
          <w:rFonts w:ascii="Times New Roman" w:hAnsi="Times New Roman"/>
          <w:sz w:val="24"/>
          <w:szCs w:val="24"/>
        </w:rPr>
        <w:t>, em linhas gerais, a estrutura orçamentária da receita foi bastante regular</w:t>
      </w:r>
      <w:r w:rsidRPr="00AC16DE">
        <w:rPr>
          <w:rStyle w:val="Refdenotaderodap"/>
          <w:rFonts w:ascii="Times New Roman" w:hAnsi="Times New Roman"/>
          <w:sz w:val="24"/>
          <w:szCs w:val="24"/>
        </w:rPr>
        <w:footnoteReference w:id="10"/>
      </w:r>
      <w:r w:rsidRPr="00AC16DE">
        <w:rPr>
          <w:rFonts w:ascii="Times New Roman" w:hAnsi="Times New Roman"/>
          <w:sz w:val="24"/>
          <w:szCs w:val="24"/>
        </w:rPr>
        <w:t xml:space="preserve"> ao longo dos últimos 15 anos. Logo, é importante entender a dinâmica das principais receitas, a fim de explicar sua desaceleração.</w:t>
      </w:r>
    </w:p>
    <w:p w14:paraId="6162EDA9"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De acordo com Pires (2017), o primeiro fato estilizado dos ciclos fiscais, em nível nacional, é o fato da taxa de crescimento das receitas tributárias acompanharem a atividade econômica em razão superior a um. Em outras palavras, quando a atividade econômica se acelera (desacelera), as receitas tributárias crescem (decrescem) mais do que proporcionalmente.</w:t>
      </w:r>
    </w:p>
    <w:p w14:paraId="2B4446D6" w14:textId="77777777" w:rsidR="000E1E46"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 xml:space="preserve">No caso particular do estado de Minas Gerais, essa relação não se verifica. Conforme o gráfico 3, existem períodos em que ela cai mais do que o PIB e outros em que o reverso ocorre. Isto é, o crescimento da receita deveria estar acima (abaixo) do crescimento do PIB quando ele se acelera (desacelera). Logo, no caso mineiro, não necessariamente recessões (expansões) econômicas serão </w:t>
      </w:r>
      <w:r w:rsidRPr="00AC16DE">
        <w:rPr>
          <w:rFonts w:ascii="Times New Roman" w:hAnsi="Times New Roman"/>
          <w:sz w:val="24"/>
          <w:szCs w:val="24"/>
        </w:rPr>
        <w:lastRenderedPageBreak/>
        <w:t>acompanhadas de retrações (crescimento) das receitas tributárias mais do que proporcionais à queda da atividade.</w:t>
      </w:r>
    </w:p>
    <w:p w14:paraId="755E3C6E" w14:textId="77777777" w:rsidR="000E1E46" w:rsidRPr="00AC16DE" w:rsidRDefault="000E1E46" w:rsidP="00273EC0">
      <w:pPr>
        <w:pStyle w:val="FJP-CorpoTexto"/>
        <w:spacing w:line="240" w:lineRule="auto"/>
        <w:rPr>
          <w:rFonts w:ascii="Times New Roman" w:hAnsi="Times New Roman"/>
          <w:sz w:val="24"/>
          <w:szCs w:val="24"/>
        </w:rPr>
      </w:pPr>
      <w:r w:rsidRPr="00AC16DE">
        <w:rPr>
          <w:rFonts w:ascii="Times New Roman" w:hAnsi="Times New Roman"/>
          <w:sz w:val="24"/>
          <w:szCs w:val="24"/>
        </w:rPr>
        <w:t>Gráfico 3: Taxa de crescimento da receita tributária e PIB nominal – Minas Gerais – 2003-2017 – (%)</w:t>
      </w:r>
    </w:p>
    <w:p w14:paraId="3B414D1C" w14:textId="77777777" w:rsidR="000E1E46" w:rsidRDefault="000E1E46" w:rsidP="004312BF">
      <w:pPr>
        <w:pStyle w:val="FJP-CorpoTexto"/>
        <w:spacing w:before="0" w:after="0" w:line="240" w:lineRule="auto"/>
        <w:jc w:val="center"/>
      </w:pPr>
      <w:r>
        <w:rPr>
          <w:noProof/>
        </w:rPr>
        <w:drawing>
          <wp:inline distT="0" distB="0" distL="0" distR="0" wp14:anchorId="65947869" wp14:editId="08264ABF">
            <wp:extent cx="5349923" cy="2743200"/>
            <wp:effectExtent l="0" t="0" r="317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37FC78" w14:textId="56682CB2" w:rsidR="000E1E46" w:rsidRPr="00AC16DE" w:rsidRDefault="000E1E46" w:rsidP="004312BF">
      <w:pPr>
        <w:pStyle w:val="FJP-Fonte"/>
        <w:rPr>
          <w:rFonts w:ascii="Times New Roman" w:hAnsi="Times New Roman"/>
        </w:rPr>
      </w:pPr>
      <w:r w:rsidRPr="00AC16DE">
        <w:rPr>
          <w:rFonts w:ascii="Times New Roman" w:hAnsi="Times New Roman"/>
        </w:rPr>
        <w:t>Fonte: Elabora</w:t>
      </w:r>
      <w:r>
        <w:rPr>
          <w:rFonts w:ascii="Times New Roman" w:hAnsi="Times New Roman"/>
        </w:rPr>
        <w:t>ção própria a partir de dados do Siafi-MG</w:t>
      </w:r>
      <w:r w:rsidRPr="00AC16DE">
        <w:rPr>
          <w:rFonts w:ascii="Times New Roman" w:hAnsi="Times New Roman"/>
        </w:rPr>
        <w:t>.</w:t>
      </w:r>
    </w:p>
    <w:p w14:paraId="25DD6482"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A tabela 4, assim como o gráfico 3, mostra que, no período recente, 2015 a 2017, o crescimento de todas as principais fontes de receita se desacelerou intensamente (embora tenha sido superior à variação do PIB nominal). Existe um vínculo muito forte entre a obtenção dessas receitas e o desempenho econômico estadual e do país, na medida em que elas estão vinculadas à produção e à circulação de bens e serviços. Em particular, parcela considerável (próximo a 80%) das receitas tributárias estaduais depende do Imposto sobre Circulação de Mercadorias e Serviços (ICMS).</w:t>
      </w:r>
    </w:p>
    <w:p w14:paraId="39658BB2" w14:textId="77777777" w:rsidR="000E1E46" w:rsidRPr="00AC16DE" w:rsidRDefault="000E1E46" w:rsidP="004312BF">
      <w:pPr>
        <w:pStyle w:val="FJP-Tab-T"/>
        <w:rPr>
          <w:rFonts w:ascii="Times New Roman" w:hAnsi="Times New Roman"/>
          <w:sz w:val="24"/>
          <w:szCs w:val="24"/>
        </w:rPr>
      </w:pPr>
      <w:r w:rsidRPr="00AC16DE">
        <w:rPr>
          <w:rFonts w:ascii="Times New Roman" w:hAnsi="Times New Roman"/>
          <w:sz w:val="24"/>
          <w:szCs w:val="24"/>
        </w:rPr>
        <w:t>Tabela 4: Crescimento da Receita Efetivada, principais subcategorias, média aritmética por quadriênio – 2003-2017 – (%)</w:t>
      </w:r>
    </w:p>
    <w:tbl>
      <w:tblPr>
        <w:tblW w:w="9639" w:type="dxa"/>
        <w:tblInd w:w="70" w:type="dxa"/>
        <w:tblCellMar>
          <w:left w:w="70" w:type="dxa"/>
          <w:right w:w="70" w:type="dxa"/>
        </w:tblCellMar>
        <w:tblLook w:val="04A0" w:firstRow="1" w:lastRow="0" w:firstColumn="1" w:lastColumn="0" w:noHBand="0" w:noVBand="1"/>
      </w:tblPr>
      <w:tblGrid>
        <w:gridCol w:w="2575"/>
        <w:gridCol w:w="1312"/>
        <w:gridCol w:w="1663"/>
        <w:gridCol w:w="1335"/>
        <w:gridCol w:w="1405"/>
        <w:gridCol w:w="1349"/>
      </w:tblGrid>
      <w:tr w:rsidR="000E1E46" w:rsidRPr="00AC16DE" w14:paraId="5E09A67E" w14:textId="77777777" w:rsidTr="00FE0B4D">
        <w:trPr>
          <w:trHeight w:val="510"/>
        </w:trPr>
        <w:tc>
          <w:tcPr>
            <w:tcW w:w="2557" w:type="dxa"/>
            <w:tcBorders>
              <w:top w:val="single" w:sz="4" w:space="0" w:color="auto"/>
              <w:left w:val="nil"/>
              <w:bottom w:val="single" w:sz="4" w:space="0" w:color="auto"/>
              <w:right w:val="nil"/>
            </w:tcBorders>
            <w:shd w:val="clear" w:color="auto" w:fill="595959" w:themeFill="text1" w:themeFillTint="A6"/>
            <w:vAlign w:val="center"/>
            <w:hideMark/>
          </w:tcPr>
          <w:p w14:paraId="07ACF58C"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Especificação</w:t>
            </w:r>
          </w:p>
        </w:tc>
        <w:tc>
          <w:tcPr>
            <w:tcW w:w="1302" w:type="dxa"/>
            <w:tcBorders>
              <w:top w:val="single" w:sz="4" w:space="0" w:color="auto"/>
              <w:left w:val="nil"/>
              <w:bottom w:val="single" w:sz="4" w:space="0" w:color="auto"/>
              <w:right w:val="nil"/>
            </w:tcBorders>
            <w:shd w:val="clear" w:color="auto" w:fill="595959" w:themeFill="text1" w:themeFillTint="A6"/>
            <w:vAlign w:val="center"/>
          </w:tcPr>
          <w:p w14:paraId="1154B316"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2003-2006</w:t>
            </w:r>
          </w:p>
          <w:p w14:paraId="79670172"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(PSDB)</w:t>
            </w:r>
          </w:p>
        </w:tc>
        <w:tc>
          <w:tcPr>
            <w:tcW w:w="1651" w:type="dxa"/>
            <w:tcBorders>
              <w:top w:val="single" w:sz="4" w:space="0" w:color="auto"/>
              <w:left w:val="nil"/>
              <w:bottom w:val="single" w:sz="4" w:space="0" w:color="auto"/>
              <w:right w:val="nil"/>
            </w:tcBorders>
            <w:shd w:val="clear" w:color="auto" w:fill="595959" w:themeFill="text1" w:themeFillTint="A6"/>
            <w:vAlign w:val="center"/>
          </w:tcPr>
          <w:p w14:paraId="7FAF63ED"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2007-2010</w:t>
            </w:r>
          </w:p>
          <w:p w14:paraId="0699827F"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(PSDB)</w:t>
            </w:r>
          </w:p>
        </w:tc>
        <w:tc>
          <w:tcPr>
            <w:tcW w:w="1325" w:type="dxa"/>
            <w:tcBorders>
              <w:top w:val="single" w:sz="4" w:space="0" w:color="auto"/>
              <w:left w:val="nil"/>
              <w:bottom w:val="single" w:sz="4" w:space="0" w:color="auto"/>
              <w:right w:val="nil"/>
            </w:tcBorders>
            <w:shd w:val="clear" w:color="auto" w:fill="595959" w:themeFill="text1" w:themeFillTint="A6"/>
            <w:vAlign w:val="center"/>
          </w:tcPr>
          <w:p w14:paraId="4A2FFE4E"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2011-2014</w:t>
            </w:r>
          </w:p>
          <w:p w14:paraId="2E3BCAB5"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(PSDB)</w:t>
            </w:r>
          </w:p>
        </w:tc>
        <w:tc>
          <w:tcPr>
            <w:tcW w:w="1395" w:type="dxa"/>
            <w:tcBorders>
              <w:top w:val="single" w:sz="4" w:space="0" w:color="auto"/>
              <w:left w:val="nil"/>
              <w:bottom w:val="single" w:sz="4" w:space="0" w:color="auto"/>
              <w:right w:val="nil"/>
            </w:tcBorders>
            <w:shd w:val="clear" w:color="auto" w:fill="595959" w:themeFill="text1" w:themeFillTint="A6"/>
            <w:vAlign w:val="center"/>
          </w:tcPr>
          <w:p w14:paraId="46DC4976"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2015-2017</w:t>
            </w:r>
          </w:p>
          <w:p w14:paraId="0BFB0731"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(PT)</w:t>
            </w:r>
          </w:p>
        </w:tc>
        <w:tc>
          <w:tcPr>
            <w:tcW w:w="1339" w:type="dxa"/>
            <w:tcBorders>
              <w:top w:val="single" w:sz="4" w:space="0" w:color="auto"/>
              <w:left w:val="nil"/>
              <w:bottom w:val="single" w:sz="4" w:space="0" w:color="auto"/>
              <w:right w:val="nil"/>
            </w:tcBorders>
            <w:shd w:val="clear" w:color="auto" w:fill="595959" w:themeFill="text1" w:themeFillTint="A6"/>
            <w:vAlign w:val="center"/>
            <w:hideMark/>
          </w:tcPr>
          <w:p w14:paraId="384F95AE"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Média do período</w:t>
            </w:r>
          </w:p>
          <w:p w14:paraId="602DF47F"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(2003-2017)</w:t>
            </w:r>
          </w:p>
        </w:tc>
      </w:tr>
      <w:tr w:rsidR="000E1E46" w:rsidRPr="00AC16DE" w14:paraId="4F3C19F2" w14:textId="77777777" w:rsidTr="00FE0B4D">
        <w:trPr>
          <w:trHeight w:val="255"/>
        </w:trPr>
        <w:tc>
          <w:tcPr>
            <w:tcW w:w="2557" w:type="dxa"/>
            <w:noWrap/>
            <w:vAlign w:val="center"/>
            <w:hideMark/>
          </w:tcPr>
          <w:p w14:paraId="3345215E" w14:textId="77777777" w:rsidR="000E1E46" w:rsidRPr="00AC16DE" w:rsidRDefault="000E1E46" w:rsidP="0023050E">
            <w:pPr>
              <w:rPr>
                <w:sz w:val="16"/>
                <w:szCs w:val="16"/>
              </w:rPr>
            </w:pPr>
            <w:r w:rsidRPr="00AC16DE">
              <w:rPr>
                <w:sz w:val="16"/>
                <w:szCs w:val="16"/>
              </w:rPr>
              <w:t>Receitas tributária</w:t>
            </w:r>
          </w:p>
        </w:tc>
        <w:tc>
          <w:tcPr>
            <w:tcW w:w="1302" w:type="dxa"/>
            <w:noWrap/>
            <w:vAlign w:val="center"/>
            <w:hideMark/>
          </w:tcPr>
          <w:p w14:paraId="7E1DD4B5" w14:textId="77777777" w:rsidR="000E1E46" w:rsidRPr="00AC16DE" w:rsidRDefault="000E1E46" w:rsidP="0023050E">
            <w:pPr>
              <w:jc w:val="right"/>
              <w:rPr>
                <w:sz w:val="16"/>
                <w:szCs w:val="16"/>
              </w:rPr>
            </w:pPr>
            <w:r w:rsidRPr="00AC16DE">
              <w:rPr>
                <w:sz w:val="16"/>
                <w:szCs w:val="16"/>
              </w:rPr>
              <w:t>15,68</w:t>
            </w:r>
          </w:p>
        </w:tc>
        <w:tc>
          <w:tcPr>
            <w:tcW w:w="1651" w:type="dxa"/>
            <w:noWrap/>
            <w:vAlign w:val="center"/>
            <w:hideMark/>
          </w:tcPr>
          <w:p w14:paraId="5976217B" w14:textId="77777777" w:rsidR="000E1E46" w:rsidRPr="00AC16DE" w:rsidRDefault="000E1E46" w:rsidP="0023050E">
            <w:pPr>
              <w:jc w:val="right"/>
              <w:rPr>
                <w:sz w:val="16"/>
                <w:szCs w:val="16"/>
              </w:rPr>
            </w:pPr>
            <w:r w:rsidRPr="00AC16DE">
              <w:rPr>
                <w:sz w:val="16"/>
                <w:szCs w:val="16"/>
              </w:rPr>
              <w:t>12,63</w:t>
            </w:r>
          </w:p>
        </w:tc>
        <w:tc>
          <w:tcPr>
            <w:tcW w:w="1325" w:type="dxa"/>
            <w:noWrap/>
            <w:vAlign w:val="center"/>
            <w:hideMark/>
          </w:tcPr>
          <w:p w14:paraId="23EF6418" w14:textId="77777777" w:rsidR="000E1E46" w:rsidRPr="00AC16DE" w:rsidRDefault="000E1E46" w:rsidP="0023050E">
            <w:pPr>
              <w:jc w:val="right"/>
              <w:rPr>
                <w:sz w:val="16"/>
                <w:szCs w:val="16"/>
              </w:rPr>
            </w:pPr>
            <w:r w:rsidRPr="00AC16DE">
              <w:rPr>
                <w:sz w:val="16"/>
                <w:szCs w:val="16"/>
              </w:rPr>
              <w:t>10,36</w:t>
            </w:r>
          </w:p>
        </w:tc>
        <w:tc>
          <w:tcPr>
            <w:tcW w:w="1395" w:type="dxa"/>
            <w:noWrap/>
            <w:vAlign w:val="center"/>
            <w:hideMark/>
          </w:tcPr>
          <w:p w14:paraId="31DFC296" w14:textId="77777777" w:rsidR="000E1E46" w:rsidRPr="00AC16DE" w:rsidRDefault="000E1E46" w:rsidP="0023050E">
            <w:pPr>
              <w:jc w:val="right"/>
              <w:rPr>
                <w:sz w:val="16"/>
                <w:szCs w:val="16"/>
              </w:rPr>
            </w:pPr>
            <w:r w:rsidRPr="00AC16DE">
              <w:rPr>
                <w:sz w:val="16"/>
                <w:szCs w:val="16"/>
              </w:rPr>
              <w:t>7,29</w:t>
            </w:r>
          </w:p>
        </w:tc>
        <w:tc>
          <w:tcPr>
            <w:tcW w:w="1339" w:type="dxa"/>
            <w:noWrap/>
            <w:vAlign w:val="center"/>
            <w:hideMark/>
          </w:tcPr>
          <w:p w14:paraId="7038D479" w14:textId="77777777" w:rsidR="000E1E46" w:rsidRPr="00AC16DE" w:rsidRDefault="000E1E46" w:rsidP="0023050E">
            <w:pPr>
              <w:jc w:val="right"/>
              <w:rPr>
                <w:sz w:val="16"/>
                <w:szCs w:val="16"/>
              </w:rPr>
            </w:pPr>
            <w:r w:rsidRPr="00AC16DE">
              <w:rPr>
                <w:sz w:val="16"/>
                <w:szCs w:val="16"/>
              </w:rPr>
              <w:t>11,77</w:t>
            </w:r>
          </w:p>
        </w:tc>
      </w:tr>
      <w:tr w:rsidR="000E1E46" w:rsidRPr="00AC16DE" w14:paraId="02A1977B" w14:textId="77777777" w:rsidTr="00FE0B4D">
        <w:trPr>
          <w:trHeight w:val="255"/>
        </w:trPr>
        <w:tc>
          <w:tcPr>
            <w:tcW w:w="2557" w:type="dxa"/>
            <w:noWrap/>
            <w:vAlign w:val="center"/>
            <w:hideMark/>
          </w:tcPr>
          <w:p w14:paraId="4FBC39A5" w14:textId="77777777" w:rsidR="000E1E46" w:rsidRPr="00AC16DE" w:rsidRDefault="000E1E46" w:rsidP="0023050E">
            <w:pPr>
              <w:rPr>
                <w:sz w:val="16"/>
                <w:szCs w:val="16"/>
              </w:rPr>
            </w:pPr>
            <w:r w:rsidRPr="00AC16DE">
              <w:rPr>
                <w:sz w:val="16"/>
                <w:szCs w:val="16"/>
              </w:rPr>
              <w:t>Transferências correntes</w:t>
            </w:r>
          </w:p>
        </w:tc>
        <w:tc>
          <w:tcPr>
            <w:tcW w:w="1302" w:type="dxa"/>
            <w:noWrap/>
            <w:vAlign w:val="center"/>
            <w:hideMark/>
          </w:tcPr>
          <w:p w14:paraId="02FC5BE4" w14:textId="77777777" w:rsidR="000E1E46" w:rsidRPr="00AC16DE" w:rsidRDefault="000E1E46" w:rsidP="0023050E">
            <w:pPr>
              <w:jc w:val="right"/>
              <w:rPr>
                <w:sz w:val="16"/>
                <w:szCs w:val="16"/>
              </w:rPr>
            </w:pPr>
            <w:r w:rsidRPr="00AC16DE">
              <w:rPr>
                <w:sz w:val="16"/>
                <w:szCs w:val="16"/>
              </w:rPr>
              <w:t>13,07</w:t>
            </w:r>
          </w:p>
        </w:tc>
        <w:tc>
          <w:tcPr>
            <w:tcW w:w="1651" w:type="dxa"/>
            <w:noWrap/>
            <w:vAlign w:val="center"/>
            <w:hideMark/>
          </w:tcPr>
          <w:p w14:paraId="265DF15A" w14:textId="77777777" w:rsidR="000E1E46" w:rsidRPr="00AC16DE" w:rsidRDefault="000E1E46" w:rsidP="0023050E">
            <w:pPr>
              <w:jc w:val="right"/>
              <w:rPr>
                <w:sz w:val="16"/>
                <w:szCs w:val="16"/>
              </w:rPr>
            </w:pPr>
            <w:r w:rsidRPr="00AC16DE">
              <w:rPr>
                <w:sz w:val="16"/>
                <w:szCs w:val="16"/>
              </w:rPr>
              <w:t>15,69</w:t>
            </w:r>
          </w:p>
        </w:tc>
        <w:tc>
          <w:tcPr>
            <w:tcW w:w="1325" w:type="dxa"/>
            <w:noWrap/>
            <w:vAlign w:val="center"/>
            <w:hideMark/>
          </w:tcPr>
          <w:p w14:paraId="7D00D406" w14:textId="77777777" w:rsidR="000E1E46" w:rsidRPr="00AC16DE" w:rsidRDefault="000E1E46" w:rsidP="0023050E">
            <w:pPr>
              <w:jc w:val="right"/>
              <w:rPr>
                <w:sz w:val="16"/>
                <w:szCs w:val="16"/>
              </w:rPr>
            </w:pPr>
            <w:r w:rsidRPr="00AC16DE">
              <w:rPr>
                <w:sz w:val="16"/>
                <w:szCs w:val="16"/>
              </w:rPr>
              <w:t>7,27</w:t>
            </w:r>
          </w:p>
        </w:tc>
        <w:tc>
          <w:tcPr>
            <w:tcW w:w="1395" w:type="dxa"/>
            <w:noWrap/>
            <w:vAlign w:val="center"/>
            <w:hideMark/>
          </w:tcPr>
          <w:p w14:paraId="23D2E238" w14:textId="77777777" w:rsidR="000E1E46" w:rsidRPr="00AC16DE" w:rsidRDefault="000E1E46" w:rsidP="0023050E">
            <w:pPr>
              <w:jc w:val="right"/>
              <w:rPr>
                <w:sz w:val="16"/>
                <w:szCs w:val="16"/>
              </w:rPr>
            </w:pPr>
            <w:r w:rsidRPr="00AC16DE">
              <w:rPr>
                <w:sz w:val="16"/>
                <w:szCs w:val="16"/>
              </w:rPr>
              <w:t>2,66</w:t>
            </w:r>
          </w:p>
        </w:tc>
        <w:tc>
          <w:tcPr>
            <w:tcW w:w="1339" w:type="dxa"/>
            <w:noWrap/>
            <w:vAlign w:val="center"/>
            <w:hideMark/>
          </w:tcPr>
          <w:p w14:paraId="6C3D3184" w14:textId="77777777" w:rsidR="000E1E46" w:rsidRPr="00AC16DE" w:rsidRDefault="000E1E46" w:rsidP="0023050E">
            <w:pPr>
              <w:jc w:val="right"/>
              <w:rPr>
                <w:sz w:val="16"/>
                <w:szCs w:val="16"/>
              </w:rPr>
            </w:pPr>
            <w:r w:rsidRPr="00AC16DE">
              <w:rPr>
                <w:sz w:val="16"/>
                <w:szCs w:val="16"/>
              </w:rPr>
              <w:t>10,14</w:t>
            </w:r>
          </w:p>
        </w:tc>
      </w:tr>
      <w:tr w:rsidR="000E1E46" w:rsidRPr="00AC16DE" w14:paraId="59BFE800" w14:textId="77777777" w:rsidTr="00FE0B4D">
        <w:trPr>
          <w:trHeight w:val="255"/>
        </w:trPr>
        <w:tc>
          <w:tcPr>
            <w:tcW w:w="2557" w:type="dxa"/>
            <w:tcBorders>
              <w:top w:val="single" w:sz="4" w:space="0" w:color="auto"/>
              <w:left w:val="nil"/>
              <w:bottom w:val="single" w:sz="4" w:space="0" w:color="auto"/>
              <w:right w:val="nil"/>
            </w:tcBorders>
            <w:noWrap/>
            <w:vAlign w:val="center"/>
            <w:hideMark/>
          </w:tcPr>
          <w:p w14:paraId="0C3D0D59" w14:textId="77777777" w:rsidR="000E1E46" w:rsidRPr="00AC16DE" w:rsidRDefault="000E1E46" w:rsidP="0023050E">
            <w:pPr>
              <w:rPr>
                <w:b/>
                <w:bCs/>
                <w:sz w:val="16"/>
                <w:szCs w:val="16"/>
              </w:rPr>
            </w:pPr>
            <w:r w:rsidRPr="00AC16DE">
              <w:rPr>
                <w:b/>
                <w:bCs/>
                <w:sz w:val="16"/>
                <w:szCs w:val="16"/>
              </w:rPr>
              <w:t>Receita total</w:t>
            </w:r>
          </w:p>
        </w:tc>
        <w:tc>
          <w:tcPr>
            <w:tcW w:w="1302" w:type="dxa"/>
            <w:tcBorders>
              <w:top w:val="single" w:sz="4" w:space="0" w:color="auto"/>
              <w:left w:val="nil"/>
              <w:bottom w:val="single" w:sz="4" w:space="0" w:color="auto"/>
              <w:right w:val="nil"/>
            </w:tcBorders>
            <w:noWrap/>
            <w:vAlign w:val="center"/>
            <w:hideMark/>
          </w:tcPr>
          <w:p w14:paraId="1D35C3A3" w14:textId="77777777" w:rsidR="000E1E46" w:rsidRPr="00AC16DE" w:rsidRDefault="000E1E46" w:rsidP="0023050E">
            <w:pPr>
              <w:jc w:val="right"/>
              <w:rPr>
                <w:b/>
                <w:bCs/>
                <w:sz w:val="16"/>
                <w:szCs w:val="16"/>
              </w:rPr>
            </w:pPr>
            <w:r w:rsidRPr="00AC16DE">
              <w:rPr>
                <w:b/>
                <w:bCs/>
                <w:sz w:val="16"/>
                <w:szCs w:val="16"/>
              </w:rPr>
              <w:t>12,02</w:t>
            </w:r>
          </w:p>
        </w:tc>
        <w:tc>
          <w:tcPr>
            <w:tcW w:w="1651" w:type="dxa"/>
            <w:tcBorders>
              <w:top w:val="single" w:sz="4" w:space="0" w:color="auto"/>
              <w:left w:val="nil"/>
              <w:bottom w:val="single" w:sz="4" w:space="0" w:color="auto"/>
              <w:right w:val="nil"/>
            </w:tcBorders>
            <w:noWrap/>
            <w:vAlign w:val="center"/>
            <w:hideMark/>
          </w:tcPr>
          <w:p w14:paraId="329F0671" w14:textId="77777777" w:rsidR="000E1E46" w:rsidRPr="00AC16DE" w:rsidRDefault="000E1E46" w:rsidP="0023050E">
            <w:pPr>
              <w:jc w:val="right"/>
              <w:rPr>
                <w:b/>
                <w:bCs/>
                <w:sz w:val="16"/>
                <w:szCs w:val="16"/>
              </w:rPr>
            </w:pPr>
            <w:r w:rsidRPr="00AC16DE">
              <w:rPr>
                <w:b/>
                <w:bCs/>
                <w:sz w:val="16"/>
                <w:szCs w:val="16"/>
              </w:rPr>
              <w:t>12,75</w:t>
            </w:r>
          </w:p>
        </w:tc>
        <w:tc>
          <w:tcPr>
            <w:tcW w:w="1325" w:type="dxa"/>
            <w:tcBorders>
              <w:top w:val="single" w:sz="4" w:space="0" w:color="auto"/>
              <w:left w:val="nil"/>
              <w:bottom w:val="single" w:sz="4" w:space="0" w:color="auto"/>
              <w:right w:val="nil"/>
            </w:tcBorders>
            <w:noWrap/>
            <w:vAlign w:val="center"/>
            <w:hideMark/>
          </w:tcPr>
          <w:p w14:paraId="19C6FD86" w14:textId="77777777" w:rsidR="000E1E46" w:rsidRPr="00AC16DE" w:rsidRDefault="000E1E46" w:rsidP="0023050E">
            <w:pPr>
              <w:jc w:val="right"/>
              <w:rPr>
                <w:b/>
                <w:bCs/>
                <w:sz w:val="16"/>
                <w:szCs w:val="16"/>
              </w:rPr>
            </w:pPr>
            <w:r w:rsidRPr="00AC16DE">
              <w:rPr>
                <w:b/>
                <w:bCs/>
                <w:sz w:val="16"/>
                <w:szCs w:val="16"/>
              </w:rPr>
              <w:t>12,18</w:t>
            </w:r>
          </w:p>
        </w:tc>
        <w:tc>
          <w:tcPr>
            <w:tcW w:w="1395" w:type="dxa"/>
            <w:tcBorders>
              <w:top w:val="single" w:sz="4" w:space="0" w:color="auto"/>
              <w:left w:val="nil"/>
              <w:bottom w:val="single" w:sz="4" w:space="0" w:color="auto"/>
              <w:right w:val="nil"/>
            </w:tcBorders>
            <w:noWrap/>
            <w:vAlign w:val="center"/>
            <w:hideMark/>
          </w:tcPr>
          <w:p w14:paraId="01F8BF0F" w14:textId="77777777" w:rsidR="000E1E46" w:rsidRPr="00AC16DE" w:rsidRDefault="000E1E46" w:rsidP="0023050E">
            <w:pPr>
              <w:jc w:val="right"/>
              <w:rPr>
                <w:b/>
                <w:bCs/>
                <w:sz w:val="16"/>
                <w:szCs w:val="16"/>
              </w:rPr>
            </w:pPr>
            <w:r w:rsidRPr="00AC16DE">
              <w:rPr>
                <w:b/>
                <w:bCs/>
                <w:sz w:val="16"/>
                <w:szCs w:val="16"/>
              </w:rPr>
              <w:t>6,54</w:t>
            </w:r>
          </w:p>
        </w:tc>
        <w:tc>
          <w:tcPr>
            <w:tcW w:w="1339" w:type="dxa"/>
            <w:tcBorders>
              <w:top w:val="single" w:sz="4" w:space="0" w:color="auto"/>
              <w:left w:val="nil"/>
              <w:bottom w:val="single" w:sz="4" w:space="0" w:color="auto"/>
              <w:right w:val="nil"/>
            </w:tcBorders>
            <w:noWrap/>
            <w:vAlign w:val="center"/>
            <w:hideMark/>
          </w:tcPr>
          <w:p w14:paraId="3EC65537" w14:textId="77777777" w:rsidR="000E1E46" w:rsidRPr="00AC16DE" w:rsidRDefault="000E1E46" w:rsidP="0023050E">
            <w:pPr>
              <w:jc w:val="right"/>
              <w:rPr>
                <w:b/>
                <w:bCs/>
                <w:sz w:val="16"/>
                <w:szCs w:val="16"/>
              </w:rPr>
            </w:pPr>
            <w:r w:rsidRPr="00AC16DE">
              <w:rPr>
                <w:b/>
                <w:bCs/>
                <w:sz w:val="16"/>
                <w:szCs w:val="16"/>
              </w:rPr>
              <w:t>11,16</w:t>
            </w:r>
          </w:p>
        </w:tc>
      </w:tr>
      <w:tr w:rsidR="000E1E46" w:rsidRPr="00AC16DE" w14:paraId="48914EBD" w14:textId="77777777" w:rsidTr="00FE0B4D">
        <w:trPr>
          <w:trHeight w:val="255"/>
        </w:trPr>
        <w:tc>
          <w:tcPr>
            <w:tcW w:w="2557" w:type="dxa"/>
            <w:tcBorders>
              <w:top w:val="single" w:sz="4" w:space="0" w:color="auto"/>
              <w:left w:val="nil"/>
              <w:bottom w:val="single" w:sz="6" w:space="0" w:color="C00000"/>
              <w:right w:val="nil"/>
            </w:tcBorders>
            <w:noWrap/>
            <w:vAlign w:val="center"/>
            <w:hideMark/>
          </w:tcPr>
          <w:p w14:paraId="323425F6" w14:textId="77777777" w:rsidR="000E1E46" w:rsidRPr="00AC16DE" w:rsidRDefault="000E1E46" w:rsidP="0023050E">
            <w:pPr>
              <w:rPr>
                <w:b/>
                <w:bCs/>
                <w:sz w:val="16"/>
                <w:szCs w:val="16"/>
              </w:rPr>
            </w:pPr>
            <w:r w:rsidRPr="00AC16DE">
              <w:rPr>
                <w:b/>
                <w:bCs/>
                <w:sz w:val="16"/>
                <w:szCs w:val="16"/>
              </w:rPr>
              <w:t>Média da Inflação (IPCA)</w:t>
            </w:r>
          </w:p>
        </w:tc>
        <w:tc>
          <w:tcPr>
            <w:tcW w:w="1302" w:type="dxa"/>
            <w:tcBorders>
              <w:top w:val="single" w:sz="4" w:space="0" w:color="auto"/>
              <w:left w:val="nil"/>
              <w:bottom w:val="single" w:sz="6" w:space="0" w:color="C00000"/>
              <w:right w:val="nil"/>
            </w:tcBorders>
            <w:noWrap/>
            <w:vAlign w:val="center"/>
            <w:hideMark/>
          </w:tcPr>
          <w:p w14:paraId="15A11FAB" w14:textId="77777777" w:rsidR="000E1E46" w:rsidRPr="00AC16DE" w:rsidRDefault="000E1E46" w:rsidP="0023050E">
            <w:pPr>
              <w:jc w:val="right"/>
              <w:rPr>
                <w:b/>
                <w:bCs/>
                <w:sz w:val="16"/>
                <w:szCs w:val="16"/>
              </w:rPr>
            </w:pPr>
            <w:r w:rsidRPr="00AC16DE">
              <w:rPr>
                <w:b/>
                <w:bCs/>
                <w:sz w:val="16"/>
                <w:szCs w:val="16"/>
              </w:rPr>
              <w:t>6,43</w:t>
            </w:r>
          </w:p>
        </w:tc>
        <w:tc>
          <w:tcPr>
            <w:tcW w:w="1651" w:type="dxa"/>
            <w:tcBorders>
              <w:top w:val="single" w:sz="4" w:space="0" w:color="auto"/>
              <w:left w:val="nil"/>
              <w:bottom w:val="single" w:sz="6" w:space="0" w:color="C00000"/>
              <w:right w:val="nil"/>
            </w:tcBorders>
            <w:noWrap/>
            <w:vAlign w:val="center"/>
            <w:hideMark/>
          </w:tcPr>
          <w:p w14:paraId="614899AB" w14:textId="77777777" w:rsidR="000E1E46" w:rsidRPr="00AC16DE" w:rsidRDefault="000E1E46" w:rsidP="0023050E">
            <w:pPr>
              <w:jc w:val="right"/>
              <w:rPr>
                <w:b/>
                <w:bCs/>
                <w:sz w:val="16"/>
                <w:szCs w:val="16"/>
              </w:rPr>
            </w:pPr>
            <w:r w:rsidRPr="00AC16DE">
              <w:rPr>
                <w:b/>
                <w:bCs/>
                <w:sz w:val="16"/>
                <w:szCs w:val="16"/>
              </w:rPr>
              <w:t>5,15</w:t>
            </w:r>
          </w:p>
        </w:tc>
        <w:tc>
          <w:tcPr>
            <w:tcW w:w="1325" w:type="dxa"/>
            <w:tcBorders>
              <w:top w:val="single" w:sz="4" w:space="0" w:color="auto"/>
              <w:left w:val="nil"/>
              <w:bottom w:val="single" w:sz="6" w:space="0" w:color="C00000"/>
              <w:right w:val="nil"/>
            </w:tcBorders>
            <w:noWrap/>
            <w:vAlign w:val="center"/>
            <w:hideMark/>
          </w:tcPr>
          <w:p w14:paraId="393C17F4" w14:textId="77777777" w:rsidR="000E1E46" w:rsidRPr="00AC16DE" w:rsidRDefault="000E1E46" w:rsidP="0023050E">
            <w:pPr>
              <w:jc w:val="right"/>
              <w:rPr>
                <w:b/>
                <w:bCs/>
                <w:sz w:val="16"/>
                <w:szCs w:val="16"/>
              </w:rPr>
            </w:pPr>
            <w:r w:rsidRPr="00AC16DE">
              <w:rPr>
                <w:b/>
                <w:bCs/>
                <w:sz w:val="16"/>
                <w:szCs w:val="16"/>
              </w:rPr>
              <w:t>6,17</w:t>
            </w:r>
          </w:p>
        </w:tc>
        <w:tc>
          <w:tcPr>
            <w:tcW w:w="1395" w:type="dxa"/>
            <w:tcBorders>
              <w:top w:val="single" w:sz="4" w:space="0" w:color="auto"/>
              <w:left w:val="nil"/>
              <w:bottom w:val="single" w:sz="6" w:space="0" w:color="C00000"/>
              <w:right w:val="nil"/>
            </w:tcBorders>
            <w:noWrap/>
            <w:vAlign w:val="center"/>
            <w:hideMark/>
          </w:tcPr>
          <w:p w14:paraId="516FB585" w14:textId="77777777" w:rsidR="000E1E46" w:rsidRPr="00AC16DE" w:rsidRDefault="000E1E46" w:rsidP="0023050E">
            <w:pPr>
              <w:jc w:val="right"/>
              <w:rPr>
                <w:b/>
                <w:bCs/>
                <w:sz w:val="16"/>
                <w:szCs w:val="16"/>
              </w:rPr>
            </w:pPr>
            <w:r w:rsidRPr="00AC16DE">
              <w:rPr>
                <w:b/>
                <w:bCs/>
                <w:sz w:val="16"/>
                <w:szCs w:val="16"/>
              </w:rPr>
              <w:t>6,64</w:t>
            </w:r>
          </w:p>
        </w:tc>
        <w:tc>
          <w:tcPr>
            <w:tcW w:w="1339" w:type="dxa"/>
            <w:tcBorders>
              <w:top w:val="single" w:sz="4" w:space="0" w:color="auto"/>
              <w:left w:val="nil"/>
              <w:bottom w:val="single" w:sz="6" w:space="0" w:color="C00000"/>
              <w:right w:val="nil"/>
            </w:tcBorders>
            <w:noWrap/>
            <w:vAlign w:val="center"/>
            <w:hideMark/>
          </w:tcPr>
          <w:p w14:paraId="45938CE7" w14:textId="77777777" w:rsidR="000E1E46" w:rsidRPr="00AC16DE" w:rsidRDefault="000E1E46" w:rsidP="0023050E">
            <w:pPr>
              <w:jc w:val="right"/>
              <w:rPr>
                <w:b/>
                <w:bCs/>
                <w:sz w:val="16"/>
                <w:szCs w:val="16"/>
              </w:rPr>
            </w:pPr>
            <w:r w:rsidRPr="00AC16DE">
              <w:rPr>
                <w:b/>
                <w:bCs/>
                <w:sz w:val="16"/>
                <w:szCs w:val="16"/>
              </w:rPr>
              <w:t>6,06</w:t>
            </w:r>
          </w:p>
        </w:tc>
      </w:tr>
    </w:tbl>
    <w:p w14:paraId="098673D1" w14:textId="77777777" w:rsidR="000E1E46" w:rsidRPr="00AC16DE" w:rsidRDefault="000E1E46" w:rsidP="004312BF">
      <w:pPr>
        <w:pStyle w:val="FJP-Fonte"/>
        <w:rPr>
          <w:rFonts w:ascii="Times New Roman" w:hAnsi="Times New Roman"/>
        </w:rPr>
      </w:pPr>
      <w:r w:rsidRPr="00AC16DE">
        <w:rPr>
          <w:rFonts w:ascii="Times New Roman" w:hAnsi="Times New Roman"/>
        </w:rPr>
        <w:t>Fonte: Elaboração própria a partir de dados do anexo estatístico.</w:t>
      </w:r>
    </w:p>
    <w:p w14:paraId="0615D386" w14:textId="0FB011B6"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Em que pese a drástica redução tanto das receitas tributárias quanto das transferências correntes, deve-se destacar que houve um esforço de aumento de arrecadação estadual, bastante visível desde 2012</w:t>
      </w:r>
      <w:r>
        <w:rPr>
          <w:rFonts w:ascii="Times New Roman" w:hAnsi="Times New Roman"/>
          <w:sz w:val="24"/>
          <w:szCs w:val="24"/>
        </w:rPr>
        <w:t xml:space="preserve">, na </w:t>
      </w:r>
      <w:r>
        <w:rPr>
          <w:rFonts w:ascii="Times New Roman" w:hAnsi="Times New Roman"/>
          <w:sz w:val="24"/>
          <w:szCs w:val="24"/>
        </w:rPr>
        <w:lastRenderedPageBreak/>
        <w:t>gestão psdbista,</w:t>
      </w:r>
      <w:r w:rsidRPr="00AC16DE">
        <w:rPr>
          <w:rFonts w:ascii="Times New Roman" w:hAnsi="Times New Roman"/>
          <w:sz w:val="24"/>
          <w:szCs w:val="24"/>
        </w:rPr>
        <w:t xml:space="preserve"> e mais pronunciada no último triênio. Depreende</w:t>
      </w:r>
      <w:r>
        <w:rPr>
          <w:rFonts w:ascii="Times New Roman" w:hAnsi="Times New Roman"/>
          <w:sz w:val="24"/>
          <w:szCs w:val="24"/>
        </w:rPr>
        <w:t>-se</w:t>
      </w:r>
      <w:r w:rsidRPr="00AC16DE">
        <w:rPr>
          <w:rFonts w:ascii="Times New Roman" w:hAnsi="Times New Roman"/>
          <w:sz w:val="24"/>
          <w:szCs w:val="24"/>
        </w:rPr>
        <w:t>, então, que a busca novas receitas e de aumento de arrecadação não parece depender da orientação política e sim do quadro econômico e fiscal. Apresenta-se, na sequência, breves considerações em relação ao desempenho da receita no último triênio.</w:t>
      </w:r>
    </w:p>
    <w:p w14:paraId="0E6070CF" w14:textId="77777777" w:rsidR="000E1E46" w:rsidRPr="00AC16DE" w:rsidRDefault="000E1E46" w:rsidP="00870F79">
      <w:pPr>
        <w:pStyle w:val="FJP-Ttulo2"/>
        <w:spacing w:line="480" w:lineRule="auto"/>
        <w:rPr>
          <w:rFonts w:ascii="Times New Roman" w:hAnsi="Times New Roman"/>
          <w:sz w:val="24"/>
        </w:rPr>
      </w:pPr>
      <w:r w:rsidRPr="00AC16DE">
        <w:rPr>
          <w:rFonts w:ascii="Times New Roman" w:hAnsi="Times New Roman"/>
          <w:sz w:val="24"/>
        </w:rPr>
        <w:t>4.1. Dinâmica das Receitas Orçamentárias – 2015-2017</w:t>
      </w:r>
    </w:p>
    <w:p w14:paraId="24D4605C"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Nesse período, a razão entre a variação da receita tributária e a variação do PIB nominal foi superior a um, na fase de aceleração, e inferior a um, na desaceleração observada de 2016 para 2017. Esse desempenho favorável foi alcançado a partir de medidas de curto prazo. Dentre elas, menciona-se o aumento do ICMS sobre diversos produtos considerados supérfluos, tais como ração tipo pet, perfumes e cosméticos, etc. (Lei 21781, de 01 de outubro de 2015).</w:t>
      </w:r>
    </w:p>
    <w:p w14:paraId="028174E1"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Ainda, em 2015, ingressou nos cofres públicos R$ 4,8 bilhões referente aos depósitos judiciais, conforme a Lei 21.720/15, que dispõe sobre a utilização desses recursos. Porém, essa receita foi contabilizada apenas nesse ano na subcategoria outras receitas correntes</w:t>
      </w:r>
      <w:r w:rsidRPr="00AC16DE">
        <w:rPr>
          <w:rStyle w:val="Refdenotaderodap"/>
          <w:rFonts w:ascii="Times New Roman" w:hAnsi="Times New Roman"/>
          <w:sz w:val="24"/>
          <w:szCs w:val="24"/>
        </w:rPr>
        <w:footnoteReference w:id="11"/>
      </w:r>
      <w:r w:rsidRPr="00AC16DE">
        <w:rPr>
          <w:rFonts w:ascii="Times New Roman" w:hAnsi="Times New Roman"/>
          <w:sz w:val="24"/>
          <w:szCs w:val="24"/>
        </w:rPr>
        <w:t>. Em 2016, houve a entrada de recursos extraordinários da ordem de R$ 1,3 bilhão decorrente da cessão do direito de operacionalização da folha de pagamento do servidor ao Banco do Brasil. Essa receita foi classificada na subcategoria receitas patrimoniais. Nesse mesmo ano, a União repassou ao estado R$ 363 milhões relativos ao Programa de Regularização de Ativos no Exterior.</w:t>
      </w:r>
    </w:p>
    <w:p w14:paraId="5B8BD223" w14:textId="77777777" w:rsidR="000E1E46" w:rsidRDefault="000E1E46" w:rsidP="00870F79">
      <w:pPr>
        <w:pStyle w:val="FJP-CorpoTexto"/>
        <w:spacing w:line="480" w:lineRule="auto"/>
        <w:rPr>
          <w:rFonts w:ascii="Times New Roman" w:hAnsi="Times New Roman"/>
          <w:sz w:val="24"/>
          <w:szCs w:val="24"/>
        </w:rPr>
        <w:sectPr w:rsidR="000E1E46" w:rsidSect="000E1E46">
          <w:pgSz w:w="11906" w:h="16838"/>
          <w:pgMar w:top="1440" w:right="1080" w:bottom="1440" w:left="1080" w:header="708" w:footer="708" w:gutter="0"/>
          <w:cols w:space="708"/>
          <w:docGrid w:linePitch="360"/>
        </w:sectPr>
      </w:pPr>
      <w:r w:rsidRPr="00AC16DE">
        <w:rPr>
          <w:rFonts w:ascii="Times New Roman" w:hAnsi="Times New Roman"/>
          <w:sz w:val="24"/>
          <w:szCs w:val="24"/>
        </w:rPr>
        <w:t xml:space="preserve"> Em 2016, apesar da queda de 1,8% do PIB</w:t>
      </w:r>
      <w:r>
        <w:rPr>
          <w:rFonts w:ascii="Times New Roman" w:hAnsi="Times New Roman"/>
          <w:sz w:val="24"/>
          <w:szCs w:val="24"/>
        </w:rPr>
        <w:t xml:space="preserve">, o aumento de alíquota de ICMS </w:t>
      </w:r>
      <w:r w:rsidRPr="00AC16DE">
        <w:rPr>
          <w:rFonts w:ascii="Times New Roman" w:hAnsi="Times New Roman"/>
          <w:sz w:val="24"/>
          <w:szCs w:val="24"/>
        </w:rPr>
        <w:t xml:space="preserve">impulsionou a arrecadação tributária. Em 2017, o crescimento de arrecadação das receitas tributárias, comparado ao ano imediatamente anterior, se desacelerou (tab. 5). </w:t>
      </w:r>
    </w:p>
    <w:p w14:paraId="749AA879" w14:textId="77777777" w:rsidR="000E1E46" w:rsidRPr="00AC16DE" w:rsidRDefault="000E1E46" w:rsidP="004312BF">
      <w:pPr>
        <w:pStyle w:val="FJP-Tab-T"/>
        <w:rPr>
          <w:rFonts w:ascii="Times New Roman" w:hAnsi="Times New Roman"/>
          <w:sz w:val="24"/>
          <w:szCs w:val="24"/>
        </w:rPr>
      </w:pPr>
      <w:r w:rsidRPr="00AC16DE">
        <w:rPr>
          <w:rFonts w:ascii="Times New Roman" w:hAnsi="Times New Roman"/>
          <w:sz w:val="24"/>
          <w:szCs w:val="24"/>
        </w:rPr>
        <w:lastRenderedPageBreak/>
        <w:t>Tabela 5: Crescimento da Receita Efetivada, principais subcategorias – 2015-2017 – (%)</w:t>
      </w:r>
    </w:p>
    <w:tbl>
      <w:tblPr>
        <w:tblW w:w="9639" w:type="dxa"/>
        <w:tblCellMar>
          <w:left w:w="70" w:type="dxa"/>
          <w:right w:w="70" w:type="dxa"/>
        </w:tblCellMar>
        <w:tblLook w:val="04A0" w:firstRow="1" w:lastRow="0" w:firstColumn="1" w:lastColumn="0" w:noHBand="0" w:noVBand="1"/>
      </w:tblPr>
      <w:tblGrid>
        <w:gridCol w:w="2786"/>
        <w:gridCol w:w="1042"/>
        <w:gridCol w:w="1134"/>
        <w:gridCol w:w="1275"/>
        <w:gridCol w:w="1701"/>
        <w:gridCol w:w="1701"/>
      </w:tblGrid>
      <w:tr w:rsidR="000E1E46" w:rsidRPr="00AC16DE" w14:paraId="18801BA7" w14:textId="77777777" w:rsidTr="004312BF">
        <w:trPr>
          <w:trHeight w:val="510"/>
        </w:trPr>
        <w:tc>
          <w:tcPr>
            <w:tcW w:w="2786" w:type="dxa"/>
            <w:tcBorders>
              <w:top w:val="single" w:sz="4" w:space="0" w:color="auto"/>
              <w:left w:val="nil"/>
              <w:bottom w:val="single" w:sz="4" w:space="0" w:color="auto"/>
              <w:right w:val="nil"/>
            </w:tcBorders>
            <w:shd w:val="clear" w:color="auto" w:fill="595959" w:themeFill="text1" w:themeFillTint="A6"/>
            <w:vAlign w:val="center"/>
            <w:hideMark/>
          </w:tcPr>
          <w:p w14:paraId="6C3E13FA"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Especificação</w:t>
            </w:r>
          </w:p>
        </w:tc>
        <w:tc>
          <w:tcPr>
            <w:tcW w:w="1042" w:type="dxa"/>
            <w:tcBorders>
              <w:top w:val="single" w:sz="4" w:space="0" w:color="auto"/>
              <w:left w:val="nil"/>
              <w:bottom w:val="single" w:sz="4" w:space="0" w:color="auto"/>
              <w:right w:val="nil"/>
            </w:tcBorders>
            <w:shd w:val="clear" w:color="auto" w:fill="595959" w:themeFill="text1" w:themeFillTint="A6"/>
            <w:vAlign w:val="center"/>
            <w:hideMark/>
          </w:tcPr>
          <w:p w14:paraId="24915EEC"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2015</w:t>
            </w:r>
          </w:p>
        </w:tc>
        <w:tc>
          <w:tcPr>
            <w:tcW w:w="1134" w:type="dxa"/>
            <w:tcBorders>
              <w:top w:val="single" w:sz="4" w:space="0" w:color="auto"/>
              <w:left w:val="nil"/>
              <w:bottom w:val="single" w:sz="4" w:space="0" w:color="auto"/>
              <w:right w:val="nil"/>
            </w:tcBorders>
            <w:shd w:val="clear" w:color="auto" w:fill="595959" w:themeFill="text1" w:themeFillTint="A6"/>
            <w:vAlign w:val="center"/>
            <w:hideMark/>
          </w:tcPr>
          <w:p w14:paraId="77F35C5F"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2016</w:t>
            </w:r>
          </w:p>
        </w:tc>
        <w:tc>
          <w:tcPr>
            <w:tcW w:w="1275" w:type="dxa"/>
            <w:tcBorders>
              <w:top w:val="single" w:sz="4" w:space="0" w:color="auto"/>
              <w:left w:val="nil"/>
              <w:bottom w:val="single" w:sz="4" w:space="0" w:color="auto"/>
              <w:right w:val="nil"/>
            </w:tcBorders>
            <w:shd w:val="clear" w:color="auto" w:fill="595959" w:themeFill="text1" w:themeFillTint="A6"/>
            <w:vAlign w:val="center"/>
            <w:hideMark/>
          </w:tcPr>
          <w:p w14:paraId="4E2BA425"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2017</w:t>
            </w:r>
          </w:p>
        </w:tc>
        <w:tc>
          <w:tcPr>
            <w:tcW w:w="1701" w:type="dxa"/>
            <w:tcBorders>
              <w:top w:val="single" w:sz="4" w:space="0" w:color="auto"/>
              <w:left w:val="nil"/>
              <w:bottom w:val="single" w:sz="4" w:space="0" w:color="auto"/>
              <w:right w:val="nil"/>
            </w:tcBorders>
            <w:shd w:val="clear" w:color="auto" w:fill="595959" w:themeFill="text1" w:themeFillTint="A6"/>
            <w:vAlign w:val="center"/>
            <w:hideMark/>
          </w:tcPr>
          <w:p w14:paraId="7B44EE30"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Média do triênio</w:t>
            </w:r>
          </w:p>
          <w:p w14:paraId="1E72A3F9"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(2015-2017)</w:t>
            </w:r>
          </w:p>
        </w:tc>
        <w:tc>
          <w:tcPr>
            <w:tcW w:w="1701" w:type="dxa"/>
            <w:tcBorders>
              <w:top w:val="single" w:sz="4" w:space="0" w:color="auto"/>
              <w:left w:val="nil"/>
              <w:bottom w:val="single" w:sz="4" w:space="0" w:color="auto"/>
              <w:right w:val="nil"/>
            </w:tcBorders>
            <w:shd w:val="clear" w:color="auto" w:fill="595959" w:themeFill="text1" w:themeFillTint="A6"/>
            <w:vAlign w:val="center"/>
            <w:hideMark/>
          </w:tcPr>
          <w:p w14:paraId="2F0936BD"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Média do período</w:t>
            </w:r>
          </w:p>
          <w:p w14:paraId="0F85BBBE"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(2003-2017)</w:t>
            </w:r>
          </w:p>
        </w:tc>
      </w:tr>
      <w:tr w:rsidR="000E1E46" w:rsidRPr="00AC16DE" w14:paraId="3B0E48C1" w14:textId="77777777" w:rsidTr="004312BF">
        <w:trPr>
          <w:trHeight w:val="255"/>
        </w:trPr>
        <w:tc>
          <w:tcPr>
            <w:tcW w:w="2786" w:type="dxa"/>
            <w:noWrap/>
            <w:vAlign w:val="center"/>
            <w:hideMark/>
          </w:tcPr>
          <w:p w14:paraId="05B18EEB" w14:textId="77777777" w:rsidR="000E1E46" w:rsidRPr="00AC16DE" w:rsidRDefault="000E1E46" w:rsidP="004312BF">
            <w:pPr>
              <w:rPr>
                <w:sz w:val="16"/>
                <w:szCs w:val="16"/>
              </w:rPr>
            </w:pPr>
            <w:r w:rsidRPr="00AC16DE">
              <w:rPr>
                <w:sz w:val="16"/>
                <w:szCs w:val="16"/>
              </w:rPr>
              <w:t>Receita tributárias</w:t>
            </w:r>
          </w:p>
        </w:tc>
        <w:tc>
          <w:tcPr>
            <w:tcW w:w="1042" w:type="dxa"/>
            <w:vAlign w:val="center"/>
            <w:hideMark/>
          </w:tcPr>
          <w:p w14:paraId="07C47829" w14:textId="77777777" w:rsidR="000E1E46" w:rsidRPr="00AC16DE" w:rsidRDefault="000E1E46" w:rsidP="004312BF">
            <w:pPr>
              <w:jc w:val="right"/>
              <w:rPr>
                <w:sz w:val="16"/>
                <w:szCs w:val="16"/>
              </w:rPr>
            </w:pPr>
            <w:r w:rsidRPr="00AC16DE">
              <w:rPr>
                <w:sz w:val="16"/>
                <w:szCs w:val="16"/>
              </w:rPr>
              <w:t>1,98</w:t>
            </w:r>
          </w:p>
        </w:tc>
        <w:tc>
          <w:tcPr>
            <w:tcW w:w="1134" w:type="dxa"/>
            <w:noWrap/>
            <w:vAlign w:val="center"/>
            <w:hideMark/>
          </w:tcPr>
          <w:p w14:paraId="17426582" w14:textId="77777777" w:rsidR="000E1E46" w:rsidRPr="00AC16DE" w:rsidRDefault="000E1E46" w:rsidP="004312BF">
            <w:pPr>
              <w:jc w:val="right"/>
              <w:rPr>
                <w:sz w:val="16"/>
                <w:szCs w:val="16"/>
              </w:rPr>
            </w:pPr>
            <w:r w:rsidRPr="00AC16DE">
              <w:rPr>
                <w:sz w:val="16"/>
                <w:szCs w:val="16"/>
              </w:rPr>
              <w:t>10,35</w:t>
            </w:r>
          </w:p>
        </w:tc>
        <w:tc>
          <w:tcPr>
            <w:tcW w:w="1275" w:type="dxa"/>
            <w:noWrap/>
            <w:vAlign w:val="center"/>
            <w:hideMark/>
          </w:tcPr>
          <w:p w14:paraId="693CF0EF" w14:textId="77777777" w:rsidR="000E1E46" w:rsidRPr="00AC16DE" w:rsidRDefault="000E1E46" w:rsidP="004312BF">
            <w:pPr>
              <w:jc w:val="right"/>
              <w:rPr>
                <w:sz w:val="16"/>
                <w:szCs w:val="16"/>
              </w:rPr>
            </w:pPr>
            <w:r w:rsidRPr="00AC16DE">
              <w:rPr>
                <w:sz w:val="16"/>
                <w:szCs w:val="16"/>
              </w:rPr>
              <w:t>9,53</w:t>
            </w:r>
          </w:p>
        </w:tc>
        <w:tc>
          <w:tcPr>
            <w:tcW w:w="1701" w:type="dxa"/>
            <w:vAlign w:val="center"/>
            <w:hideMark/>
          </w:tcPr>
          <w:p w14:paraId="61F3F051" w14:textId="77777777" w:rsidR="000E1E46" w:rsidRPr="00AC16DE" w:rsidRDefault="000E1E46" w:rsidP="004312BF">
            <w:pPr>
              <w:ind w:right="657"/>
              <w:jc w:val="right"/>
              <w:rPr>
                <w:sz w:val="16"/>
                <w:szCs w:val="16"/>
              </w:rPr>
            </w:pPr>
            <w:r w:rsidRPr="00AC16DE">
              <w:rPr>
                <w:sz w:val="16"/>
                <w:szCs w:val="16"/>
              </w:rPr>
              <w:t>7,29</w:t>
            </w:r>
          </w:p>
        </w:tc>
        <w:tc>
          <w:tcPr>
            <w:tcW w:w="1701" w:type="dxa"/>
            <w:noWrap/>
            <w:vAlign w:val="center"/>
            <w:hideMark/>
          </w:tcPr>
          <w:p w14:paraId="6657380D" w14:textId="77777777" w:rsidR="000E1E46" w:rsidRPr="00AC16DE" w:rsidRDefault="000E1E46" w:rsidP="004312BF">
            <w:pPr>
              <w:ind w:right="636"/>
              <w:jc w:val="right"/>
              <w:rPr>
                <w:sz w:val="16"/>
                <w:szCs w:val="16"/>
              </w:rPr>
            </w:pPr>
            <w:r w:rsidRPr="00AC16DE">
              <w:rPr>
                <w:sz w:val="16"/>
                <w:szCs w:val="16"/>
              </w:rPr>
              <w:t>11,77</w:t>
            </w:r>
          </w:p>
        </w:tc>
      </w:tr>
      <w:tr w:rsidR="000E1E46" w:rsidRPr="00AC16DE" w14:paraId="05F4DF15" w14:textId="77777777" w:rsidTr="004312BF">
        <w:trPr>
          <w:trHeight w:val="255"/>
        </w:trPr>
        <w:tc>
          <w:tcPr>
            <w:tcW w:w="2786" w:type="dxa"/>
            <w:noWrap/>
            <w:vAlign w:val="center"/>
            <w:hideMark/>
          </w:tcPr>
          <w:p w14:paraId="2E09DB85" w14:textId="77777777" w:rsidR="000E1E46" w:rsidRPr="00AC16DE" w:rsidRDefault="000E1E46" w:rsidP="004312BF">
            <w:pPr>
              <w:rPr>
                <w:sz w:val="16"/>
                <w:szCs w:val="16"/>
              </w:rPr>
            </w:pPr>
            <w:r w:rsidRPr="00AC16DE">
              <w:rPr>
                <w:sz w:val="16"/>
                <w:szCs w:val="16"/>
              </w:rPr>
              <w:t>Transferências correntes</w:t>
            </w:r>
          </w:p>
        </w:tc>
        <w:tc>
          <w:tcPr>
            <w:tcW w:w="1042" w:type="dxa"/>
            <w:vAlign w:val="center"/>
            <w:hideMark/>
          </w:tcPr>
          <w:p w14:paraId="4B375B20" w14:textId="77777777" w:rsidR="000E1E46" w:rsidRPr="00AC16DE" w:rsidRDefault="000E1E46" w:rsidP="004312BF">
            <w:pPr>
              <w:jc w:val="right"/>
              <w:rPr>
                <w:sz w:val="16"/>
                <w:szCs w:val="16"/>
              </w:rPr>
            </w:pPr>
            <w:r w:rsidRPr="00AC16DE">
              <w:rPr>
                <w:sz w:val="16"/>
                <w:szCs w:val="16"/>
              </w:rPr>
              <w:t>(0,84)</w:t>
            </w:r>
          </w:p>
        </w:tc>
        <w:tc>
          <w:tcPr>
            <w:tcW w:w="1134" w:type="dxa"/>
            <w:noWrap/>
            <w:vAlign w:val="center"/>
            <w:hideMark/>
          </w:tcPr>
          <w:p w14:paraId="25AFC45A" w14:textId="77777777" w:rsidR="000E1E46" w:rsidRPr="00AC16DE" w:rsidRDefault="000E1E46" w:rsidP="004312BF">
            <w:pPr>
              <w:jc w:val="right"/>
              <w:rPr>
                <w:sz w:val="16"/>
                <w:szCs w:val="16"/>
              </w:rPr>
            </w:pPr>
            <w:r w:rsidRPr="00AC16DE">
              <w:rPr>
                <w:sz w:val="16"/>
                <w:szCs w:val="16"/>
              </w:rPr>
              <w:t>10,21</w:t>
            </w:r>
          </w:p>
        </w:tc>
        <w:tc>
          <w:tcPr>
            <w:tcW w:w="1275" w:type="dxa"/>
            <w:noWrap/>
            <w:vAlign w:val="center"/>
            <w:hideMark/>
          </w:tcPr>
          <w:p w14:paraId="630C6F7C" w14:textId="77777777" w:rsidR="000E1E46" w:rsidRPr="00AC16DE" w:rsidRDefault="000E1E46" w:rsidP="004312BF">
            <w:pPr>
              <w:jc w:val="right"/>
              <w:rPr>
                <w:sz w:val="16"/>
                <w:szCs w:val="16"/>
              </w:rPr>
            </w:pPr>
            <w:r w:rsidRPr="00AC16DE">
              <w:rPr>
                <w:sz w:val="16"/>
                <w:szCs w:val="16"/>
              </w:rPr>
              <w:t>(1,40)</w:t>
            </w:r>
          </w:p>
        </w:tc>
        <w:tc>
          <w:tcPr>
            <w:tcW w:w="1701" w:type="dxa"/>
            <w:vAlign w:val="center"/>
            <w:hideMark/>
          </w:tcPr>
          <w:p w14:paraId="6F1DCA20" w14:textId="77777777" w:rsidR="000E1E46" w:rsidRPr="00AC16DE" w:rsidRDefault="000E1E46" w:rsidP="004312BF">
            <w:pPr>
              <w:ind w:right="657"/>
              <w:jc w:val="right"/>
              <w:rPr>
                <w:sz w:val="16"/>
                <w:szCs w:val="16"/>
              </w:rPr>
            </w:pPr>
            <w:r w:rsidRPr="00AC16DE">
              <w:rPr>
                <w:sz w:val="16"/>
                <w:szCs w:val="16"/>
              </w:rPr>
              <w:t>2,66</w:t>
            </w:r>
          </w:p>
        </w:tc>
        <w:tc>
          <w:tcPr>
            <w:tcW w:w="1701" w:type="dxa"/>
            <w:noWrap/>
            <w:vAlign w:val="center"/>
            <w:hideMark/>
          </w:tcPr>
          <w:p w14:paraId="64E024E9" w14:textId="77777777" w:rsidR="000E1E46" w:rsidRPr="00AC16DE" w:rsidRDefault="000E1E46" w:rsidP="004312BF">
            <w:pPr>
              <w:ind w:right="636"/>
              <w:jc w:val="right"/>
              <w:rPr>
                <w:sz w:val="16"/>
                <w:szCs w:val="16"/>
              </w:rPr>
            </w:pPr>
            <w:r w:rsidRPr="00AC16DE">
              <w:rPr>
                <w:sz w:val="16"/>
                <w:szCs w:val="16"/>
              </w:rPr>
              <w:t>10,14</w:t>
            </w:r>
          </w:p>
        </w:tc>
      </w:tr>
      <w:tr w:rsidR="000E1E46" w:rsidRPr="00AC16DE" w14:paraId="4D37A4CF" w14:textId="77777777" w:rsidTr="004312BF">
        <w:trPr>
          <w:trHeight w:val="255"/>
        </w:trPr>
        <w:tc>
          <w:tcPr>
            <w:tcW w:w="2786" w:type="dxa"/>
            <w:tcBorders>
              <w:top w:val="single" w:sz="4" w:space="0" w:color="auto"/>
              <w:left w:val="nil"/>
              <w:bottom w:val="single" w:sz="4" w:space="0" w:color="auto"/>
              <w:right w:val="nil"/>
            </w:tcBorders>
            <w:noWrap/>
            <w:vAlign w:val="center"/>
            <w:hideMark/>
          </w:tcPr>
          <w:p w14:paraId="1E1ED357" w14:textId="77777777" w:rsidR="000E1E46" w:rsidRPr="00AC16DE" w:rsidRDefault="000E1E46" w:rsidP="004312BF">
            <w:pPr>
              <w:rPr>
                <w:b/>
                <w:bCs/>
                <w:sz w:val="16"/>
                <w:szCs w:val="16"/>
              </w:rPr>
            </w:pPr>
            <w:r w:rsidRPr="00AC16DE">
              <w:rPr>
                <w:b/>
                <w:bCs/>
                <w:sz w:val="16"/>
                <w:szCs w:val="16"/>
              </w:rPr>
              <w:t>Receita total</w:t>
            </w:r>
          </w:p>
        </w:tc>
        <w:tc>
          <w:tcPr>
            <w:tcW w:w="1042" w:type="dxa"/>
            <w:tcBorders>
              <w:top w:val="single" w:sz="4" w:space="0" w:color="auto"/>
              <w:left w:val="nil"/>
              <w:bottom w:val="single" w:sz="4" w:space="0" w:color="auto"/>
              <w:right w:val="nil"/>
            </w:tcBorders>
            <w:vAlign w:val="center"/>
            <w:hideMark/>
          </w:tcPr>
          <w:p w14:paraId="1F9E789D" w14:textId="77777777" w:rsidR="000E1E46" w:rsidRPr="00AC16DE" w:rsidRDefault="000E1E46" w:rsidP="004312BF">
            <w:pPr>
              <w:jc w:val="right"/>
              <w:rPr>
                <w:b/>
                <w:bCs/>
                <w:sz w:val="16"/>
                <w:szCs w:val="16"/>
              </w:rPr>
            </w:pPr>
            <w:r w:rsidRPr="00AC16DE">
              <w:rPr>
                <w:b/>
                <w:bCs/>
                <w:sz w:val="16"/>
                <w:szCs w:val="16"/>
              </w:rPr>
              <w:t>3,83</w:t>
            </w:r>
          </w:p>
        </w:tc>
        <w:tc>
          <w:tcPr>
            <w:tcW w:w="1134" w:type="dxa"/>
            <w:tcBorders>
              <w:top w:val="single" w:sz="4" w:space="0" w:color="auto"/>
              <w:left w:val="nil"/>
              <w:bottom w:val="single" w:sz="4" w:space="0" w:color="auto"/>
              <w:right w:val="nil"/>
            </w:tcBorders>
            <w:noWrap/>
            <w:vAlign w:val="center"/>
            <w:hideMark/>
          </w:tcPr>
          <w:p w14:paraId="1D85E7DE" w14:textId="77777777" w:rsidR="000E1E46" w:rsidRPr="00AC16DE" w:rsidRDefault="000E1E46" w:rsidP="004312BF">
            <w:pPr>
              <w:jc w:val="right"/>
              <w:rPr>
                <w:b/>
                <w:bCs/>
                <w:sz w:val="16"/>
                <w:szCs w:val="16"/>
              </w:rPr>
            </w:pPr>
            <w:r w:rsidRPr="00AC16DE">
              <w:rPr>
                <w:b/>
                <w:bCs/>
                <w:sz w:val="16"/>
                <w:szCs w:val="16"/>
              </w:rPr>
              <w:t>10,26</w:t>
            </w:r>
          </w:p>
        </w:tc>
        <w:tc>
          <w:tcPr>
            <w:tcW w:w="1275" w:type="dxa"/>
            <w:tcBorders>
              <w:top w:val="single" w:sz="4" w:space="0" w:color="auto"/>
              <w:left w:val="nil"/>
              <w:bottom w:val="single" w:sz="4" w:space="0" w:color="auto"/>
              <w:right w:val="nil"/>
            </w:tcBorders>
            <w:noWrap/>
            <w:vAlign w:val="center"/>
            <w:hideMark/>
          </w:tcPr>
          <w:p w14:paraId="351CF868" w14:textId="77777777" w:rsidR="000E1E46" w:rsidRPr="00AC16DE" w:rsidRDefault="000E1E46" w:rsidP="004312BF">
            <w:pPr>
              <w:jc w:val="right"/>
              <w:rPr>
                <w:b/>
                <w:bCs/>
                <w:sz w:val="16"/>
                <w:szCs w:val="16"/>
              </w:rPr>
            </w:pPr>
            <w:r w:rsidRPr="00AC16DE">
              <w:rPr>
                <w:b/>
                <w:bCs/>
                <w:sz w:val="16"/>
                <w:szCs w:val="16"/>
              </w:rPr>
              <w:t>5,55</w:t>
            </w:r>
          </w:p>
        </w:tc>
        <w:tc>
          <w:tcPr>
            <w:tcW w:w="1701" w:type="dxa"/>
            <w:tcBorders>
              <w:top w:val="single" w:sz="4" w:space="0" w:color="auto"/>
              <w:left w:val="nil"/>
              <w:bottom w:val="single" w:sz="4" w:space="0" w:color="auto"/>
              <w:right w:val="nil"/>
            </w:tcBorders>
            <w:vAlign w:val="center"/>
            <w:hideMark/>
          </w:tcPr>
          <w:p w14:paraId="33726F92" w14:textId="77777777" w:rsidR="000E1E46" w:rsidRPr="00AC16DE" w:rsidRDefault="000E1E46" w:rsidP="004312BF">
            <w:pPr>
              <w:ind w:right="657"/>
              <w:jc w:val="right"/>
              <w:rPr>
                <w:b/>
                <w:bCs/>
                <w:sz w:val="16"/>
                <w:szCs w:val="16"/>
              </w:rPr>
            </w:pPr>
            <w:r w:rsidRPr="00AC16DE">
              <w:rPr>
                <w:b/>
                <w:bCs/>
                <w:sz w:val="16"/>
                <w:szCs w:val="16"/>
              </w:rPr>
              <w:t>6,54</w:t>
            </w:r>
          </w:p>
        </w:tc>
        <w:tc>
          <w:tcPr>
            <w:tcW w:w="1701" w:type="dxa"/>
            <w:tcBorders>
              <w:top w:val="single" w:sz="4" w:space="0" w:color="auto"/>
              <w:left w:val="nil"/>
              <w:bottom w:val="single" w:sz="4" w:space="0" w:color="auto"/>
              <w:right w:val="nil"/>
            </w:tcBorders>
            <w:noWrap/>
            <w:vAlign w:val="center"/>
            <w:hideMark/>
          </w:tcPr>
          <w:p w14:paraId="482EF9F2" w14:textId="77777777" w:rsidR="000E1E46" w:rsidRPr="00AC16DE" w:rsidRDefault="000E1E46" w:rsidP="004312BF">
            <w:pPr>
              <w:ind w:right="636"/>
              <w:jc w:val="right"/>
              <w:rPr>
                <w:b/>
                <w:bCs/>
                <w:sz w:val="16"/>
                <w:szCs w:val="16"/>
              </w:rPr>
            </w:pPr>
            <w:r w:rsidRPr="00AC16DE">
              <w:rPr>
                <w:b/>
                <w:bCs/>
                <w:sz w:val="16"/>
                <w:szCs w:val="16"/>
              </w:rPr>
              <w:t>11,16</w:t>
            </w:r>
          </w:p>
        </w:tc>
      </w:tr>
      <w:tr w:rsidR="000E1E46" w:rsidRPr="00AC16DE" w14:paraId="490A90B5" w14:textId="77777777" w:rsidTr="004312BF">
        <w:trPr>
          <w:trHeight w:val="255"/>
        </w:trPr>
        <w:tc>
          <w:tcPr>
            <w:tcW w:w="2786" w:type="dxa"/>
            <w:tcBorders>
              <w:top w:val="single" w:sz="4" w:space="0" w:color="auto"/>
              <w:left w:val="nil"/>
              <w:bottom w:val="single" w:sz="4" w:space="0" w:color="auto"/>
              <w:right w:val="nil"/>
            </w:tcBorders>
            <w:noWrap/>
            <w:vAlign w:val="center"/>
            <w:hideMark/>
          </w:tcPr>
          <w:p w14:paraId="6ABA889E" w14:textId="77777777" w:rsidR="000E1E46" w:rsidRPr="00AC16DE" w:rsidRDefault="000E1E46" w:rsidP="004312BF">
            <w:pPr>
              <w:rPr>
                <w:b/>
                <w:bCs/>
                <w:sz w:val="16"/>
                <w:szCs w:val="16"/>
              </w:rPr>
            </w:pPr>
            <w:r w:rsidRPr="00AC16DE">
              <w:rPr>
                <w:b/>
                <w:bCs/>
                <w:sz w:val="16"/>
                <w:szCs w:val="16"/>
              </w:rPr>
              <w:t>Inflação (IPCA)</w:t>
            </w:r>
          </w:p>
        </w:tc>
        <w:tc>
          <w:tcPr>
            <w:tcW w:w="1042" w:type="dxa"/>
            <w:tcBorders>
              <w:top w:val="single" w:sz="4" w:space="0" w:color="auto"/>
              <w:left w:val="nil"/>
              <w:bottom w:val="single" w:sz="4" w:space="0" w:color="auto"/>
              <w:right w:val="nil"/>
            </w:tcBorders>
            <w:vAlign w:val="center"/>
            <w:hideMark/>
          </w:tcPr>
          <w:p w14:paraId="1117F310" w14:textId="77777777" w:rsidR="000E1E46" w:rsidRPr="00AC16DE" w:rsidRDefault="000E1E46" w:rsidP="004312BF">
            <w:pPr>
              <w:jc w:val="right"/>
              <w:rPr>
                <w:b/>
                <w:bCs/>
                <w:sz w:val="16"/>
                <w:szCs w:val="16"/>
              </w:rPr>
            </w:pPr>
            <w:r w:rsidRPr="00AC16DE">
              <w:rPr>
                <w:b/>
                <w:bCs/>
                <w:sz w:val="16"/>
                <w:szCs w:val="16"/>
              </w:rPr>
              <w:t>10,67</w:t>
            </w:r>
          </w:p>
        </w:tc>
        <w:tc>
          <w:tcPr>
            <w:tcW w:w="1134" w:type="dxa"/>
            <w:tcBorders>
              <w:top w:val="single" w:sz="4" w:space="0" w:color="auto"/>
              <w:left w:val="nil"/>
              <w:bottom w:val="single" w:sz="4" w:space="0" w:color="auto"/>
              <w:right w:val="nil"/>
            </w:tcBorders>
            <w:noWrap/>
            <w:vAlign w:val="center"/>
            <w:hideMark/>
          </w:tcPr>
          <w:p w14:paraId="5ED4623C" w14:textId="77777777" w:rsidR="000E1E46" w:rsidRPr="00AC16DE" w:rsidRDefault="000E1E46" w:rsidP="004312BF">
            <w:pPr>
              <w:jc w:val="right"/>
              <w:rPr>
                <w:b/>
                <w:bCs/>
                <w:sz w:val="16"/>
                <w:szCs w:val="16"/>
              </w:rPr>
            </w:pPr>
            <w:r w:rsidRPr="00AC16DE">
              <w:rPr>
                <w:b/>
                <w:bCs/>
                <w:sz w:val="16"/>
                <w:szCs w:val="16"/>
              </w:rPr>
              <w:t>6,29</w:t>
            </w:r>
          </w:p>
        </w:tc>
        <w:tc>
          <w:tcPr>
            <w:tcW w:w="1275" w:type="dxa"/>
            <w:tcBorders>
              <w:top w:val="single" w:sz="4" w:space="0" w:color="auto"/>
              <w:left w:val="nil"/>
              <w:bottom w:val="single" w:sz="4" w:space="0" w:color="auto"/>
              <w:right w:val="nil"/>
            </w:tcBorders>
            <w:noWrap/>
            <w:vAlign w:val="center"/>
            <w:hideMark/>
          </w:tcPr>
          <w:p w14:paraId="14C98532" w14:textId="77777777" w:rsidR="000E1E46" w:rsidRPr="00AC16DE" w:rsidRDefault="000E1E46" w:rsidP="004312BF">
            <w:pPr>
              <w:jc w:val="right"/>
              <w:rPr>
                <w:b/>
                <w:bCs/>
                <w:sz w:val="16"/>
                <w:szCs w:val="16"/>
              </w:rPr>
            </w:pPr>
            <w:r w:rsidRPr="00AC16DE">
              <w:rPr>
                <w:b/>
                <w:bCs/>
                <w:sz w:val="16"/>
                <w:szCs w:val="16"/>
              </w:rPr>
              <w:t>2,95</w:t>
            </w:r>
          </w:p>
        </w:tc>
        <w:tc>
          <w:tcPr>
            <w:tcW w:w="1701" w:type="dxa"/>
            <w:tcBorders>
              <w:top w:val="single" w:sz="4" w:space="0" w:color="auto"/>
              <w:left w:val="nil"/>
              <w:bottom w:val="single" w:sz="4" w:space="0" w:color="auto"/>
              <w:right w:val="nil"/>
            </w:tcBorders>
            <w:vAlign w:val="center"/>
            <w:hideMark/>
          </w:tcPr>
          <w:p w14:paraId="12078A23" w14:textId="77777777" w:rsidR="000E1E46" w:rsidRPr="00AC16DE" w:rsidRDefault="000E1E46" w:rsidP="004312BF">
            <w:pPr>
              <w:ind w:right="657"/>
              <w:jc w:val="right"/>
              <w:rPr>
                <w:b/>
                <w:bCs/>
                <w:sz w:val="16"/>
                <w:szCs w:val="16"/>
              </w:rPr>
            </w:pPr>
            <w:r w:rsidRPr="00AC16DE">
              <w:rPr>
                <w:b/>
                <w:bCs/>
                <w:sz w:val="16"/>
                <w:szCs w:val="16"/>
              </w:rPr>
              <w:t>6,64</w:t>
            </w:r>
          </w:p>
        </w:tc>
        <w:tc>
          <w:tcPr>
            <w:tcW w:w="1701" w:type="dxa"/>
            <w:tcBorders>
              <w:top w:val="single" w:sz="4" w:space="0" w:color="auto"/>
              <w:left w:val="nil"/>
              <w:bottom w:val="single" w:sz="4" w:space="0" w:color="auto"/>
              <w:right w:val="nil"/>
            </w:tcBorders>
            <w:noWrap/>
            <w:vAlign w:val="center"/>
            <w:hideMark/>
          </w:tcPr>
          <w:p w14:paraId="464B1251" w14:textId="77777777" w:rsidR="000E1E46" w:rsidRPr="00AC16DE" w:rsidRDefault="000E1E46" w:rsidP="004312BF">
            <w:pPr>
              <w:ind w:right="636"/>
              <w:jc w:val="right"/>
              <w:rPr>
                <w:b/>
                <w:bCs/>
                <w:sz w:val="16"/>
                <w:szCs w:val="16"/>
              </w:rPr>
            </w:pPr>
            <w:r w:rsidRPr="00AC16DE">
              <w:rPr>
                <w:b/>
                <w:bCs/>
                <w:sz w:val="16"/>
                <w:szCs w:val="16"/>
              </w:rPr>
              <w:t>6,06</w:t>
            </w:r>
          </w:p>
        </w:tc>
      </w:tr>
      <w:tr w:rsidR="000E1E46" w:rsidRPr="00AC16DE" w14:paraId="15DAFEB4" w14:textId="77777777" w:rsidTr="004312BF">
        <w:trPr>
          <w:trHeight w:val="255"/>
        </w:trPr>
        <w:tc>
          <w:tcPr>
            <w:tcW w:w="2786" w:type="dxa"/>
            <w:tcBorders>
              <w:top w:val="single" w:sz="4" w:space="0" w:color="auto"/>
              <w:left w:val="nil"/>
              <w:bottom w:val="single" w:sz="6" w:space="0" w:color="C00000"/>
              <w:right w:val="nil"/>
            </w:tcBorders>
            <w:noWrap/>
            <w:vAlign w:val="center"/>
            <w:hideMark/>
          </w:tcPr>
          <w:p w14:paraId="355E3D15" w14:textId="77777777" w:rsidR="000E1E46" w:rsidRPr="00AC16DE" w:rsidRDefault="000E1E46" w:rsidP="004312BF">
            <w:pPr>
              <w:rPr>
                <w:b/>
                <w:bCs/>
                <w:sz w:val="16"/>
                <w:szCs w:val="16"/>
              </w:rPr>
            </w:pPr>
            <w:r w:rsidRPr="00AC16DE">
              <w:rPr>
                <w:b/>
                <w:bCs/>
                <w:sz w:val="16"/>
                <w:szCs w:val="16"/>
              </w:rPr>
              <w:t>PIB-MG</w:t>
            </w:r>
          </w:p>
        </w:tc>
        <w:tc>
          <w:tcPr>
            <w:tcW w:w="1042" w:type="dxa"/>
            <w:tcBorders>
              <w:top w:val="single" w:sz="4" w:space="0" w:color="auto"/>
              <w:left w:val="nil"/>
              <w:bottom w:val="single" w:sz="6" w:space="0" w:color="C00000"/>
              <w:right w:val="nil"/>
            </w:tcBorders>
            <w:vAlign w:val="center"/>
            <w:hideMark/>
          </w:tcPr>
          <w:p w14:paraId="7B5A137C" w14:textId="77777777" w:rsidR="000E1E46" w:rsidRPr="00AC16DE" w:rsidRDefault="000E1E46" w:rsidP="004312BF">
            <w:pPr>
              <w:jc w:val="right"/>
              <w:rPr>
                <w:b/>
                <w:bCs/>
                <w:sz w:val="16"/>
                <w:szCs w:val="16"/>
              </w:rPr>
            </w:pPr>
            <w:r w:rsidRPr="00AC16DE">
              <w:rPr>
                <w:b/>
                <w:bCs/>
                <w:sz w:val="16"/>
                <w:szCs w:val="16"/>
              </w:rPr>
              <w:t>(4,26)</w:t>
            </w:r>
          </w:p>
        </w:tc>
        <w:tc>
          <w:tcPr>
            <w:tcW w:w="1134" w:type="dxa"/>
            <w:tcBorders>
              <w:top w:val="single" w:sz="4" w:space="0" w:color="auto"/>
              <w:left w:val="nil"/>
              <w:bottom w:val="single" w:sz="6" w:space="0" w:color="C00000"/>
              <w:right w:val="nil"/>
            </w:tcBorders>
            <w:noWrap/>
            <w:vAlign w:val="center"/>
            <w:hideMark/>
          </w:tcPr>
          <w:p w14:paraId="49AA797A" w14:textId="77777777" w:rsidR="000E1E46" w:rsidRPr="00AC16DE" w:rsidRDefault="000E1E46" w:rsidP="004312BF">
            <w:pPr>
              <w:jc w:val="right"/>
              <w:rPr>
                <w:b/>
                <w:bCs/>
                <w:sz w:val="16"/>
                <w:szCs w:val="16"/>
              </w:rPr>
            </w:pPr>
            <w:r w:rsidRPr="00AC16DE">
              <w:rPr>
                <w:b/>
                <w:bCs/>
                <w:sz w:val="16"/>
                <w:szCs w:val="16"/>
              </w:rPr>
              <w:t>(1,80)</w:t>
            </w:r>
          </w:p>
        </w:tc>
        <w:tc>
          <w:tcPr>
            <w:tcW w:w="1275" w:type="dxa"/>
            <w:tcBorders>
              <w:top w:val="single" w:sz="4" w:space="0" w:color="auto"/>
              <w:left w:val="nil"/>
              <w:bottom w:val="single" w:sz="6" w:space="0" w:color="C00000"/>
              <w:right w:val="nil"/>
            </w:tcBorders>
            <w:noWrap/>
            <w:vAlign w:val="center"/>
            <w:hideMark/>
          </w:tcPr>
          <w:p w14:paraId="2C0319DC" w14:textId="77777777" w:rsidR="000E1E46" w:rsidRPr="00AC16DE" w:rsidRDefault="000E1E46" w:rsidP="004312BF">
            <w:pPr>
              <w:jc w:val="right"/>
              <w:rPr>
                <w:b/>
                <w:bCs/>
                <w:sz w:val="16"/>
                <w:szCs w:val="16"/>
              </w:rPr>
            </w:pPr>
            <w:r w:rsidRPr="00AC16DE">
              <w:rPr>
                <w:b/>
                <w:bCs/>
                <w:sz w:val="16"/>
                <w:szCs w:val="16"/>
              </w:rPr>
              <w:t>0,60</w:t>
            </w:r>
          </w:p>
        </w:tc>
        <w:tc>
          <w:tcPr>
            <w:tcW w:w="1701" w:type="dxa"/>
            <w:tcBorders>
              <w:top w:val="single" w:sz="4" w:space="0" w:color="auto"/>
              <w:left w:val="nil"/>
              <w:bottom w:val="single" w:sz="6" w:space="0" w:color="C00000"/>
              <w:right w:val="nil"/>
            </w:tcBorders>
            <w:vAlign w:val="center"/>
            <w:hideMark/>
          </w:tcPr>
          <w:p w14:paraId="0E03CCEA" w14:textId="77777777" w:rsidR="000E1E46" w:rsidRPr="00AC16DE" w:rsidRDefault="000E1E46" w:rsidP="004312BF">
            <w:pPr>
              <w:ind w:right="657"/>
              <w:jc w:val="right"/>
              <w:rPr>
                <w:b/>
                <w:bCs/>
                <w:sz w:val="16"/>
                <w:szCs w:val="16"/>
              </w:rPr>
            </w:pPr>
            <w:r w:rsidRPr="00AC16DE">
              <w:rPr>
                <w:b/>
                <w:bCs/>
                <w:sz w:val="16"/>
                <w:szCs w:val="16"/>
              </w:rPr>
              <w:t>(1,82)</w:t>
            </w:r>
          </w:p>
        </w:tc>
        <w:tc>
          <w:tcPr>
            <w:tcW w:w="1701" w:type="dxa"/>
            <w:tcBorders>
              <w:top w:val="single" w:sz="4" w:space="0" w:color="auto"/>
              <w:left w:val="nil"/>
              <w:bottom w:val="single" w:sz="6" w:space="0" w:color="C00000"/>
              <w:right w:val="nil"/>
            </w:tcBorders>
            <w:noWrap/>
            <w:vAlign w:val="center"/>
            <w:hideMark/>
          </w:tcPr>
          <w:p w14:paraId="42D8E521" w14:textId="77777777" w:rsidR="000E1E46" w:rsidRPr="00AC16DE" w:rsidRDefault="000E1E46" w:rsidP="004312BF">
            <w:pPr>
              <w:ind w:right="636"/>
              <w:jc w:val="right"/>
              <w:rPr>
                <w:b/>
                <w:bCs/>
                <w:sz w:val="16"/>
                <w:szCs w:val="16"/>
              </w:rPr>
            </w:pPr>
            <w:r w:rsidRPr="00AC16DE">
              <w:rPr>
                <w:b/>
                <w:bCs/>
                <w:sz w:val="16"/>
                <w:szCs w:val="16"/>
              </w:rPr>
              <w:t>2,1</w:t>
            </w:r>
          </w:p>
        </w:tc>
      </w:tr>
    </w:tbl>
    <w:p w14:paraId="0D69FF75" w14:textId="61B6CEF9" w:rsidR="000E1E46" w:rsidRPr="00AC16DE" w:rsidRDefault="000E1E46" w:rsidP="004312BF">
      <w:pPr>
        <w:pStyle w:val="FJP-Fonte"/>
        <w:rPr>
          <w:rFonts w:ascii="Times New Roman" w:eastAsiaTheme="minorHAnsi" w:hAnsi="Times New Roman"/>
          <w:lang w:eastAsia="en-US"/>
        </w:rPr>
      </w:pPr>
      <w:r w:rsidRPr="00AC16DE">
        <w:rPr>
          <w:rFonts w:ascii="Times New Roman" w:hAnsi="Times New Roman"/>
        </w:rPr>
        <w:t xml:space="preserve">Fonte: Elaboração própria a partir de dados </w:t>
      </w:r>
      <w:r>
        <w:rPr>
          <w:rFonts w:ascii="Times New Roman" w:hAnsi="Times New Roman"/>
        </w:rPr>
        <w:t>do Siafi-MG</w:t>
      </w:r>
    </w:p>
    <w:p w14:paraId="3679EA98"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Admite-se, também, que o desempenho da arrecadação não se deve somente ao aumento da tributação. Medidas de gestão, tal qual o programa estadual de eficiência fiscal (decreto 47.116/2016), devem ter contribuído para a performance observada. Em relação às medidas de longo prazo, estão sendo adotadas políticas de incentivos tributário, cujo principal objetivo é estimular o crescimento econômico e, consequentemente, aumentar a arrecadação.</w:t>
      </w:r>
    </w:p>
    <w:p w14:paraId="412AB614" w14:textId="73AADCAA" w:rsidR="000E1E46" w:rsidRPr="00AC16DE" w:rsidRDefault="000E1E46" w:rsidP="00870F79">
      <w:pPr>
        <w:pStyle w:val="FJP-CorpoTexto"/>
        <w:spacing w:line="480" w:lineRule="auto"/>
        <w:rPr>
          <w:rFonts w:ascii="Times New Roman" w:hAnsi="Times New Roman"/>
          <w:sz w:val="24"/>
          <w:szCs w:val="24"/>
        </w:rPr>
      </w:pPr>
      <w:r>
        <w:rPr>
          <w:rFonts w:ascii="Times New Roman" w:hAnsi="Times New Roman"/>
          <w:sz w:val="24"/>
          <w:szCs w:val="24"/>
        </w:rPr>
        <w:t>T</w:t>
      </w:r>
      <w:r w:rsidRPr="00AC16DE">
        <w:rPr>
          <w:rFonts w:ascii="Times New Roman" w:hAnsi="Times New Roman"/>
          <w:sz w:val="24"/>
          <w:szCs w:val="24"/>
        </w:rPr>
        <w:t xml:space="preserve">anto em 2016 quanto em 2017, o crescimento das receitas tributárias se deu em termos reais (acima da inflação observada). Contudo, em 2015, o crescimento foi menor do que inflação, em aproximadamente sete pontos percentuais. Por isso, a média trienal é bastante próxima ao crescimento médio dos preços. </w:t>
      </w:r>
    </w:p>
    <w:p w14:paraId="4773A240" w14:textId="78A5104E" w:rsidR="000E1E46" w:rsidRDefault="000E1E46" w:rsidP="00870F79">
      <w:pPr>
        <w:pStyle w:val="FJP-CorpoTexto"/>
        <w:spacing w:line="480" w:lineRule="auto"/>
        <w:rPr>
          <w:rFonts w:ascii="Times New Roman" w:hAnsi="Times New Roman"/>
          <w:sz w:val="24"/>
          <w:szCs w:val="24"/>
        </w:rPr>
      </w:pPr>
      <w:r>
        <w:rPr>
          <w:rFonts w:ascii="Times New Roman" w:hAnsi="Times New Roman"/>
          <w:sz w:val="24"/>
          <w:szCs w:val="24"/>
        </w:rPr>
        <w:t>Destaca-se, também</w:t>
      </w:r>
      <w:r w:rsidRPr="00AC16DE">
        <w:rPr>
          <w:rFonts w:ascii="Times New Roman" w:hAnsi="Times New Roman"/>
          <w:sz w:val="24"/>
          <w:szCs w:val="24"/>
        </w:rPr>
        <w:t>,</w:t>
      </w:r>
      <w:r>
        <w:rPr>
          <w:rFonts w:ascii="Times New Roman" w:hAnsi="Times New Roman"/>
          <w:sz w:val="24"/>
          <w:szCs w:val="24"/>
        </w:rPr>
        <w:t xml:space="preserve"> que</w:t>
      </w:r>
      <w:r w:rsidRPr="00AC16DE">
        <w:rPr>
          <w:rFonts w:ascii="Times New Roman" w:hAnsi="Times New Roman"/>
          <w:sz w:val="24"/>
          <w:szCs w:val="24"/>
        </w:rPr>
        <w:t xml:space="preserve"> o desempenho das transferências correntes foi pior do que o das receitas tributárias. A base de impostos que compõe essa subcategoria de receita é mais diversa, ao passo que a receita tributária depende basicamente do ICMS, que é mais corr</w:t>
      </w:r>
      <w:r>
        <w:rPr>
          <w:rFonts w:ascii="Times New Roman" w:hAnsi="Times New Roman"/>
          <w:sz w:val="24"/>
          <w:szCs w:val="24"/>
        </w:rPr>
        <w:t>elacionado à atividade econômica</w:t>
      </w:r>
      <w:r w:rsidRPr="00AC16DE">
        <w:rPr>
          <w:rFonts w:ascii="Times New Roman" w:hAnsi="Times New Roman"/>
          <w:sz w:val="24"/>
          <w:szCs w:val="24"/>
        </w:rPr>
        <w:t xml:space="preserve">. </w:t>
      </w:r>
    </w:p>
    <w:p w14:paraId="04C91D19" w14:textId="77777777" w:rsidR="000E1E46" w:rsidRDefault="000E1E46" w:rsidP="00870F79">
      <w:pPr>
        <w:pStyle w:val="FJP-CorpoTexto"/>
        <w:spacing w:line="480" w:lineRule="auto"/>
        <w:rPr>
          <w:rFonts w:ascii="Times New Roman" w:hAnsi="Times New Roman"/>
          <w:sz w:val="24"/>
          <w:szCs w:val="24"/>
        </w:rPr>
        <w:sectPr w:rsidR="000E1E46" w:rsidSect="000E1E46">
          <w:pgSz w:w="11906" w:h="16838"/>
          <w:pgMar w:top="1440" w:right="1080" w:bottom="1440" w:left="1080" w:header="708" w:footer="708" w:gutter="0"/>
          <w:cols w:space="708"/>
          <w:docGrid w:linePitch="360"/>
        </w:sectPr>
      </w:pPr>
      <w:r>
        <w:rPr>
          <w:rFonts w:ascii="Times New Roman" w:hAnsi="Times New Roman"/>
          <w:sz w:val="24"/>
          <w:szCs w:val="24"/>
        </w:rPr>
        <w:t>Em linhas gerais, neste estudo</w:t>
      </w:r>
      <w:r w:rsidRPr="00AC16DE">
        <w:rPr>
          <w:rFonts w:ascii="Times New Roman" w:hAnsi="Times New Roman"/>
          <w:sz w:val="24"/>
          <w:szCs w:val="24"/>
        </w:rPr>
        <w:t xml:space="preserve">, importa realçar que os esforços de arrecadação não são explicados pela mudança </w:t>
      </w:r>
      <w:r>
        <w:rPr>
          <w:rFonts w:ascii="Times New Roman" w:hAnsi="Times New Roman"/>
          <w:sz w:val="24"/>
          <w:szCs w:val="24"/>
        </w:rPr>
        <w:t xml:space="preserve">de </w:t>
      </w:r>
      <w:r w:rsidRPr="00AC16DE">
        <w:rPr>
          <w:rFonts w:ascii="Times New Roman" w:hAnsi="Times New Roman"/>
          <w:sz w:val="24"/>
          <w:szCs w:val="24"/>
        </w:rPr>
        <w:t>orientação política</w:t>
      </w:r>
      <w:r>
        <w:rPr>
          <w:rFonts w:ascii="Times New Roman" w:hAnsi="Times New Roman"/>
          <w:sz w:val="24"/>
          <w:szCs w:val="24"/>
        </w:rPr>
        <w:t>. Embora o desempenho da arrecadação tenha sido particularmente favorável no último triênio, desde 2012 a performance da receita tributária tem sido melhor do que a do PIB nominal. Portanto, infere-se que quando os governantes encontram dificuldades para fechar as contas, eles adotam medidas para aumentar a arrecadação.</w:t>
      </w:r>
    </w:p>
    <w:p w14:paraId="0ACCBCD0" w14:textId="77777777" w:rsidR="000E1E46" w:rsidRPr="00AC16DE" w:rsidRDefault="000E1E46" w:rsidP="00870F79">
      <w:pPr>
        <w:pStyle w:val="FJP-Ttulo2"/>
        <w:spacing w:line="480" w:lineRule="auto"/>
        <w:rPr>
          <w:rFonts w:ascii="Times New Roman" w:hAnsi="Times New Roman"/>
          <w:sz w:val="24"/>
        </w:rPr>
      </w:pPr>
      <w:r w:rsidRPr="00AC16DE">
        <w:rPr>
          <w:rFonts w:ascii="Times New Roman" w:hAnsi="Times New Roman"/>
          <w:sz w:val="24"/>
        </w:rPr>
        <w:lastRenderedPageBreak/>
        <w:t>5. Dinâmica das Despesas Orçamentárias</w:t>
      </w:r>
    </w:p>
    <w:p w14:paraId="6B7439DF"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A estrutura das despesas orçamentárias, assim como a das receitas, é bastante constante ao longo dos anos</w:t>
      </w:r>
      <w:r w:rsidRPr="00AC16DE">
        <w:rPr>
          <w:rStyle w:val="Refdenotaderodap"/>
          <w:rFonts w:ascii="Times New Roman" w:hAnsi="Times New Roman"/>
          <w:sz w:val="24"/>
          <w:szCs w:val="24"/>
        </w:rPr>
        <w:footnoteReference w:id="12"/>
      </w:r>
      <w:r w:rsidRPr="00AC16DE">
        <w:rPr>
          <w:rFonts w:ascii="Times New Roman" w:hAnsi="Times New Roman"/>
          <w:sz w:val="24"/>
          <w:szCs w:val="24"/>
        </w:rPr>
        <w:t>. Primeiro, é importante esclarecer que as despesas são classificadas de acordo com a categoria econômica: correntes e de investimento. Adicionalmente, elas são agrupadas de acordo com o grupo de natureza, que corresponde a agregação de elementos de despesa que apresentam as mesmas características quanto ao objeto do gasto (e.g., todos os gastos com vencimentos, gratificações, abonos, etc. estão no elemento vencimentos e vantagens fixas – pessoal civil). Existe, ainda, o item de despesa, que é um detalhamento dos elementos de despesa (e.g., vencimentos, adicional de desempenho, etc.).</w:t>
      </w:r>
    </w:p>
    <w:p w14:paraId="64DD16B2"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As despesas correntes correspondem à, aproximadamente, 90% do total, sendo que a maior parte se refere aos gastos com pessoal e encargos sociais e a outras despesas correntes (gráf. 4). Ainda que as despesas de investimento representem fração pequena da despesa total, ela constitui a principal variável de ajuste fiscal (Pires, 2017). Assim, é importante analisar seu comportamento</w:t>
      </w:r>
      <w:r w:rsidRPr="00AC16DE">
        <w:rPr>
          <w:rStyle w:val="Refdenotaderodap"/>
          <w:rFonts w:ascii="Times New Roman" w:hAnsi="Times New Roman"/>
          <w:sz w:val="24"/>
          <w:szCs w:val="24"/>
        </w:rPr>
        <w:footnoteReference w:id="13"/>
      </w:r>
      <w:r w:rsidRPr="00AC16DE">
        <w:rPr>
          <w:rFonts w:ascii="Times New Roman" w:hAnsi="Times New Roman"/>
          <w:sz w:val="24"/>
          <w:szCs w:val="24"/>
        </w:rPr>
        <w:t>.</w:t>
      </w:r>
    </w:p>
    <w:p w14:paraId="2F55EAF2" w14:textId="77777777" w:rsidR="000E1E46" w:rsidRPr="00AC16DE" w:rsidRDefault="000E1E46" w:rsidP="00870F79">
      <w:pPr>
        <w:pStyle w:val="FJP-Grf-T"/>
        <w:autoSpaceDE/>
        <w:autoSpaceDN/>
        <w:adjustRightInd/>
        <w:spacing w:line="480" w:lineRule="auto"/>
        <w:rPr>
          <w:rFonts w:ascii="Times New Roman" w:hAnsi="Times New Roman"/>
          <w:sz w:val="24"/>
          <w:szCs w:val="24"/>
        </w:rPr>
      </w:pPr>
      <w:r w:rsidRPr="00AC16DE">
        <w:rPr>
          <w:rFonts w:ascii="Times New Roman" w:hAnsi="Times New Roman"/>
          <w:sz w:val="24"/>
          <w:szCs w:val="24"/>
        </w:rPr>
        <w:t>Gráfico 4: Estrutura das despesas – Minas Gerais – 2002-2017 – (%)</w:t>
      </w:r>
    </w:p>
    <w:p w14:paraId="0E230AED" w14:textId="77777777" w:rsidR="000E1E46" w:rsidRDefault="000E1E46" w:rsidP="00870F79">
      <w:pPr>
        <w:pStyle w:val="FJP-CorpoTexto"/>
        <w:spacing w:line="480" w:lineRule="auto"/>
        <w:jc w:val="right"/>
      </w:pPr>
      <w:r>
        <w:rPr>
          <w:noProof/>
        </w:rPr>
        <w:drawing>
          <wp:inline distT="0" distB="0" distL="0" distR="0" wp14:anchorId="1AB45903" wp14:editId="13C789CE">
            <wp:extent cx="2610762" cy="1452976"/>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0750" cy="1497492"/>
                    </a:xfrm>
                    <a:prstGeom prst="rect">
                      <a:avLst/>
                    </a:prstGeom>
                    <a:noFill/>
                  </pic:spPr>
                </pic:pic>
              </a:graphicData>
            </a:graphic>
          </wp:inline>
        </w:drawing>
      </w:r>
      <w:r>
        <w:t xml:space="preserve">  </w:t>
      </w:r>
      <w:r>
        <w:rPr>
          <w:noProof/>
        </w:rPr>
        <w:drawing>
          <wp:inline distT="0" distB="0" distL="0" distR="0" wp14:anchorId="68FE62C6" wp14:editId="022035F4">
            <wp:extent cx="2723002" cy="1515441"/>
            <wp:effectExtent l="0" t="0" r="0" b="889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8956" cy="1529885"/>
                    </a:xfrm>
                    <a:prstGeom prst="rect">
                      <a:avLst/>
                    </a:prstGeom>
                    <a:noFill/>
                  </pic:spPr>
                </pic:pic>
              </a:graphicData>
            </a:graphic>
          </wp:inline>
        </w:drawing>
      </w:r>
    </w:p>
    <w:p w14:paraId="7166E4BC" w14:textId="77777777" w:rsidR="000E1E46" w:rsidRPr="00B15218" w:rsidRDefault="000E1E46" w:rsidP="00870F79">
      <w:pPr>
        <w:pStyle w:val="FJP-CorpoTexto"/>
        <w:tabs>
          <w:tab w:val="left" w:pos="4395"/>
        </w:tabs>
        <w:spacing w:line="480" w:lineRule="auto"/>
        <w:rPr>
          <w:sz w:val="16"/>
          <w:szCs w:val="16"/>
        </w:rPr>
      </w:pPr>
      <w:r>
        <w:rPr>
          <w:sz w:val="16"/>
          <w:szCs w:val="16"/>
        </w:rPr>
        <w:t>(a) 2002</w:t>
      </w:r>
      <w:r>
        <w:rPr>
          <w:sz w:val="16"/>
          <w:szCs w:val="16"/>
        </w:rPr>
        <w:tab/>
      </w:r>
      <w:r>
        <w:rPr>
          <w:sz w:val="16"/>
          <w:szCs w:val="16"/>
        </w:rPr>
        <w:tab/>
      </w:r>
      <w:r w:rsidRPr="00B15218">
        <w:rPr>
          <w:sz w:val="16"/>
          <w:szCs w:val="16"/>
        </w:rPr>
        <w:t>(b) 2017</w:t>
      </w:r>
    </w:p>
    <w:p w14:paraId="1361FACF" w14:textId="3BA3AA5F" w:rsidR="000E1E46" w:rsidRPr="00AC16DE" w:rsidRDefault="000E1E46" w:rsidP="00870F79">
      <w:pPr>
        <w:pStyle w:val="FJP-Fonte"/>
        <w:autoSpaceDE/>
        <w:autoSpaceDN/>
        <w:adjustRightInd/>
        <w:spacing w:line="480" w:lineRule="auto"/>
        <w:rPr>
          <w:rFonts w:ascii="Times New Roman" w:hAnsi="Times New Roman"/>
        </w:rPr>
      </w:pPr>
      <w:r w:rsidRPr="00AC16DE">
        <w:rPr>
          <w:rFonts w:ascii="Times New Roman" w:hAnsi="Times New Roman"/>
        </w:rPr>
        <w:t>Fonte: Elaboração própria a partir de dados do</w:t>
      </w:r>
      <w:r>
        <w:rPr>
          <w:rFonts w:ascii="Times New Roman" w:hAnsi="Times New Roman"/>
        </w:rPr>
        <w:t xml:space="preserve"> Siafi-MG</w:t>
      </w:r>
      <w:r w:rsidRPr="00AC16DE">
        <w:rPr>
          <w:rFonts w:ascii="Times New Roman" w:hAnsi="Times New Roman"/>
        </w:rPr>
        <w:t>.</w:t>
      </w:r>
    </w:p>
    <w:p w14:paraId="30DF8A14" w14:textId="77777777" w:rsidR="000E1E46" w:rsidRPr="00273EC0" w:rsidRDefault="000E1E46" w:rsidP="00870F79">
      <w:pPr>
        <w:pStyle w:val="FJP-CorpoTexto"/>
        <w:spacing w:line="480" w:lineRule="auto"/>
        <w:rPr>
          <w:rFonts w:ascii="Times New Roman" w:hAnsi="Times New Roman"/>
          <w:sz w:val="24"/>
          <w:szCs w:val="24"/>
        </w:rPr>
      </w:pPr>
      <w:r w:rsidRPr="00273EC0">
        <w:rPr>
          <w:rFonts w:ascii="Times New Roman" w:hAnsi="Times New Roman"/>
          <w:sz w:val="24"/>
          <w:szCs w:val="24"/>
        </w:rPr>
        <w:t>De fato, nota-se que, à exceção das despesas de capital, inclusive investimentos, as demais despesas mantiveram-se mais próximas à média histórica, de acordo com a tabela 6. Ou seja, cresceram, em média, acima da inflação. Em particular, observa-se que os gastos com pessoal e encargos sociais foram crescentes ao longo dos anos, sendo que apenas no último triênio houve redução na velocidade do crescimento. Ou seja, embora a orientação do governo atual seja mais de esquerda, sua política de pessoal tem priorizado a contenção dos gastos nessa área, inclusive por limitações legais da LRF.</w:t>
      </w:r>
    </w:p>
    <w:p w14:paraId="2499D895" w14:textId="77777777" w:rsidR="000E1E46" w:rsidRPr="00AC16DE" w:rsidRDefault="000E1E46" w:rsidP="004312BF">
      <w:pPr>
        <w:pStyle w:val="FJP-Tab-T"/>
        <w:rPr>
          <w:rFonts w:ascii="Times New Roman" w:hAnsi="Times New Roman"/>
          <w:sz w:val="24"/>
          <w:szCs w:val="24"/>
        </w:rPr>
      </w:pPr>
      <w:r w:rsidRPr="00AC16DE">
        <w:rPr>
          <w:rFonts w:ascii="Times New Roman" w:hAnsi="Times New Roman"/>
          <w:sz w:val="24"/>
          <w:szCs w:val="24"/>
        </w:rPr>
        <w:t>Tabela 6: Crescimento da Despesa Orçamentária por principais grupos de natureza, média aritmética por quadriênio – 2003-2017 – (%)</w:t>
      </w:r>
    </w:p>
    <w:tbl>
      <w:tblPr>
        <w:tblW w:w="9639" w:type="dxa"/>
        <w:tblCellMar>
          <w:left w:w="70" w:type="dxa"/>
          <w:right w:w="70" w:type="dxa"/>
        </w:tblCellMar>
        <w:tblLook w:val="04A0" w:firstRow="1" w:lastRow="0" w:firstColumn="1" w:lastColumn="0" w:noHBand="0" w:noVBand="1"/>
      </w:tblPr>
      <w:tblGrid>
        <w:gridCol w:w="2528"/>
        <w:gridCol w:w="1107"/>
        <w:gridCol w:w="128"/>
        <w:gridCol w:w="1136"/>
        <w:gridCol w:w="1264"/>
        <w:gridCol w:w="1264"/>
        <w:gridCol w:w="2212"/>
      </w:tblGrid>
      <w:tr w:rsidR="000E1E46" w:rsidRPr="00AC16DE" w14:paraId="115D077B" w14:textId="77777777" w:rsidTr="0023050E">
        <w:trPr>
          <w:trHeight w:val="510"/>
        </w:trPr>
        <w:tc>
          <w:tcPr>
            <w:tcW w:w="2528" w:type="dxa"/>
            <w:tcBorders>
              <w:top w:val="single" w:sz="4" w:space="0" w:color="auto"/>
              <w:left w:val="nil"/>
              <w:bottom w:val="single" w:sz="4" w:space="0" w:color="auto"/>
              <w:right w:val="nil"/>
            </w:tcBorders>
            <w:shd w:val="clear" w:color="auto" w:fill="595959" w:themeFill="text1" w:themeFillTint="A6"/>
            <w:vAlign w:val="center"/>
            <w:hideMark/>
          </w:tcPr>
          <w:p w14:paraId="3D16975B"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Especificação</w:t>
            </w:r>
          </w:p>
        </w:tc>
        <w:tc>
          <w:tcPr>
            <w:tcW w:w="1235" w:type="dxa"/>
            <w:gridSpan w:val="2"/>
            <w:tcBorders>
              <w:top w:val="single" w:sz="4" w:space="0" w:color="auto"/>
              <w:left w:val="nil"/>
              <w:bottom w:val="single" w:sz="4" w:space="0" w:color="auto"/>
              <w:right w:val="nil"/>
            </w:tcBorders>
            <w:shd w:val="clear" w:color="auto" w:fill="595959" w:themeFill="text1" w:themeFillTint="A6"/>
            <w:vAlign w:val="center"/>
          </w:tcPr>
          <w:p w14:paraId="26B965FC"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2003-2006</w:t>
            </w:r>
          </w:p>
          <w:p w14:paraId="318A4BEA"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(PSDB)</w:t>
            </w:r>
          </w:p>
        </w:tc>
        <w:tc>
          <w:tcPr>
            <w:tcW w:w="1136" w:type="dxa"/>
            <w:tcBorders>
              <w:top w:val="single" w:sz="4" w:space="0" w:color="auto"/>
              <w:left w:val="nil"/>
              <w:bottom w:val="single" w:sz="4" w:space="0" w:color="auto"/>
              <w:right w:val="nil"/>
            </w:tcBorders>
            <w:shd w:val="clear" w:color="auto" w:fill="595959" w:themeFill="text1" w:themeFillTint="A6"/>
            <w:vAlign w:val="center"/>
          </w:tcPr>
          <w:p w14:paraId="218F21E8"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2007-2010</w:t>
            </w:r>
          </w:p>
          <w:p w14:paraId="0B148937"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(PSDB)</w:t>
            </w:r>
          </w:p>
        </w:tc>
        <w:tc>
          <w:tcPr>
            <w:tcW w:w="1264" w:type="dxa"/>
            <w:tcBorders>
              <w:top w:val="single" w:sz="4" w:space="0" w:color="auto"/>
              <w:left w:val="nil"/>
              <w:bottom w:val="single" w:sz="4" w:space="0" w:color="auto"/>
              <w:right w:val="nil"/>
            </w:tcBorders>
            <w:shd w:val="clear" w:color="auto" w:fill="595959" w:themeFill="text1" w:themeFillTint="A6"/>
            <w:vAlign w:val="center"/>
          </w:tcPr>
          <w:p w14:paraId="2DE0C4D8"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2011-2014</w:t>
            </w:r>
          </w:p>
          <w:p w14:paraId="22EC5F59"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(PSDB)</w:t>
            </w:r>
          </w:p>
        </w:tc>
        <w:tc>
          <w:tcPr>
            <w:tcW w:w="1264" w:type="dxa"/>
            <w:tcBorders>
              <w:top w:val="single" w:sz="4" w:space="0" w:color="auto"/>
              <w:left w:val="nil"/>
              <w:bottom w:val="single" w:sz="4" w:space="0" w:color="auto"/>
              <w:right w:val="nil"/>
            </w:tcBorders>
            <w:shd w:val="clear" w:color="auto" w:fill="595959" w:themeFill="text1" w:themeFillTint="A6"/>
            <w:vAlign w:val="center"/>
          </w:tcPr>
          <w:p w14:paraId="61129ABE"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2015-2017</w:t>
            </w:r>
          </w:p>
          <w:p w14:paraId="21C75AD2"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(PT)</w:t>
            </w:r>
          </w:p>
        </w:tc>
        <w:tc>
          <w:tcPr>
            <w:tcW w:w="2212" w:type="dxa"/>
            <w:tcBorders>
              <w:top w:val="single" w:sz="4" w:space="0" w:color="auto"/>
              <w:left w:val="nil"/>
              <w:bottom w:val="single" w:sz="4" w:space="0" w:color="auto"/>
              <w:right w:val="nil"/>
            </w:tcBorders>
            <w:shd w:val="clear" w:color="auto" w:fill="595959" w:themeFill="text1" w:themeFillTint="A6"/>
            <w:vAlign w:val="center"/>
            <w:hideMark/>
          </w:tcPr>
          <w:p w14:paraId="77F3DE10"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Média do período</w:t>
            </w:r>
          </w:p>
          <w:p w14:paraId="619AF95B" w14:textId="77777777" w:rsidR="000E1E46" w:rsidRPr="00AC16DE" w:rsidRDefault="000E1E46" w:rsidP="0023050E">
            <w:pPr>
              <w:jc w:val="center"/>
              <w:rPr>
                <w:bCs/>
                <w:color w:val="FFFFFF" w:themeColor="background1"/>
                <w:sz w:val="16"/>
                <w:szCs w:val="16"/>
              </w:rPr>
            </w:pPr>
            <w:r w:rsidRPr="00AC16DE">
              <w:rPr>
                <w:bCs/>
                <w:color w:val="FFFFFF" w:themeColor="background1"/>
                <w:sz w:val="16"/>
                <w:szCs w:val="16"/>
              </w:rPr>
              <w:t>(2003-2017)</w:t>
            </w:r>
          </w:p>
        </w:tc>
      </w:tr>
      <w:tr w:rsidR="000E1E46" w:rsidRPr="00AC16DE" w14:paraId="2FD88934" w14:textId="77777777" w:rsidTr="004312BF">
        <w:trPr>
          <w:trHeight w:val="255"/>
        </w:trPr>
        <w:tc>
          <w:tcPr>
            <w:tcW w:w="2528" w:type="dxa"/>
            <w:noWrap/>
            <w:vAlign w:val="center"/>
            <w:hideMark/>
          </w:tcPr>
          <w:p w14:paraId="38F4B0FB" w14:textId="77777777" w:rsidR="000E1E46" w:rsidRPr="00AC16DE" w:rsidRDefault="000E1E46" w:rsidP="0023050E">
            <w:pPr>
              <w:rPr>
                <w:b/>
                <w:bCs/>
                <w:sz w:val="16"/>
                <w:szCs w:val="16"/>
              </w:rPr>
            </w:pPr>
            <w:r w:rsidRPr="00AC16DE">
              <w:rPr>
                <w:b/>
                <w:bCs/>
                <w:sz w:val="16"/>
                <w:szCs w:val="16"/>
              </w:rPr>
              <w:t>Despesas de Capital</w:t>
            </w:r>
          </w:p>
        </w:tc>
        <w:tc>
          <w:tcPr>
            <w:tcW w:w="1107" w:type="dxa"/>
            <w:noWrap/>
            <w:vAlign w:val="center"/>
            <w:hideMark/>
          </w:tcPr>
          <w:p w14:paraId="1E3668F9" w14:textId="77777777" w:rsidR="000E1E46" w:rsidRPr="00AC16DE" w:rsidRDefault="000E1E46" w:rsidP="0023050E">
            <w:pPr>
              <w:jc w:val="center"/>
              <w:rPr>
                <w:b/>
                <w:bCs/>
                <w:sz w:val="16"/>
                <w:szCs w:val="16"/>
              </w:rPr>
            </w:pPr>
            <w:r w:rsidRPr="00AC16DE">
              <w:rPr>
                <w:b/>
                <w:bCs/>
                <w:sz w:val="16"/>
                <w:szCs w:val="16"/>
              </w:rPr>
              <w:t>24,55</w:t>
            </w:r>
          </w:p>
        </w:tc>
        <w:tc>
          <w:tcPr>
            <w:tcW w:w="1264" w:type="dxa"/>
            <w:gridSpan w:val="2"/>
            <w:noWrap/>
            <w:vAlign w:val="center"/>
            <w:hideMark/>
          </w:tcPr>
          <w:p w14:paraId="2865DF7E" w14:textId="77777777" w:rsidR="000E1E46" w:rsidRPr="00AC16DE" w:rsidRDefault="000E1E46" w:rsidP="0023050E">
            <w:pPr>
              <w:jc w:val="center"/>
              <w:rPr>
                <w:b/>
                <w:bCs/>
                <w:sz w:val="16"/>
                <w:szCs w:val="16"/>
              </w:rPr>
            </w:pPr>
            <w:r w:rsidRPr="00AC16DE">
              <w:rPr>
                <w:b/>
                <w:bCs/>
                <w:sz w:val="16"/>
                <w:szCs w:val="16"/>
              </w:rPr>
              <w:t>12,47</w:t>
            </w:r>
          </w:p>
        </w:tc>
        <w:tc>
          <w:tcPr>
            <w:tcW w:w="1264" w:type="dxa"/>
            <w:noWrap/>
            <w:vAlign w:val="center"/>
            <w:hideMark/>
          </w:tcPr>
          <w:p w14:paraId="673B9FBD" w14:textId="77777777" w:rsidR="000E1E46" w:rsidRPr="00AC16DE" w:rsidRDefault="000E1E46" w:rsidP="0023050E">
            <w:pPr>
              <w:jc w:val="center"/>
              <w:rPr>
                <w:b/>
                <w:bCs/>
                <w:sz w:val="16"/>
                <w:szCs w:val="16"/>
              </w:rPr>
            </w:pPr>
            <w:r w:rsidRPr="00AC16DE">
              <w:rPr>
                <w:b/>
                <w:bCs/>
                <w:sz w:val="16"/>
                <w:szCs w:val="16"/>
              </w:rPr>
              <w:t>12,27</w:t>
            </w:r>
          </w:p>
        </w:tc>
        <w:tc>
          <w:tcPr>
            <w:tcW w:w="1264" w:type="dxa"/>
            <w:noWrap/>
            <w:vAlign w:val="center"/>
            <w:hideMark/>
          </w:tcPr>
          <w:p w14:paraId="756C13FC" w14:textId="77777777" w:rsidR="000E1E46" w:rsidRPr="00AC16DE" w:rsidRDefault="000E1E46" w:rsidP="0023050E">
            <w:pPr>
              <w:jc w:val="center"/>
              <w:rPr>
                <w:b/>
                <w:bCs/>
                <w:sz w:val="16"/>
                <w:szCs w:val="16"/>
              </w:rPr>
            </w:pPr>
            <w:r w:rsidRPr="00AC16DE">
              <w:rPr>
                <w:b/>
                <w:bCs/>
                <w:sz w:val="16"/>
                <w:szCs w:val="16"/>
              </w:rPr>
              <w:t>(-11,68)</w:t>
            </w:r>
          </w:p>
        </w:tc>
        <w:tc>
          <w:tcPr>
            <w:tcW w:w="2212" w:type="dxa"/>
            <w:noWrap/>
            <w:vAlign w:val="center"/>
            <w:hideMark/>
          </w:tcPr>
          <w:p w14:paraId="4E47B431" w14:textId="77777777" w:rsidR="000E1E46" w:rsidRPr="00AC16DE" w:rsidRDefault="000E1E46" w:rsidP="0023050E">
            <w:pPr>
              <w:jc w:val="center"/>
              <w:rPr>
                <w:b/>
                <w:bCs/>
                <w:sz w:val="16"/>
                <w:szCs w:val="16"/>
              </w:rPr>
            </w:pPr>
            <w:r w:rsidRPr="00AC16DE">
              <w:rPr>
                <w:b/>
                <w:bCs/>
                <w:sz w:val="16"/>
                <w:szCs w:val="16"/>
              </w:rPr>
              <w:t>10,81</w:t>
            </w:r>
          </w:p>
        </w:tc>
      </w:tr>
      <w:tr w:rsidR="000E1E46" w:rsidRPr="00AC16DE" w14:paraId="06B7EEA1" w14:textId="77777777" w:rsidTr="004312BF">
        <w:trPr>
          <w:trHeight w:val="255"/>
        </w:trPr>
        <w:tc>
          <w:tcPr>
            <w:tcW w:w="2528" w:type="dxa"/>
            <w:noWrap/>
            <w:vAlign w:val="center"/>
            <w:hideMark/>
          </w:tcPr>
          <w:p w14:paraId="21145BB8" w14:textId="77777777" w:rsidR="000E1E46" w:rsidRPr="00AC16DE" w:rsidRDefault="000E1E46" w:rsidP="0023050E">
            <w:pPr>
              <w:rPr>
                <w:sz w:val="16"/>
                <w:szCs w:val="16"/>
              </w:rPr>
            </w:pPr>
            <w:r w:rsidRPr="00AC16DE">
              <w:rPr>
                <w:sz w:val="16"/>
                <w:szCs w:val="16"/>
              </w:rPr>
              <w:t>Investimentos</w:t>
            </w:r>
          </w:p>
        </w:tc>
        <w:tc>
          <w:tcPr>
            <w:tcW w:w="1107" w:type="dxa"/>
            <w:noWrap/>
            <w:vAlign w:val="center"/>
            <w:hideMark/>
          </w:tcPr>
          <w:p w14:paraId="250F74CB" w14:textId="77777777" w:rsidR="000E1E46" w:rsidRPr="00AC16DE" w:rsidRDefault="000E1E46" w:rsidP="0023050E">
            <w:pPr>
              <w:jc w:val="center"/>
              <w:rPr>
                <w:sz w:val="16"/>
                <w:szCs w:val="16"/>
              </w:rPr>
            </w:pPr>
            <w:r w:rsidRPr="00AC16DE">
              <w:rPr>
                <w:sz w:val="16"/>
                <w:szCs w:val="16"/>
              </w:rPr>
              <w:t>44,65</w:t>
            </w:r>
          </w:p>
        </w:tc>
        <w:tc>
          <w:tcPr>
            <w:tcW w:w="1264" w:type="dxa"/>
            <w:gridSpan w:val="2"/>
            <w:noWrap/>
            <w:vAlign w:val="center"/>
            <w:hideMark/>
          </w:tcPr>
          <w:p w14:paraId="5D004625" w14:textId="77777777" w:rsidR="000E1E46" w:rsidRPr="00AC16DE" w:rsidRDefault="000E1E46" w:rsidP="0023050E">
            <w:pPr>
              <w:jc w:val="center"/>
              <w:rPr>
                <w:sz w:val="16"/>
                <w:szCs w:val="16"/>
              </w:rPr>
            </w:pPr>
            <w:r w:rsidRPr="00AC16DE">
              <w:rPr>
                <w:sz w:val="16"/>
                <w:szCs w:val="16"/>
              </w:rPr>
              <w:t>10,92</w:t>
            </w:r>
          </w:p>
        </w:tc>
        <w:tc>
          <w:tcPr>
            <w:tcW w:w="1264" w:type="dxa"/>
            <w:noWrap/>
            <w:vAlign w:val="center"/>
            <w:hideMark/>
          </w:tcPr>
          <w:p w14:paraId="6E8FCE55" w14:textId="77777777" w:rsidR="000E1E46" w:rsidRPr="00AC16DE" w:rsidRDefault="000E1E46" w:rsidP="0023050E">
            <w:pPr>
              <w:jc w:val="center"/>
              <w:rPr>
                <w:sz w:val="16"/>
                <w:szCs w:val="16"/>
              </w:rPr>
            </w:pPr>
            <w:r w:rsidRPr="00AC16DE">
              <w:rPr>
                <w:sz w:val="16"/>
                <w:szCs w:val="16"/>
              </w:rPr>
              <w:t>2,74</w:t>
            </w:r>
          </w:p>
        </w:tc>
        <w:tc>
          <w:tcPr>
            <w:tcW w:w="1264" w:type="dxa"/>
            <w:noWrap/>
            <w:vAlign w:val="center"/>
            <w:hideMark/>
          </w:tcPr>
          <w:p w14:paraId="1DEB8B5E" w14:textId="77777777" w:rsidR="000E1E46" w:rsidRPr="00AC16DE" w:rsidRDefault="000E1E46" w:rsidP="0023050E">
            <w:pPr>
              <w:jc w:val="center"/>
              <w:rPr>
                <w:sz w:val="16"/>
                <w:szCs w:val="16"/>
              </w:rPr>
            </w:pPr>
            <w:r w:rsidRPr="00AC16DE">
              <w:rPr>
                <w:sz w:val="16"/>
                <w:szCs w:val="16"/>
              </w:rPr>
              <w:t>(-5,99)</w:t>
            </w:r>
          </w:p>
        </w:tc>
        <w:tc>
          <w:tcPr>
            <w:tcW w:w="2212" w:type="dxa"/>
            <w:noWrap/>
            <w:vAlign w:val="center"/>
            <w:hideMark/>
          </w:tcPr>
          <w:p w14:paraId="704E4B9E" w14:textId="77777777" w:rsidR="000E1E46" w:rsidRPr="00AC16DE" w:rsidRDefault="000E1E46" w:rsidP="0023050E">
            <w:pPr>
              <w:jc w:val="center"/>
              <w:rPr>
                <w:sz w:val="16"/>
                <w:szCs w:val="16"/>
              </w:rPr>
            </w:pPr>
            <w:r w:rsidRPr="00AC16DE">
              <w:rPr>
                <w:sz w:val="16"/>
                <w:szCs w:val="16"/>
              </w:rPr>
              <w:t>14,35</w:t>
            </w:r>
          </w:p>
        </w:tc>
      </w:tr>
      <w:tr w:rsidR="000E1E46" w:rsidRPr="00AC16DE" w14:paraId="00DAD947" w14:textId="77777777" w:rsidTr="004312BF">
        <w:trPr>
          <w:trHeight w:val="255"/>
        </w:trPr>
        <w:tc>
          <w:tcPr>
            <w:tcW w:w="2528" w:type="dxa"/>
            <w:noWrap/>
            <w:vAlign w:val="center"/>
            <w:hideMark/>
          </w:tcPr>
          <w:p w14:paraId="594A3E46" w14:textId="77777777" w:rsidR="000E1E46" w:rsidRPr="00AC16DE" w:rsidRDefault="000E1E46" w:rsidP="0023050E">
            <w:pPr>
              <w:rPr>
                <w:b/>
                <w:bCs/>
                <w:sz w:val="16"/>
                <w:szCs w:val="16"/>
              </w:rPr>
            </w:pPr>
            <w:r w:rsidRPr="00AC16DE">
              <w:rPr>
                <w:b/>
                <w:bCs/>
                <w:sz w:val="16"/>
                <w:szCs w:val="16"/>
              </w:rPr>
              <w:t>Despesas Correntes</w:t>
            </w:r>
          </w:p>
        </w:tc>
        <w:tc>
          <w:tcPr>
            <w:tcW w:w="1107" w:type="dxa"/>
            <w:noWrap/>
            <w:vAlign w:val="center"/>
            <w:hideMark/>
          </w:tcPr>
          <w:p w14:paraId="1043EE95" w14:textId="77777777" w:rsidR="000E1E46" w:rsidRPr="00AC16DE" w:rsidRDefault="000E1E46" w:rsidP="0023050E">
            <w:pPr>
              <w:jc w:val="center"/>
              <w:rPr>
                <w:b/>
                <w:bCs/>
                <w:sz w:val="16"/>
                <w:szCs w:val="16"/>
              </w:rPr>
            </w:pPr>
            <w:r w:rsidRPr="00AC16DE">
              <w:rPr>
                <w:b/>
                <w:bCs/>
                <w:sz w:val="16"/>
                <w:szCs w:val="16"/>
              </w:rPr>
              <w:t>9,47</w:t>
            </w:r>
          </w:p>
        </w:tc>
        <w:tc>
          <w:tcPr>
            <w:tcW w:w="1264" w:type="dxa"/>
            <w:gridSpan w:val="2"/>
            <w:noWrap/>
            <w:vAlign w:val="center"/>
            <w:hideMark/>
          </w:tcPr>
          <w:p w14:paraId="192473DE" w14:textId="77777777" w:rsidR="000E1E46" w:rsidRPr="00AC16DE" w:rsidRDefault="000E1E46" w:rsidP="0023050E">
            <w:pPr>
              <w:jc w:val="center"/>
              <w:rPr>
                <w:b/>
                <w:bCs/>
                <w:sz w:val="16"/>
                <w:szCs w:val="16"/>
              </w:rPr>
            </w:pPr>
            <w:r w:rsidRPr="00AC16DE">
              <w:rPr>
                <w:b/>
                <w:bCs/>
                <w:sz w:val="16"/>
                <w:szCs w:val="16"/>
              </w:rPr>
              <w:t>12,53</w:t>
            </w:r>
          </w:p>
        </w:tc>
        <w:tc>
          <w:tcPr>
            <w:tcW w:w="1264" w:type="dxa"/>
            <w:noWrap/>
            <w:vAlign w:val="center"/>
            <w:hideMark/>
          </w:tcPr>
          <w:p w14:paraId="267DC5CB" w14:textId="77777777" w:rsidR="000E1E46" w:rsidRPr="00AC16DE" w:rsidRDefault="000E1E46" w:rsidP="0023050E">
            <w:pPr>
              <w:jc w:val="center"/>
              <w:rPr>
                <w:b/>
                <w:bCs/>
                <w:sz w:val="16"/>
                <w:szCs w:val="16"/>
              </w:rPr>
            </w:pPr>
            <w:r w:rsidRPr="00AC16DE">
              <w:rPr>
                <w:b/>
                <w:bCs/>
                <w:sz w:val="16"/>
                <w:szCs w:val="16"/>
              </w:rPr>
              <w:t>13,90</w:t>
            </w:r>
          </w:p>
        </w:tc>
        <w:tc>
          <w:tcPr>
            <w:tcW w:w="1264" w:type="dxa"/>
            <w:noWrap/>
            <w:vAlign w:val="center"/>
            <w:hideMark/>
          </w:tcPr>
          <w:p w14:paraId="4219D4C9" w14:textId="77777777" w:rsidR="000E1E46" w:rsidRPr="00AC16DE" w:rsidRDefault="000E1E46" w:rsidP="0023050E">
            <w:pPr>
              <w:jc w:val="center"/>
              <w:rPr>
                <w:b/>
                <w:bCs/>
                <w:sz w:val="16"/>
                <w:szCs w:val="16"/>
              </w:rPr>
            </w:pPr>
            <w:r w:rsidRPr="00AC16DE">
              <w:rPr>
                <w:b/>
                <w:bCs/>
                <w:sz w:val="16"/>
                <w:szCs w:val="16"/>
              </w:rPr>
              <w:t>11,63</w:t>
            </w:r>
          </w:p>
        </w:tc>
        <w:tc>
          <w:tcPr>
            <w:tcW w:w="2212" w:type="dxa"/>
            <w:noWrap/>
            <w:vAlign w:val="center"/>
            <w:hideMark/>
          </w:tcPr>
          <w:p w14:paraId="74050D44" w14:textId="77777777" w:rsidR="000E1E46" w:rsidRPr="00AC16DE" w:rsidRDefault="000E1E46" w:rsidP="0023050E">
            <w:pPr>
              <w:jc w:val="center"/>
              <w:rPr>
                <w:b/>
                <w:bCs/>
                <w:sz w:val="16"/>
                <w:szCs w:val="16"/>
              </w:rPr>
            </w:pPr>
            <w:r w:rsidRPr="00AC16DE">
              <w:rPr>
                <w:b/>
                <w:bCs/>
                <w:sz w:val="16"/>
                <w:szCs w:val="16"/>
              </w:rPr>
              <w:t>11,90</w:t>
            </w:r>
          </w:p>
        </w:tc>
      </w:tr>
      <w:tr w:rsidR="000E1E46" w:rsidRPr="00AC16DE" w14:paraId="6FB17831" w14:textId="77777777" w:rsidTr="004312BF">
        <w:trPr>
          <w:trHeight w:val="255"/>
        </w:trPr>
        <w:tc>
          <w:tcPr>
            <w:tcW w:w="2528" w:type="dxa"/>
            <w:noWrap/>
            <w:vAlign w:val="center"/>
            <w:hideMark/>
          </w:tcPr>
          <w:p w14:paraId="66CE17BC" w14:textId="77777777" w:rsidR="000E1E46" w:rsidRPr="00AC16DE" w:rsidRDefault="000E1E46" w:rsidP="0023050E">
            <w:pPr>
              <w:rPr>
                <w:sz w:val="16"/>
                <w:szCs w:val="16"/>
              </w:rPr>
            </w:pPr>
            <w:r w:rsidRPr="00AC16DE">
              <w:rPr>
                <w:sz w:val="16"/>
                <w:szCs w:val="16"/>
              </w:rPr>
              <w:t>Outras despesas correntes</w:t>
            </w:r>
          </w:p>
        </w:tc>
        <w:tc>
          <w:tcPr>
            <w:tcW w:w="1107" w:type="dxa"/>
            <w:noWrap/>
            <w:vAlign w:val="center"/>
            <w:hideMark/>
          </w:tcPr>
          <w:p w14:paraId="0B71882E" w14:textId="77777777" w:rsidR="000E1E46" w:rsidRPr="00AC16DE" w:rsidRDefault="000E1E46" w:rsidP="0023050E">
            <w:pPr>
              <w:jc w:val="center"/>
              <w:rPr>
                <w:sz w:val="16"/>
                <w:szCs w:val="16"/>
              </w:rPr>
            </w:pPr>
            <w:r w:rsidRPr="00AC16DE">
              <w:rPr>
                <w:sz w:val="16"/>
                <w:szCs w:val="16"/>
              </w:rPr>
              <w:t>8,95</w:t>
            </w:r>
          </w:p>
        </w:tc>
        <w:tc>
          <w:tcPr>
            <w:tcW w:w="1264" w:type="dxa"/>
            <w:gridSpan w:val="2"/>
            <w:noWrap/>
            <w:vAlign w:val="center"/>
            <w:hideMark/>
          </w:tcPr>
          <w:p w14:paraId="1D81F579" w14:textId="77777777" w:rsidR="000E1E46" w:rsidRPr="00AC16DE" w:rsidRDefault="000E1E46" w:rsidP="0023050E">
            <w:pPr>
              <w:jc w:val="center"/>
              <w:rPr>
                <w:sz w:val="16"/>
                <w:szCs w:val="16"/>
              </w:rPr>
            </w:pPr>
            <w:r w:rsidRPr="00AC16DE">
              <w:rPr>
                <w:sz w:val="16"/>
                <w:szCs w:val="16"/>
              </w:rPr>
              <w:t>13,46</w:t>
            </w:r>
          </w:p>
        </w:tc>
        <w:tc>
          <w:tcPr>
            <w:tcW w:w="1264" w:type="dxa"/>
            <w:noWrap/>
            <w:vAlign w:val="center"/>
            <w:hideMark/>
          </w:tcPr>
          <w:p w14:paraId="1DB2F59B" w14:textId="77777777" w:rsidR="000E1E46" w:rsidRPr="00AC16DE" w:rsidRDefault="000E1E46" w:rsidP="0023050E">
            <w:pPr>
              <w:jc w:val="center"/>
              <w:rPr>
                <w:sz w:val="16"/>
                <w:szCs w:val="16"/>
              </w:rPr>
            </w:pPr>
            <w:r w:rsidRPr="00AC16DE">
              <w:rPr>
                <w:sz w:val="16"/>
                <w:szCs w:val="16"/>
              </w:rPr>
              <w:t>13,40</w:t>
            </w:r>
          </w:p>
        </w:tc>
        <w:tc>
          <w:tcPr>
            <w:tcW w:w="1264" w:type="dxa"/>
            <w:noWrap/>
            <w:vAlign w:val="center"/>
            <w:hideMark/>
          </w:tcPr>
          <w:p w14:paraId="7584FC32" w14:textId="77777777" w:rsidR="000E1E46" w:rsidRPr="00AC16DE" w:rsidRDefault="000E1E46" w:rsidP="0023050E">
            <w:pPr>
              <w:jc w:val="center"/>
              <w:rPr>
                <w:sz w:val="16"/>
                <w:szCs w:val="16"/>
              </w:rPr>
            </w:pPr>
            <w:r w:rsidRPr="00AC16DE">
              <w:rPr>
                <w:sz w:val="16"/>
                <w:szCs w:val="16"/>
              </w:rPr>
              <w:t>13,34</w:t>
            </w:r>
          </w:p>
        </w:tc>
        <w:tc>
          <w:tcPr>
            <w:tcW w:w="2212" w:type="dxa"/>
            <w:noWrap/>
            <w:vAlign w:val="center"/>
            <w:hideMark/>
          </w:tcPr>
          <w:p w14:paraId="09CBEF8C" w14:textId="77777777" w:rsidR="000E1E46" w:rsidRPr="00AC16DE" w:rsidRDefault="000E1E46" w:rsidP="0023050E">
            <w:pPr>
              <w:jc w:val="center"/>
              <w:rPr>
                <w:sz w:val="16"/>
                <w:szCs w:val="16"/>
              </w:rPr>
            </w:pPr>
            <w:r w:rsidRPr="00AC16DE">
              <w:rPr>
                <w:sz w:val="16"/>
                <w:szCs w:val="16"/>
              </w:rPr>
              <w:t>12,22</w:t>
            </w:r>
          </w:p>
        </w:tc>
      </w:tr>
      <w:tr w:rsidR="000E1E46" w:rsidRPr="00AC16DE" w14:paraId="75F0EAD7" w14:textId="77777777" w:rsidTr="004312BF">
        <w:trPr>
          <w:trHeight w:val="255"/>
        </w:trPr>
        <w:tc>
          <w:tcPr>
            <w:tcW w:w="2528" w:type="dxa"/>
            <w:noWrap/>
            <w:vAlign w:val="center"/>
            <w:hideMark/>
          </w:tcPr>
          <w:p w14:paraId="065CE1B2" w14:textId="77777777" w:rsidR="000E1E46" w:rsidRPr="00AC16DE" w:rsidRDefault="000E1E46" w:rsidP="0023050E">
            <w:pPr>
              <w:rPr>
                <w:sz w:val="16"/>
                <w:szCs w:val="16"/>
              </w:rPr>
            </w:pPr>
            <w:r w:rsidRPr="00AC16DE">
              <w:rPr>
                <w:sz w:val="16"/>
                <w:szCs w:val="16"/>
              </w:rPr>
              <w:t>Pessoal e encargos sociais</w:t>
            </w:r>
          </w:p>
        </w:tc>
        <w:tc>
          <w:tcPr>
            <w:tcW w:w="1107" w:type="dxa"/>
            <w:noWrap/>
            <w:vAlign w:val="center"/>
            <w:hideMark/>
          </w:tcPr>
          <w:p w14:paraId="344B20BD" w14:textId="77777777" w:rsidR="000E1E46" w:rsidRPr="00AC16DE" w:rsidRDefault="000E1E46" w:rsidP="0023050E">
            <w:pPr>
              <w:jc w:val="center"/>
              <w:rPr>
                <w:sz w:val="16"/>
                <w:szCs w:val="16"/>
              </w:rPr>
            </w:pPr>
            <w:r w:rsidRPr="00AC16DE">
              <w:rPr>
                <w:sz w:val="16"/>
                <w:szCs w:val="16"/>
              </w:rPr>
              <w:t>9,28</w:t>
            </w:r>
          </w:p>
        </w:tc>
        <w:tc>
          <w:tcPr>
            <w:tcW w:w="1264" w:type="dxa"/>
            <w:gridSpan w:val="2"/>
            <w:noWrap/>
            <w:vAlign w:val="center"/>
            <w:hideMark/>
          </w:tcPr>
          <w:p w14:paraId="4133B98B" w14:textId="77777777" w:rsidR="000E1E46" w:rsidRPr="00AC16DE" w:rsidRDefault="000E1E46" w:rsidP="0023050E">
            <w:pPr>
              <w:jc w:val="center"/>
              <w:rPr>
                <w:sz w:val="16"/>
                <w:szCs w:val="16"/>
              </w:rPr>
            </w:pPr>
            <w:r w:rsidRPr="00AC16DE">
              <w:rPr>
                <w:sz w:val="16"/>
                <w:szCs w:val="16"/>
              </w:rPr>
              <w:t>12,85</w:t>
            </w:r>
          </w:p>
        </w:tc>
        <w:tc>
          <w:tcPr>
            <w:tcW w:w="1264" w:type="dxa"/>
            <w:noWrap/>
            <w:vAlign w:val="center"/>
            <w:hideMark/>
          </w:tcPr>
          <w:p w14:paraId="7861DCE3" w14:textId="77777777" w:rsidR="000E1E46" w:rsidRPr="00AC16DE" w:rsidRDefault="000E1E46" w:rsidP="0023050E">
            <w:pPr>
              <w:jc w:val="center"/>
              <w:rPr>
                <w:sz w:val="16"/>
                <w:szCs w:val="16"/>
              </w:rPr>
            </w:pPr>
            <w:r w:rsidRPr="00AC16DE">
              <w:rPr>
                <w:sz w:val="16"/>
                <w:szCs w:val="16"/>
              </w:rPr>
              <w:t>15,42</w:t>
            </w:r>
          </w:p>
        </w:tc>
        <w:tc>
          <w:tcPr>
            <w:tcW w:w="1264" w:type="dxa"/>
            <w:noWrap/>
            <w:vAlign w:val="center"/>
            <w:hideMark/>
          </w:tcPr>
          <w:p w14:paraId="5D63F709" w14:textId="77777777" w:rsidR="000E1E46" w:rsidRPr="00AC16DE" w:rsidRDefault="000E1E46" w:rsidP="0023050E">
            <w:pPr>
              <w:jc w:val="center"/>
              <w:rPr>
                <w:sz w:val="16"/>
                <w:szCs w:val="16"/>
              </w:rPr>
            </w:pPr>
            <w:r w:rsidRPr="00AC16DE">
              <w:rPr>
                <w:sz w:val="16"/>
                <w:szCs w:val="16"/>
              </w:rPr>
              <w:t>11,17</w:t>
            </w:r>
          </w:p>
        </w:tc>
        <w:tc>
          <w:tcPr>
            <w:tcW w:w="2212" w:type="dxa"/>
            <w:noWrap/>
            <w:vAlign w:val="center"/>
            <w:hideMark/>
          </w:tcPr>
          <w:p w14:paraId="5F08F6CC" w14:textId="77777777" w:rsidR="000E1E46" w:rsidRPr="00AC16DE" w:rsidRDefault="000E1E46" w:rsidP="0023050E">
            <w:pPr>
              <w:jc w:val="center"/>
              <w:rPr>
                <w:sz w:val="16"/>
                <w:szCs w:val="16"/>
              </w:rPr>
            </w:pPr>
            <w:r w:rsidRPr="00AC16DE">
              <w:rPr>
                <w:sz w:val="16"/>
                <w:szCs w:val="16"/>
              </w:rPr>
              <w:t>12,25</w:t>
            </w:r>
          </w:p>
        </w:tc>
      </w:tr>
      <w:tr w:rsidR="000E1E46" w:rsidRPr="00AC16DE" w14:paraId="39CA877E" w14:textId="77777777" w:rsidTr="004312BF">
        <w:trPr>
          <w:trHeight w:val="255"/>
        </w:trPr>
        <w:tc>
          <w:tcPr>
            <w:tcW w:w="2528" w:type="dxa"/>
            <w:tcBorders>
              <w:top w:val="single" w:sz="4" w:space="0" w:color="auto"/>
              <w:left w:val="nil"/>
              <w:bottom w:val="single" w:sz="4" w:space="0" w:color="auto"/>
              <w:right w:val="nil"/>
            </w:tcBorders>
            <w:noWrap/>
            <w:vAlign w:val="center"/>
            <w:hideMark/>
          </w:tcPr>
          <w:p w14:paraId="366E282D" w14:textId="77777777" w:rsidR="000E1E46" w:rsidRPr="00AC16DE" w:rsidRDefault="000E1E46" w:rsidP="0023050E">
            <w:pPr>
              <w:rPr>
                <w:b/>
                <w:bCs/>
                <w:sz w:val="16"/>
                <w:szCs w:val="16"/>
              </w:rPr>
            </w:pPr>
            <w:r w:rsidRPr="00AC16DE">
              <w:rPr>
                <w:b/>
                <w:bCs/>
                <w:sz w:val="16"/>
                <w:szCs w:val="16"/>
              </w:rPr>
              <w:t>Total Geral</w:t>
            </w:r>
          </w:p>
        </w:tc>
        <w:tc>
          <w:tcPr>
            <w:tcW w:w="1107" w:type="dxa"/>
            <w:tcBorders>
              <w:top w:val="single" w:sz="4" w:space="0" w:color="auto"/>
              <w:left w:val="nil"/>
              <w:bottom w:val="single" w:sz="4" w:space="0" w:color="auto"/>
              <w:right w:val="nil"/>
            </w:tcBorders>
            <w:noWrap/>
            <w:vAlign w:val="center"/>
            <w:hideMark/>
          </w:tcPr>
          <w:p w14:paraId="3B0819BE" w14:textId="77777777" w:rsidR="000E1E46" w:rsidRPr="00AC16DE" w:rsidRDefault="000E1E46" w:rsidP="0023050E">
            <w:pPr>
              <w:jc w:val="center"/>
              <w:rPr>
                <w:b/>
                <w:bCs/>
                <w:sz w:val="16"/>
                <w:szCs w:val="16"/>
              </w:rPr>
            </w:pPr>
            <w:r w:rsidRPr="00AC16DE">
              <w:rPr>
                <w:b/>
                <w:bCs/>
                <w:sz w:val="16"/>
                <w:szCs w:val="16"/>
              </w:rPr>
              <w:t>10,76</w:t>
            </w:r>
          </w:p>
        </w:tc>
        <w:tc>
          <w:tcPr>
            <w:tcW w:w="1264" w:type="dxa"/>
            <w:gridSpan w:val="2"/>
            <w:tcBorders>
              <w:top w:val="single" w:sz="4" w:space="0" w:color="auto"/>
              <w:left w:val="nil"/>
              <w:bottom w:val="single" w:sz="4" w:space="0" w:color="auto"/>
              <w:right w:val="nil"/>
            </w:tcBorders>
            <w:noWrap/>
            <w:vAlign w:val="center"/>
            <w:hideMark/>
          </w:tcPr>
          <w:p w14:paraId="40D06E3B" w14:textId="77777777" w:rsidR="000E1E46" w:rsidRPr="00AC16DE" w:rsidRDefault="000E1E46" w:rsidP="0023050E">
            <w:pPr>
              <w:jc w:val="center"/>
              <w:rPr>
                <w:b/>
                <w:bCs/>
                <w:sz w:val="16"/>
                <w:szCs w:val="16"/>
              </w:rPr>
            </w:pPr>
            <w:r w:rsidRPr="00AC16DE">
              <w:rPr>
                <w:b/>
                <w:bCs/>
                <w:sz w:val="16"/>
                <w:szCs w:val="16"/>
              </w:rPr>
              <w:t>12,44</w:t>
            </w:r>
          </w:p>
        </w:tc>
        <w:tc>
          <w:tcPr>
            <w:tcW w:w="1264" w:type="dxa"/>
            <w:tcBorders>
              <w:top w:val="single" w:sz="4" w:space="0" w:color="auto"/>
              <w:left w:val="nil"/>
              <w:bottom w:val="single" w:sz="4" w:space="0" w:color="auto"/>
              <w:right w:val="nil"/>
            </w:tcBorders>
            <w:noWrap/>
            <w:vAlign w:val="center"/>
            <w:hideMark/>
          </w:tcPr>
          <w:p w14:paraId="1721AFF8" w14:textId="77777777" w:rsidR="000E1E46" w:rsidRPr="00AC16DE" w:rsidRDefault="000E1E46" w:rsidP="0023050E">
            <w:pPr>
              <w:jc w:val="center"/>
              <w:rPr>
                <w:b/>
                <w:bCs/>
                <w:sz w:val="16"/>
                <w:szCs w:val="16"/>
              </w:rPr>
            </w:pPr>
            <w:r w:rsidRPr="00AC16DE">
              <w:rPr>
                <w:b/>
                <w:bCs/>
                <w:sz w:val="16"/>
                <w:szCs w:val="16"/>
              </w:rPr>
              <w:t>13,28</w:t>
            </w:r>
          </w:p>
        </w:tc>
        <w:tc>
          <w:tcPr>
            <w:tcW w:w="1264" w:type="dxa"/>
            <w:tcBorders>
              <w:top w:val="single" w:sz="4" w:space="0" w:color="auto"/>
              <w:left w:val="nil"/>
              <w:bottom w:val="single" w:sz="4" w:space="0" w:color="auto"/>
              <w:right w:val="nil"/>
            </w:tcBorders>
            <w:noWrap/>
            <w:vAlign w:val="center"/>
            <w:hideMark/>
          </w:tcPr>
          <w:p w14:paraId="02686B1B" w14:textId="77777777" w:rsidR="000E1E46" w:rsidRPr="00AC16DE" w:rsidRDefault="000E1E46" w:rsidP="0023050E">
            <w:pPr>
              <w:jc w:val="center"/>
              <w:rPr>
                <w:b/>
                <w:bCs/>
                <w:sz w:val="16"/>
                <w:szCs w:val="16"/>
              </w:rPr>
            </w:pPr>
            <w:r w:rsidRPr="00AC16DE">
              <w:rPr>
                <w:b/>
                <w:bCs/>
                <w:sz w:val="16"/>
                <w:szCs w:val="16"/>
              </w:rPr>
              <w:t>9,30</w:t>
            </w:r>
          </w:p>
        </w:tc>
        <w:tc>
          <w:tcPr>
            <w:tcW w:w="2212" w:type="dxa"/>
            <w:tcBorders>
              <w:top w:val="single" w:sz="4" w:space="0" w:color="auto"/>
              <w:left w:val="nil"/>
              <w:bottom w:val="single" w:sz="4" w:space="0" w:color="auto"/>
              <w:right w:val="nil"/>
            </w:tcBorders>
            <w:noWrap/>
            <w:vAlign w:val="center"/>
            <w:hideMark/>
          </w:tcPr>
          <w:p w14:paraId="7AE18C26" w14:textId="77777777" w:rsidR="000E1E46" w:rsidRPr="00AC16DE" w:rsidRDefault="000E1E46" w:rsidP="0023050E">
            <w:pPr>
              <w:jc w:val="center"/>
              <w:rPr>
                <w:b/>
                <w:bCs/>
                <w:sz w:val="16"/>
                <w:szCs w:val="16"/>
              </w:rPr>
            </w:pPr>
            <w:r w:rsidRPr="00AC16DE">
              <w:rPr>
                <w:b/>
                <w:bCs/>
                <w:sz w:val="16"/>
                <w:szCs w:val="16"/>
              </w:rPr>
              <w:t>11,59</w:t>
            </w:r>
          </w:p>
        </w:tc>
      </w:tr>
      <w:tr w:rsidR="000E1E46" w:rsidRPr="00AC16DE" w14:paraId="7F06BCB3" w14:textId="77777777" w:rsidTr="004312BF">
        <w:trPr>
          <w:trHeight w:val="255"/>
        </w:trPr>
        <w:tc>
          <w:tcPr>
            <w:tcW w:w="2528" w:type="dxa"/>
            <w:tcBorders>
              <w:top w:val="single" w:sz="4" w:space="0" w:color="auto"/>
              <w:left w:val="nil"/>
              <w:bottom w:val="single" w:sz="6" w:space="0" w:color="C00000"/>
              <w:right w:val="nil"/>
            </w:tcBorders>
            <w:noWrap/>
            <w:vAlign w:val="center"/>
            <w:hideMark/>
          </w:tcPr>
          <w:p w14:paraId="29BCB6BB" w14:textId="77777777" w:rsidR="000E1E46" w:rsidRPr="00AC16DE" w:rsidRDefault="000E1E46" w:rsidP="0023050E">
            <w:pPr>
              <w:rPr>
                <w:b/>
                <w:bCs/>
                <w:sz w:val="16"/>
                <w:szCs w:val="16"/>
              </w:rPr>
            </w:pPr>
            <w:r w:rsidRPr="00AC16DE">
              <w:rPr>
                <w:b/>
                <w:bCs/>
                <w:sz w:val="16"/>
                <w:szCs w:val="16"/>
              </w:rPr>
              <w:t>Média da Inflação (IPCA)</w:t>
            </w:r>
          </w:p>
        </w:tc>
        <w:tc>
          <w:tcPr>
            <w:tcW w:w="1107" w:type="dxa"/>
            <w:tcBorders>
              <w:top w:val="single" w:sz="4" w:space="0" w:color="auto"/>
              <w:left w:val="nil"/>
              <w:bottom w:val="single" w:sz="6" w:space="0" w:color="C00000"/>
              <w:right w:val="nil"/>
            </w:tcBorders>
            <w:noWrap/>
            <w:vAlign w:val="center"/>
            <w:hideMark/>
          </w:tcPr>
          <w:p w14:paraId="47BAE220" w14:textId="77777777" w:rsidR="000E1E46" w:rsidRPr="00AC16DE" w:rsidRDefault="000E1E46" w:rsidP="0023050E">
            <w:pPr>
              <w:jc w:val="center"/>
              <w:rPr>
                <w:b/>
                <w:bCs/>
                <w:sz w:val="16"/>
                <w:szCs w:val="16"/>
              </w:rPr>
            </w:pPr>
            <w:r w:rsidRPr="00AC16DE">
              <w:rPr>
                <w:b/>
                <w:bCs/>
                <w:sz w:val="16"/>
                <w:szCs w:val="16"/>
              </w:rPr>
              <w:t>6,43</w:t>
            </w:r>
          </w:p>
        </w:tc>
        <w:tc>
          <w:tcPr>
            <w:tcW w:w="1264" w:type="dxa"/>
            <w:gridSpan w:val="2"/>
            <w:tcBorders>
              <w:top w:val="single" w:sz="4" w:space="0" w:color="auto"/>
              <w:left w:val="nil"/>
              <w:bottom w:val="single" w:sz="6" w:space="0" w:color="C00000"/>
              <w:right w:val="nil"/>
            </w:tcBorders>
            <w:noWrap/>
            <w:vAlign w:val="center"/>
            <w:hideMark/>
          </w:tcPr>
          <w:p w14:paraId="6781B652" w14:textId="77777777" w:rsidR="000E1E46" w:rsidRPr="00AC16DE" w:rsidRDefault="000E1E46" w:rsidP="0023050E">
            <w:pPr>
              <w:jc w:val="center"/>
              <w:rPr>
                <w:b/>
                <w:bCs/>
                <w:sz w:val="16"/>
                <w:szCs w:val="16"/>
              </w:rPr>
            </w:pPr>
            <w:r w:rsidRPr="00AC16DE">
              <w:rPr>
                <w:b/>
                <w:bCs/>
                <w:sz w:val="16"/>
                <w:szCs w:val="16"/>
              </w:rPr>
              <w:t>5,15</w:t>
            </w:r>
          </w:p>
        </w:tc>
        <w:tc>
          <w:tcPr>
            <w:tcW w:w="1264" w:type="dxa"/>
            <w:tcBorders>
              <w:top w:val="single" w:sz="4" w:space="0" w:color="auto"/>
              <w:left w:val="nil"/>
              <w:bottom w:val="single" w:sz="6" w:space="0" w:color="C00000"/>
              <w:right w:val="nil"/>
            </w:tcBorders>
            <w:noWrap/>
            <w:vAlign w:val="center"/>
            <w:hideMark/>
          </w:tcPr>
          <w:p w14:paraId="763C59AD" w14:textId="77777777" w:rsidR="000E1E46" w:rsidRPr="00AC16DE" w:rsidRDefault="000E1E46" w:rsidP="0023050E">
            <w:pPr>
              <w:jc w:val="center"/>
              <w:rPr>
                <w:b/>
                <w:bCs/>
                <w:sz w:val="16"/>
                <w:szCs w:val="16"/>
              </w:rPr>
            </w:pPr>
            <w:r w:rsidRPr="00AC16DE">
              <w:rPr>
                <w:b/>
                <w:bCs/>
                <w:sz w:val="16"/>
                <w:szCs w:val="16"/>
              </w:rPr>
              <w:t>6,17</w:t>
            </w:r>
          </w:p>
        </w:tc>
        <w:tc>
          <w:tcPr>
            <w:tcW w:w="1264" w:type="dxa"/>
            <w:tcBorders>
              <w:top w:val="single" w:sz="4" w:space="0" w:color="auto"/>
              <w:left w:val="nil"/>
              <w:bottom w:val="single" w:sz="6" w:space="0" w:color="C00000"/>
              <w:right w:val="nil"/>
            </w:tcBorders>
            <w:noWrap/>
            <w:vAlign w:val="center"/>
            <w:hideMark/>
          </w:tcPr>
          <w:p w14:paraId="044945A7" w14:textId="77777777" w:rsidR="000E1E46" w:rsidRPr="00AC16DE" w:rsidRDefault="000E1E46" w:rsidP="0023050E">
            <w:pPr>
              <w:jc w:val="center"/>
              <w:rPr>
                <w:b/>
                <w:bCs/>
                <w:sz w:val="16"/>
                <w:szCs w:val="16"/>
              </w:rPr>
            </w:pPr>
            <w:r w:rsidRPr="00AC16DE">
              <w:rPr>
                <w:b/>
                <w:bCs/>
                <w:sz w:val="16"/>
                <w:szCs w:val="16"/>
              </w:rPr>
              <w:t>6,64</w:t>
            </w:r>
          </w:p>
        </w:tc>
        <w:tc>
          <w:tcPr>
            <w:tcW w:w="2212" w:type="dxa"/>
            <w:tcBorders>
              <w:top w:val="single" w:sz="4" w:space="0" w:color="auto"/>
              <w:left w:val="nil"/>
              <w:bottom w:val="single" w:sz="6" w:space="0" w:color="C00000"/>
              <w:right w:val="nil"/>
            </w:tcBorders>
            <w:noWrap/>
            <w:vAlign w:val="center"/>
            <w:hideMark/>
          </w:tcPr>
          <w:p w14:paraId="0A01B844" w14:textId="77777777" w:rsidR="000E1E46" w:rsidRPr="00AC16DE" w:rsidRDefault="000E1E46" w:rsidP="0023050E">
            <w:pPr>
              <w:jc w:val="center"/>
              <w:rPr>
                <w:b/>
                <w:bCs/>
                <w:sz w:val="16"/>
                <w:szCs w:val="16"/>
              </w:rPr>
            </w:pPr>
            <w:r w:rsidRPr="00AC16DE">
              <w:rPr>
                <w:b/>
                <w:bCs/>
                <w:sz w:val="16"/>
                <w:szCs w:val="16"/>
              </w:rPr>
              <w:t>6,06</w:t>
            </w:r>
          </w:p>
        </w:tc>
      </w:tr>
      <w:tr w:rsidR="000E1E46" w:rsidRPr="00AC16DE" w14:paraId="5B4B284D" w14:textId="77777777" w:rsidTr="004312BF">
        <w:trPr>
          <w:trHeight w:val="255"/>
        </w:trPr>
        <w:tc>
          <w:tcPr>
            <w:tcW w:w="9639" w:type="dxa"/>
            <w:gridSpan w:val="7"/>
            <w:tcBorders>
              <w:top w:val="single" w:sz="6" w:space="0" w:color="C00000"/>
            </w:tcBorders>
            <w:noWrap/>
            <w:vAlign w:val="center"/>
            <w:hideMark/>
          </w:tcPr>
          <w:p w14:paraId="6F63FBDE" w14:textId="77777777" w:rsidR="000E1E46" w:rsidRDefault="000E1E46" w:rsidP="00870F79">
            <w:pPr>
              <w:spacing w:line="480" w:lineRule="auto"/>
              <w:rPr>
                <w:sz w:val="16"/>
                <w:szCs w:val="16"/>
              </w:rPr>
            </w:pPr>
            <w:r w:rsidRPr="00AC16DE">
              <w:rPr>
                <w:sz w:val="16"/>
                <w:szCs w:val="16"/>
              </w:rPr>
              <w:t>Fonte: Elaboração própria a partir de dados do SIAFI</w:t>
            </w:r>
          </w:p>
          <w:p w14:paraId="61C6DC41" w14:textId="77777777" w:rsidR="000E1E46" w:rsidRDefault="000E1E46" w:rsidP="00870F79">
            <w:pPr>
              <w:spacing w:line="480" w:lineRule="auto"/>
              <w:rPr>
                <w:sz w:val="16"/>
                <w:szCs w:val="16"/>
              </w:rPr>
            </w:pPr>
          </w:p>
          <w:p w14:paraId="4082217A" w14:textId="321FC082" w:rsidR="000E1E46" w:rsidRPr="00FE0B4D" w:rsidRDefault="000E1E46" w:rsidP="00870F79">
            <w:pPr>
              <w:pStyle w:val="FJP-CorpoTexto"/>
              <w:spacing w:line="480" w:lineRule="auto"/>
              <w:rPr>
                <w:rFonts w:ascii="Times New Roman" w:hAnsi="Times New Roman"/>
                <w:sz w:val="24"/>
                <w:szCs w:val="24"/>
              </w:rPr>
            </w:pPr>
            <w:r w:rsidRPr="00273EC0">
              <w:rPr>
                <w:rFonts w:ascii="Times New Roman" w:hAnsi="Times New Roman"/>
                <w:sz w:val="24"/>
                <w:szCs w:val="24"/>
              </w:rPr>
              <w:t xml:space="preserve">Portanto, analisa-se, a seguir, o comportamento das despesas no último triênio, em particular dos gastos com investimento e </w:t>
            </w:r>
            <w:r>
              <w:rPr>
                <w:rFonts w:ascii="Times New Roman" w:hAnsi="Times New Roman"/>
                <w:sz w:val="24"/>
                <w:szCs w:val="24"/>
              </w:rPr>
              <w:t>com pessoal e encargos sociais.</w:t>
            </w:r>
          </w:p>
        </w:tc>
      </w:tr>
    </w:tbl>
    <w:p w14:paraId="6D55E9C9" w14:textId="77777777" w:rsidR="000E1E46" w:rsidRPr="00273EC0" w:rsidRDefault="000E1E46" w:rsidP="00870F79">
      <w:pPr>
        <w:pStyle w:val="FJP-Ttulo2"/>
        <w:spacing w:line="480" w:lineRule="auto"/>
        <w:rPr>
          <w:rFonts w:ascii="Times New Roman" w:hAnsi="Times New Roman"/>
          <w:sz w:val="24"/>
        </w:rPr>
      </w:pPr>
      <w:r w:rsidRPr="00273EC0">
        <w:rPr>
          <w:rFonts w:ascii="Times New Roman" w:hAnsi="Times New Roman"/>
          <w:sz w:val="24"/>
        </w:rPr>
        <w:t>5.1 Dinâmica das Despesas Orçamentárias - 2015-2017</w:t>
      </w:r>
    </w:p>
    <w:p w14:paraId="3AD7B8C6" w14:textId="64623E8D"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Entre 2015, o crescimento dos gastos com despesas correntes foi puxado pelos gastos com pessoal e encargos sociais.</w:t>
      </w:r>
      <w:r w:rsidRPr="00D45F4C">
        <w:rPr>
          <w:rFonts w:ascii="Times New Roman" w:hAnsi="Times New Roman"/>
          <w:sz w:val="24"/>
          <w:szCs w:val="24"/>
        </w:rPr>
        <w:t xml:space="preserve"> </w:t>
      </w:r>
      <w:r w:rsidRPr="00AC16DE">
        <w:rPr>
          <w:rFonts w:ascii="Times New Roman" w:hAnsi="Times New Roman"/>
          <w:sz w:val="24"/>
          <w:szCs w:val="24"/>
        </w:rPr>
        <w:t>Existem duas explicações para esse crescimento. A primeira é o próprio crescimento vegetativo da folha. A segunda são os reajustes</w:t>
      </w:r>
      <w:r w:rsidRPr="00AC16DE">
        <w:rPr>
          <w:rStyle w:val="Refdenotaderodap"/>
          <w:rFonts w:ascii="Times New Roman" w:hAnsi="Times New Roman"/>
          <w:sz w:val="24"/>
          <w:szCs w:val="24"/>
        </w:rPr>
        <w:footnoteReference w:id="14"/>
      </w:r>
      <w:r w:rsidRPr="00AC16DE">
        <w:rPr>
          <w:rFonts w:ascii="Times New Roman" w:hAnsi="Times New Roman"/>
          <w:sz w:val="24"/>
          <w:szCs w:val="24"/>
        </w:rPr>
        <w:t xml:space="preserve"> escalonados de salários e vencimentos de várias carreiras, aprovados entre 2011 e 2014 na gestão do governador Antônio Anastasia (Leis 19.576, de 16/08/11, 20.748, de 25/06/13; 21.216, de 07/05/</w:t>
      </w:r>
      <w:r>
        <w:rPr>
          <w:rFonts w:ascii="Times New Roman" w:hAnsi="Times New Roman"/>
          <w:sz w:val="24"/>
          <w:szCs w:val="24"/>
        </w:rPr>
        <w:t>14; 21.167, de 17/01/14, etc.).</w:t>
      </w:r>
    </w:p>
    <w:p w14:paraId="13F6BFBB" w14:textId="38CFC0B9"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No ano subsequente, além da queda dos gastos nesse grupo de despesa, os gastos com despesas de juros e encargos sociais decresceram em quase R$ 2 bilhões. Tal queda se associa à renegociação da dívida dos estados com a União, materializada na lei complementar 156, de 28/12/16 (a maior parcela da dívida estadual é com a União). Logo, essa é a principal explicação para a queda de mais de 4 pontos percentuais, em relação à média histórica, na taxa de crescimento das despesas correntes em 2016. Assim, já em 2017, o aumento dos gastos com despesas correntes ficaram em linha com a média do período (tab. 7),</w:t>
      </w:r>
    </w:p>
    <w:p w14:paraId="50A3AC9C" w14:textId="49E510A2" w:rsidR="000E1E46" w:rsidRPr="00AC16DE" w:rsidRDefault="000E1E46" w:rsidP="00870F79">
      <w:pPr>
        <w:pStyle w:val="FJP-CorpoTexto"/>
        <w:spacing w:line="480" w:lineRule="auto"/>
        <w:rPr>
          <w:rFonts w:ascii="Times New Roman" w:hAnsi="Times New Roman"/>
          <w:sz w:val="24"/>
          <w:szCs w:val="24"/>
        </w:rPr>
      </w:pPr>
      <w:r>
        <w:rPr>
          <w:rFonts w:ascii="Times New Roman" w:hAnsi="Times New Roman"/>
          <w:sz w:val="24"/>
          <w:szCs w:val="24"/>
        </w:rPr>
        <w:t xml:space="preserve">Ainda em </w:t>
      </w:r>
      <w:r w:rsidRPr="00AC16DE">
        <w:rPr>
          <w:rFonts w:ascii="Times New Roman" w:hAnsi="Times New Roman"/>
          <w:sz w:val="24"/>
          <w:szCs w:val="24"/>
        </w:rPr>
        <w:t xml:space="preserve">relação aos gastos com pessoal e encargos sociais, nota-se que, em contraposição ao observado em 2015, o ritmo de crescimento se desacelerou em 2016 e 2017. </w:t>
      </w:r>
      <w:r>
        <w:rPr>
          <w:rFonts w:ascii="Times New Roman" w:hAnsi="Times New Roman"/>
          <w:sz w:val="24"/>
          <w:szCs w:val="24"/>
        </w:rPr>
        <w:t xml:space="preserve">Não obstante, </w:t>
      </w:r>
      <w:r w:rsidRPr="00AC16DE">
        <w:rPr>
          <w:rFonts w:ascii="Times New Roman" w:hAnsi="Times New Roman"/>
          <w:sz w:val="24"/>
          <w:szCs w:val="24"/>
        </w:rPr>
        <w:t>o ritmo de crescimento dos gastos em outras despesas correntes não</w:t>
      </w:r>
      <w:r>
        <w:rPr>
          <w:rFonts w:ascii="Times New Roman" w:hAnsi="Times New Roman"/>
          <w:sz w:val="24"/>
          <w:szCs w:val="24"/>
        </w:rPr>
        <w:t xml:space="preserve"> acompanhou a queda da inflação</w:t>
      </w:r>
      <w:r w:rsidRPr="00AC16DE">
        <w:rPr>
          <w:rFonts w:ascii="Times New Roman" w:hAnsi="Times New Roman"/>
          <w:sz w:val="24"/>
          <w:szCs w:val="24"/>
        </w:rPr>
        <w:t xml:space="preserve">. </w:t>
      </w:r>
      <w:r>
        <w:rPr>
          <w:rFonts w:ascii="Times New Roman" w:hAnsi="Times New Roman"/>
          <w:sz w:val="24"/>
          <w:szCs w:val="24"/>
        </w:rPr>
        <w:t>O</w:t>
      </w:r>
      <w:r w:rsidRPr="00AC16DE">
        <w:rPr>
          <w:rFonts w:ascii="Times New Roman" w:hAnsi="Times New Roman"/>
          <w:sz w:val="24"/>
          <w:szCs w:val="24"/>
        </w:rPr>
        <w:t>s aportes para a cobertura do déficit atuarial do RPPS, que vem crescendo a taxas superiores a 30%, contribuíram decisivamente para o comportamento dessa categoria de despesa (em 2017, cerca de R$ 10 bilhões foram gastos nesse item, representando cerca de ¼ do total). Assim, os gastos previdenciários se conformam como um problema estrutural, que perpassam administrações de diferentes matizes ideológicos, ainda sem solução.</w:t>
      </w:r>
    </w:p>
    <w:p w14:paraId="6D696177" w14:textId="77777777" w:rsidR="000E1E46" w:rsidRDefault="000E1E46" w:rsidP="00870F79">
      <w:pPr>
        <w:pStyle w:val="FJP-CorpoTexto"/>
        <w:spacing w:line="480" w:lineRule="auto"/>
        <w:rPr>
          <w:rFonts w:ascii="Times New Roman" w:hAnsi="Times New Roman"/>
          <w:sz w:val="24"/>
          <w:szCs w:val="24"/>
        </w:rPr>
        <w:sectPr w:rsidR="000E1E46" w:rsidSect="000E1E46">
          <w:pgSz w:w="11906" w:h="16838"/>
          <w:pgMar w:top="1440" w:right="1080" w:bottom="1440" w:left="1080" w:header="708" w:footer="708" w:gutter="0"/>
          <w:cols w:space="708"/>
          <w:docGrid w:linePitch="360"/>
        </w:sectPr>
      </w:pPr>
      <w:r>
        <w:rPr>
          <w:rFonts w:ascii="Times New Roman" w:hAnsi="Times New Roman"/>
          <w:sz w:val="24"/>
          <w:szCs w:val="24"/>
        </w:rPr>
        <w:t>Na outra ponta, a</w:t>
      </w:r>
      <w:r w:rsidRPr="00AC16DE">
        <w:rPr>
          <w:rFonts w:ascii="Times New Roman" w:hAnsi="Times New Roman"/>
          <w:sz w:val="24"/>
          <w:szCs w:val="24"/>
        </w:rPr>
        <w:t xml:space="preserve"> contenção das despesas de capital foi </w:t>
      </w:r>
      <w:r>
        <w:rPr>
          <w:rFonts w:ascii="Times New Roman" w:hAnsi="Times New Roman"/>
          <w:sz w:val="24"/>
          <w:szCs w:val="24"/>
        </w:rPr>
        <w:t xml:space="preserve">a </w:t>
      </w:r>
      <w:r w:rsidRPr="00AC16DE">
        <w:rPr>
          <w:rFonts w:ascii="Times New Roman" w:hAnsi="Times New Roman"/>
          <w:sz w:val="24"/>
          <w:szCs w:val="24"/>
        </w:rPr>
        <w:t>mais acentuada. No total, considerando os gastos com amortizações, inversões financeiras e investimento, a variação média foi negativa em 11% no último triênio. A queda dos gastos com amortizações se explica em função da renegociação das dívidas estaduais com a União e com o Banco Nacional de Desenvolvimento Econômico e Social (BNDES). As inversões financeiras se referem, grosso modo, a despesas orçamentárias com a aquisição de imóveis ou bens de capital já em utilização e aquisição de títulos representativos do capital de empresas ou entidades de qualquer espécie já constituídas. Elas também decresceram.</w:t>
      </w:r>
    </w:p>
    <w:p w14:paraId="12AA3697" w14:textId="77777777" w:rsidR="000E1E46" w:rsidRPr="00AC16DE" w:rsidRDefault="000E1E46" w:rsidP="004312BF">
      <w:pPr>
        <w:pStyle w:val="FJP-Tab-T"/>
        <w:rPr>
          <w:rFonts w:ascii="Times New Roman" w:hAnsi="Times New Roman"/>
          <w:sz w:val="24"/>
          <w:szCs w:val="24"/>
        </w:rPr>
      </w:pPr>
      <w:r w:rsidRPr="00AC16DE">
        <w:rPr>
          <w:rFonts w:ascii="Times New Roman" w:hAnsi="Times New Roman"/>
          <w:sz w:val="24"/>
          <w:szCs w:val="24"/>
        </w:rPr>
        <w:t>Tabela 7: Crescimento da Despesa Orçamentária por Grupo de Natureza, principais Grupos de Natureza, 2015-2017 – (%)</w:t>
      </w:r>
    </w:p>
    <w:tbl>
      <w:tblPr>
        <w:tblW w:w="9639" w:type="dxa"/>
        <w:tblCellMar>
          <w:left w:w="70" w:type="dxa"/>
          <w:right w:w="70" w:type="dxa"/>
        </w:tblCellMar>
        <w:tblLook w:val="04A0" w:firstRow="1" w:lastRow="0" w:firstColumn="1" w:lastColumn="0" w:noHBand="0" w:noVBand="1"/>
      </w:tblPr>
      <w:tblGrid>
        <w:gridCol w:w="2708"/>
        <w:gridCol w:w="1134"/>
        <w:gridCol w:w="85"/>
        <w:gridCol w:w="916"/>
        <w:gridCol w:w="224"/>
        <w:gridCol w:w="993"/>
        <w:gridCol w:w="146"/>
        <w:gridCol w:w="1476"/>
        <w:gridCol w:w="1836"/>
        <w:gridCol w:w="121"/>
      </w:tblGrid>
      <w:tr w:rsidR="000E1E46" w:rsidRPr="00AC16DE" w14:paraId="54C1A3DD" w14:textId="77777777" w:rsidTr="004312BF">
        <w:trPr>
          <w:gridAfter w:val="1"/>
          <w:wAfter w:w="103" w:type="dxa"/>
          <w:trHeight w:val="510"/>
        </w:trPr>
        <w:tc>
          <w:tcPr>
            <w:tcW w:w="2298" w:type="dxa"/>
            <w:tcBorders>
              <w:top w:val="single" w:sz="4" w:space="0" w:color="auto"/>
              <w:left w:val="nil"/>
              <w:bottom w:val="single" w:sz="4" w:space="0" w:color="auto"/>
              <w:right w:val="nil"/>
            </w:tcBorders>
            <w:shd w:val="clear" w:color="auto" w:fill="595959" w:themeFill="text1" w:themeFillTint="A6"/>
            <w:vAlign w:val="center"/>
            <w:hideMark/>
          </w:tcPr>
          <w:p w14:paraId="26FD060A"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Especificação</w:t>
            </w:r>
          </w:p>
        </w:tc>
        <w:tc>
          <w:tcPr>
            <w:tcW w:w="1035" w:type="dxa"/>
            <w:gridSpan w:val="2"/>
            <w:tcBorders>
              <w:top w:val="single" w:sz="4" w:space="0" w:color="auto"/>
              <w:left w:val="nil"/>
              <w:bottom w:val="single" w:sz="4" w:space="0" w:color="auto"/>
              <w:right w:val="nil"/>
            </w:tcBorders>
            <w:shd w:val="clear" w:color="auto" w:fill="595959" w:themeFill="text1" w:themeFillTint="A6"/>
            <w:vAlign w:val="center"/>
            <w:hideMark/>
          </w:tcPr>
          <w:p w14:paraId="53DD768A"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2015</w:t>
            </w:r>
          </w:p>
        </w:tc>
        <w:tc>
          <w:tcPr>
            <w:tcW w:w="968" w:type="dxa"/>
            <w:gridSpan w:val="2"/>
            <w:tcBorders>
              <w:top w:val="single" w:sz="4" w:space="0" w:color="auto"/>
              <w:left w:val="nil"/>
              <w:bottom w:val="single" w:sz="4" w:space="0" w:color="auto"/>
              <w:right w:val="nil"/>
            </w:tcBorders>
            <w:shd w:val="clear" w:color="auto" w:fill="595959" w:themeFill="text1" w:themeFillTint="A6"/>
            <w:vAlign w:val="center"/>
            <w:hideMark/>
          </w:tcPr>
          <w:p w14:paraId="72195BDB"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2016</w:t>
            </w:r>
          </w:p>
        </w:tc>
        <w:tc>
          <w:tcPr>
            <w:tcW w:w="843" w:type="dxa"/>
            <w:tcBorders>
              <w:top w:val="single" w:sz="4" w:space="0" w:color="auto"/>
              <w:left w:val="nil"/>
              <w:bottom w:val="single" w:sz="4" w:space="0" w:color="auto"/>
              <w:right w:val="nil"/>
            </w:tcBorders>
            <w:shd w:val="clear" w:color="auto" w:fill="595959" w:themeFill="text1" w:themeFillTint="A6"/>
            <w:vAlign w:val="center"/>
            <w:hideMark/>
          </w:tcPr>
          <w:p w14:paraId="51E5C496"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2017</w:t>
            </w:r>
          </w:p>
        </w:tc>
        <w:tc>
          <w:tcPr>
            <w:tcW w:w="1377" w:type="dxa"/>
            <w:gridSpan w:val="2"/>
            <w:tcBorders>
              <w:top w:val="single" w:sz="4" w:space="0" w:color="auto"/>
              <w:left w:val="nil"/>
              <w:bottom w:val="single" w:sz="4" w:space="0" w:color="auto"/>
              <w:right w:val="nil"/>
            </w:tcBorders>
            <w:shd w:val="clear" w:color="auto" w:fill="595959" w:themeFill="text1" w:themeFillTint="A6"/>
            <w:vAlign w:val="center"/>
            <w:hideMark/>
          </w:tcPr>
          <w:p w14:paraId="76B39B36"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Média do triênio</w:t>
            </w:r>
          </w:p>
          <w:p w14:paraId="635655F5"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(20015-2017)</w:t>
            </w:r>
          </w:p>
        </w:tc>
        <w:tc>
          <w:tcPr>
            <w:tcW w:w="1559" w:type="dxa"/>
            <w:tcBorders>
              <w:top w:val="single" w:sz="4" w:space="0" w:color="auto"/>
              <w:left w:val="nil"/>
              <w:bottom w:val="single" w:sz="4" w:space="0" w:color="auto"/>
              <w:right w:val="nil"/>
            </w:tcBorders>
            <w:shd w:val="clear" w:color="auto" w:fill="595959" w:themeFill="text1" w:themeFillTint="A6"/>
            <w:vAlign w:val="center"/>
            <w:hideMark/>
          </w:tcPr>
          <w:p w14:paraId="022C9537"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Média do período</w:t>
            </w:r>
          </w:p>
          <w:p w14:paraId="0365001A" w14:textId="77777777" w:rsidR="000E1E46" w:rsidRPr="00AC16DE" w:rsidRDefault="000E1E46" w:rsidP="004312BF">
            <w:pPr>
              <w:jc w:val="center"/>
              <w:rPr>
                <w:bCs/>
                <w:color w:val="FFFFFF" w:themeColor="background1"/>
                <w:sz w:val="16"/>
                <w:szCs w:val="16"/>
              </w:rPr>
            </w:pPr>
            <w:r w:rsidRPr="00AC16DE">
              <w:rPr>
                <w:bCs/>
                <w:color w:val="FFFFFF" w:themeColor="background1"/>
                <w:sz w:val="16"/>
                <w:szCs w:val="16"/>
              </w:rPr>
              <w:t>(2003-2017)</w:t>
            </w:r>
          </w:p>
        </w:tc>
      </w:tr>
      <w:tr w:rsidR="000E1E46" w:rsidRPr="00AC16DE" w14:paraId="6F98FA0C" w14:textId="77777777" w:rsidTr="004312BF">
        <w:trPr>
          <w:trHeight w:val="255"/>
        </w:trPr>
        <w:tc>
          <w:tcPr>
            <w:tcW w:w="2298" w:type="dxa"/>
            <w:noWrap/>
            <w:vAlign w:val="center"/>
            <w:hideMark/>
          </w:tcPr>
          <w:p w14:paraId="23B82B85" w14:textId="77777777" w:rsidR="000E1E46" w:rsidRPr="00AC16DE" w:rsidRDefault="000E1E46" w:rsidP="004312BF">
            <w:pPr>
              <w:rPr>
                <w:b/>
                <w:bCs/>
                <w:sz w:val="16"/>
                <w:szCs w:val="16"/>
              </w:rPr>
            </w:pPr>
            <w:r w:rsidRPr="00AC16DE">
              <w:rPr>
                <w:b/>
                <w:bCs/>
                <w:sz w:val="16"/>
                <w:szCs w:val="16"/>
              </w:rPr>
              <w:t>Despesas de Capital</w:t>
            </w:r>
          </w:p>
        </w:tc>
        <w:tc>
          <w:tcPr>
            <w:tcW w:w="963" w:type="dxa"/>
            <w:noWrap/>
            <w:vAlign w:val="center"/>
            <w:hideMark/>
          </w:tcPr>
          <w:p w14:paraId="6B6A5A7D" w14:textId="77777777" w:rsidR="000E1E46" w:rsidRPr="00AC16DE" w:rsidRDefault="000E1E46" w:rsidP="004312BF">
            <w:pPr>
              <w:jc w:val="center"/>
              <w:rPr>
                <w:b/>
                <w:bCs/>
                <w:sz w:val="16"/>
                <w:szCs w:val="16"/>
              </w:rPr>
            </w:pPr>
            <w:r w:rsidRPr="00AC16DE">
              <w:rPr>
                <w:b/>
                <w:bCs/>
                <w:sz w:val="16"/>
                <w:szCs w:val="16"/>
              </w:rPr>
              <w:t>(16,58)</w:t>
            </w:r>
          </w:p>
        </w:tc>
        <w:tc>
          <w:tcPr>
            <w:tcW w:w="850" w:type="dxa"/>
            <w:gridSpan w:val="2"/>
            <w:noWrap/>
            <w:vAlign w:val="center"/>
            <w:hideMark/>
          </w:tcPr>
          <w:p w14:paraId="6A1E710F" w14:textId="77777777" w:rsidR="000E1E46" w:rsidRPr="00AC16DE" w:rsidRDefault="000E1E46" w:rsidP="004312BF">
            <w:pPr>
              <w:jc w:val="center"/>
              <w:rPr>
                <w:b/>
                <w:bCs/>
                <w:sz w:val="16"/>
                <w:szCs w:val="16"/>
              </w:rPr>
            </w:pPr>
            <w:r w:rsidRPr="00AC16DE">
              <w:rPr>
                <w:b/>
                <w:bCs/>
                <w:sz w:val="16"/>
                <w:szCs w:val="16"/>
              </w:rPr>
              <w:t>(35,60)</w:t>
            </w:r>
          </w:p>
        </w:tc>
        <w:tc>
          <w:tcPr>
            <w:tcW w:w="1157" w:type="dxa"/>
            <w:gridSpan w:val="3"/>
            <w:noWrap/>
            <w:vAlign w:val="center"/>
            <w:hideMark/>
          </w:tcPr>
          <w:p w14:paraId="2CE42BD6" w14:textId="77777777" w:rsidR="000E1E46" w:rsidRPr="00AC16DE" w:rsidRDefault="000E1E46" w:rsidP="004312BF">
            <w:pPr>
              <w:jc w:val="center"/>
              <w:rPr>
                <w:b/>
                <w:bCs/>
                <w:sz w:val="16"/>
                <w:szCs w:val="16"/>
              </w:rPr>
            </w:pPr>
            <w:r w:rsidRPr="00AC16DE">
              <w:rPr>
                <w:b/>
                <w:bCs/>
                <w:sz w:val="16"/>
                <w:szCs w:val="16"/>
              </w:rPr>
              <w:t>17,13</w:t>
            </w:r>
          </w:p>
        </w:tc>
        <w:tc>
          <w:tcPr>
            <w:tcW w:w="1253" w:type="dxa"/>
            <w:vAlign w:val="center"/>
            <w:hideMark/>
          </w:tcPr>
          <w:p w14:paraId="48726CFC" w14:textId="77777777" w:rsidR="000E1E46" w:rsidRPr="00AC16DE" w:rsidRDefault="000E1E46" w:rsidP="004312BF">
            <w:pPr>
              <w:jc w:val="center"/>
              <w:rPr>
                <w:b/>
                <w:bCs/>
                <w:sz w:val="16"/>
                <w:szCs w:val="16"/>
              </w:rPr>
            </w:pPr>
            <w:r w:rsidRPr="00AC16DE">
              <w:rPr>
                <w:b/>
                <w:bCs/>
                <w:sz w:val="16"/>
                <w:szCs w:val="16"/>
              </w:rPr>
              <w:t>(-11,68)</w:t>
            </w:r>
          </w:p>
        </w:tc>
        <w:tc>
          <w:tcPr>
            <w:tcW w:w="1662" w:type="dxa"/>
            <w:gridSpan w:val="2"/>
            <w:noWrap/>
            <w:vAlign w:val="center"/>
            <w:hideMark/>
          </w:tcPr>
          <w:p w14:paraId="68CBDAE2" w14:textId="77777777" w:rsidR="000E1E46" w:rsidRPr="00AC16DE" w:rsidRDefault="000E1E46" w:rsidP="004312BF">
            <w:pPr>
              <w:jc w:val="center"/>
              <w:rPr>
                <w:b/>
                <w:bCs/>
                <w:sz w:val="16"/>
                <w:szCs w:val="16"/>
              </w:rPr>
            </w:pPr>
            <w:r w:rsidRPr="00AC16DE">
              <w:rPr>
                <w:b/>
                <w:bCs/>
                <w:sz w:val="16"/>
                <w:szCs w:val="16"/>
              </w:rPr>
              <w:t>10,81</w:t>
            </w:r>
          </w:p>
        </w:tc>
      </w:tr>
      <w:tr w:rsidR="000E1E46" w:rsidRPr="00AC16DE" w14:paraId="15BD3AA0" w14:textId="77777777" w:rsidTr="004312BF">
        <w:trPr>
          <w:trHeight w:val="255"/>
        </w:trPr>
        <w:tc>
          <w:tcPr>
            <w:tcW w:w="2298" w:type="dxa"/>
            <w:noWrap/>
            <w:vAlign w:val="center"/>
            <w:hideMark/>
          </w:tcPr>
          <w:p w14:paraId="5ABD986B" w14:textId="77777777" w:rsidR="000E1E46" w:rsidRPr="00AC16DE" w:rsidRDefault="000E1E46" w:rsidP="004312BF">
            <w:pPr>
              <w:rPr>
                <w:sz w:val="16"/>
                <w:szCs w:val="16"/>
              </w:rPr>
            </w:pPr>
            <w:r w:rsidRPr="00AC16DE">
              <w:rPr>
                <w:sz w:val="16"/>
                <w:szCs w:val="16"/>
              </w:rPr>
              <w:t>Investimentos</w:t>
            </w:r>
          </w:p>
        </w:tc>
        <w:tc>
          <w:tcPr>
            <w:tcW w:w="963" w:type="dxa"/>
            <w:noWrap/>
            <w:vAlign w:val="center"/>
            <w:hideMark/>
          </w:tcPr>
          <w:p w14:paraId="368D16AA" w14:textId="77777777" w:rsidR="000E1E46" w:rsidRPr="00AC16DE" w:rsidRDefault="000E1E46" w:rsidP="004312BF">
            <w:pPr>
              <w:jc w:val="center"/>
              <w:rPr>
                <w:sz w:val="16"/>
                <w:szCs w:val="16"/>
              </w:rPr>
            </w:pPr>
            <w:r w:rsidRPr="00AC16DE">
              <w:rPr>
                <w:sz w:val="16"/>
                <w:szCs w:val="16"/>
              </w:rPr>
              <w:t>(23,55)</w:t>
            </w:r>
          </w:p>
        </w:tc>
        <w:tc>
          <w:tcPr>
            <w:tcW w:w="850" w:type="dxa"/>
            <w:gridSpan w:val="2"/>
            <w:noWrap/>
            <w:vAlign w:val="center"/>
            <w:hideMark/>
          </w:tcPr>
          <w:p w14:paraId="5DAB50C5" w14:textId="77777777" w:rsidR="000E1E46" w:rsidRPr="00AC16DE" w:rsidRDefault="000E1E46" w:rsidP="004312BF">
            <w:pPr>
              <w:jc w:val="center"/>
              <w:rPr>
                <w:sz w:val="16"/>
                <w:szCs w:val="16"/>
              </w:rPr>
            </w:pPr>
            <w:r w:rsidRPr="00AC16DE">
              <w:rPr>
                <w:sz w:val="16"/>
                <w:szCs w:val="16"/>
              </w:rPr>
              <w:t>(13,09)</w:t>
            </w:r>
          </w:p>
        </w:tc>
        <w:tc>
          <w:tcPr>
            <w:tcW w:w="1157" w:type="dxa"/>
            <w:gridSpan w:val="3"/>
            <w:noWrap/>
            <w:vAlign w:val="center"/>
            <w:hideMark/>
          </w:tcPr>
          <w:p w14:paraId="10468DAE" w14:textId="77777777" w:rsidR="000E1E46" w:rsidRPr="00AC16DE" w:rsidRDefault="000E1E46" w:rsidP="004312BF">
            <w:pPr>
              <w:jc w:val="center"/>
              <w:rPr>
                <w:sz w:val="16"/>
                <w:szCs w:val="16"/>
              </w:rPr>
            </w:pPr>
            <w:r w:rsidRPr="00AC16DE">
              <w:rPr>
                <w:sz w:val="16"/>
                <w:szCs w:val="16"/>
              </w:rPr>
              <w:t>18,66</w:t>
            </w:r>
          </w:p>
        </w:tc>
        <w:tc>
          <w:tcPr>
            <w:tcW w:w="1253" w:type="dxa"/>
            <w:vAlign w:val="center"/>
            <w:hideMark/>
          </w:tcPr>
          <w:p w14:paraId="7DB60634" w14:textId="77777777" w:rsidR="000E1E46" w:rsidRPr="00AC16DE" w:rsidRDefault="000E1E46" w:rsidP="004312BF">
            <w:pPr>
              <w:jc w:val="center"/>
              <w:rPr>
                <w:sz w:val="16"/>
                <w:szCs w:val="16"/>
              </w:rPr>
            </w:pPr>
            <w:r w:rsidRPr="00AC16DE">
              <w:rPr>
                <w:sz w:val="16"/>
                <w:szCs w:val="16"/>
              </w:rPr>
              <w:t>(-5,99)</w:t>
            </w:r>
          </w:p>
        </w:tc>
        <w:tc>
          <w:tcPr>
            <w:tcW w:w="1662" w:type="dxa"/>
            <w:gridSpan w:val="2"/>
            <w:noWrap/>
            <w:vAlign w:val="center"/>
            <w:hideMark/>
          </w:tcPr>
          <w:p w14:paraId="4B18E95C" w14:textId="77777777" w:rsidR="000E1E46" w:rsidRPr="00AC16DE" w:rsidRDefault="000E1E46" w:rsidP="004312BF">
            <w:pPr>
              <w:jc w:val="center"/>
              <w:rPr>
                <w:sz w:val="16"/>
                <w:szCs w:val="16"/>
              </w:rPr>
            </w:pPr>
            <w:r w:rsidRPr="00AC16DE">
              <w:rPr>
                <w:sz w:val="16"/>
                <w:szCs w:val="16"/>
              </w:rPr>
              <w:t>14,35</w:t>
            </w:r>
          </w:p>
        </w:tc>
      </w:tr>
      <w:tr w:rsidR="000E1E46" w:rsidRPr="00AC16DE" w14:paraId="7FFDE231" w14:textId="77777777" w:rsidTr="004312BF">
        <w:trPr>
          <w:trHeight w:val="255"/>
        </w:trPr>
        <w:tc>
          <w:tcPr>
            <w:tcW w:w="2298" w:type="dxa"/>
            <w:noWrap/>
            <w:vAlign w:val="center"/>
            <w:hideMark/>
          </w:tcPr>
          <w:p w14:paraId="177EDB8D" w14:textId="77777777" w:rsidR="000E1E46" w:rsidRPr="00AC16DE" w:rsidRDefault="000E1E46" w:rsidP="004312BF">
            <w:pPr>
              <w:rPr>
                <w:b/>
                <w:bCs/>
                <w:sz w:val="16"/>
                <w:szCs w:val="16"/>
              </w:rPr>
            </w:pPr>
            <w:r w:rsidRPr="00AC16DE">
              <w:rPr>
                <w:b/>
                <w:bCs/>
                <w:sz w:val="16"/>
                <w:szCs w:val="16"/>
              </w:rPr>
              <w:t>Despesas Correntes</w:t>
            </w:r>
          </w:p>
        </w:tc>
        <w:tc>
          <w:tcPr>
            <w:tcW w:w="963" w:type="dxa"/>
            <w:noWrap/>
            <w:vAlign w:val="center"/>
            <w:hideMark/>
          </w:tcPr>
          <w:p w14:paraId="78B97860" w14:textId="77777777" w:rsidR="000E1E46" w:rsidRPr="00AC16DE" w:rsidRDefault="000E1E46" w:rsidP="004312BF">
            <w:pPr>
              <w:jc w:val="center"/>
              <w:rPr>
                <w:b/>
                <w:bCs/>
                <w:sz w:val="16"/>
                <w:szCs w:val="16"/>
              </w:rPr>
            </w:pPr>
            <w:r w:rsidRPr="00AC16DE">
              <w:rPr>
                <w:b/>
                <w:bCs/>
                <w:sz w:val="16"/>
                <w:szCs w:val="16"/>
              </w:rPr>
              <w:t>16,45</w:t>
            </w:r>
          </w:p>
        </w:tc>
        <w:tc>
          <w:tcPr>
            <w:tcW w:w="850" w:type="dxa"/>
            <w:gridSpan w:val="2"/>
            <w:noWrap/>
            <w:vAlign w:val="center"/>
            <w:hideMark/>
          </w:tcPr>
          <w:p w14:paraId="7E4BF800" w14:textId="77777777" w:rsidR="000E1E46" w:rsidRPr="00AC16DE" w:rsidRDefault="000E1E46" w:rsidP="004312BF">
            <w:pPr>
              <w:jc w:val="center"/>
              <w:rPr>
                <w:b/>
                <w:bCs/>
                <w:sz w:val="16"/>
                <w:szCs w:val="16"/>
              </w:rPr>
            </w:pPr>
            <w:r w:rsidRPr="00AC16DE">
              <w:rPr>
                <w:b/>
                <w:bCs/>
                <w:sz w:val="16"/>
                <w:szCs w:val="16"/>
              </w:rPr>
              <w:t>7,11</w:t>
            </w:r>
          </w:p>
        </w:tc>
        <w:tc>
          <w:tcPr>
            <w:tcW w:w="1157" w:type="dxa"/>
            <w:gridSpan w:val="3"/>
            <w:noWrap/>
            <w:vAlign w:val="center"/>
            <w:hideMark/>
          </w:tcPr>
          <w:p w14:paraId="43762564" w14:textId="77777777" w:rsidR="000E1E46" w:rsidRPr="00AC16DE" w:rsidRDefault="000E1E46" w:rsidP="004312BF">
            <w:pPr>
              <w:jc w:val="center"/>
              <w:rPr>
                <w:b/>
                <w:bCs/>
                <w:sz w:val="16"/>
                <w:szCs w:val="16"/>
              </w:rPr>
            </w:pPr>
            <w:r w:rsidRPr="00AC16DE">
              <w:rPr>
                <w:b/>
                <w:bCs/>
                <w:sz w:val="16"/>
                <w:szCs w:val="16"/>
              </w:rPr>
              <w:t>11,34</w:t>
            </w:r>
          </w:p>
        </w:tc>
        <w:tc>
          <w:tcPr>
            <w:tcW w:w="1253" w:type="dxa"/>
            <w:vAlign w:val="center"/>
            <w:hideMark/>
          </w:tcPr>
          <w:p w14:paraId="26853DE1" w14:textId="77777777" w:rsidR="000E1E46" w:rsidRPr="00AC16DE" w:rsidRDefault="000E1E46" w:rsidP="004312BF">
            <w:pPr>
              <w:jc w:val="center"/>
              <w:rPr>
                <w:b/>
                <w:bCs/>
                <w:sz w:val="16"/>
                <w:szCs w:val="16"/>
              </w:rPr>
            </w:pPr>
            <w:r w:rsidRPr="00AC16DE">
              <w:rPr>
                <w:b/>
                <w:bCs/>
                <w:sz w:val="16"/>
                <w:szCs w:val="16"/>
              </w:rPr>
              <w:t>11,63</w:t>
            </w:r>
          </w:p>
        </w:tc>
        <w:tc>
          <w:tcPr>
            <w:tcW w:w="1662" w:type="dxa"/>
            <w:gridSpan w:val="2"/>
            <w:noWrap/>
            <w:vAlign w:val="center"/>
            <w:hideMark/>
          </w:tcPr>
          <w:p w14:paraId="60A39E54" w14:textId="77777777" w:rsidR="000E1E46" w:rsidRPr="00AC16DE" w:rsidRDefault="000E1E46" w:rsidP="004312BF">
            <w:pPr>
              <w:jc w:val="center"/>
              <w:rPr>
                <w:b/>
                <w:bCs/>
                <w:sz w:val="16"/>
                <w:szCs w:val="16"/>
              </w:rPr>
            </w:pPr>
            <w:r w:rsidRPr="00AC16DE">
              <w:rPr>
                <w:b/>
                <w:bCs/>
                <w:sz w:val="16"/>
                <w:szCs w:val="16"/>
              </w:rPr>
              <w:t>11,90</w:t>
            </w:r>
          </w:p>
        </w:tc>
      </w:tr>
      <w:tr w:rsidR="000E1E46" w:rsidRPr="00AC16DE" w14:paraId="49AE3220" w14:textId="77777777" w:rsidTr="004312BF">
        <w:trPr>
          <w:trHeight w:val="255"/>
        </w:trPr>
        <w:tc>
          <w:tcPr>
            <w:tcW w:w="2298" w:type="dxa"/>
            <w:noWrap/>
            <w:vAlign w:val="center"/>
            <w:hideMark/>
          </w:tcPr>
          <w:p w14:paraId="49DB5E4C" w14:textId="77777777" w:rsidR="000E1E46" w:rsidRPr="00AC16DE" w:rsidRDefault="000E1E46" w:rsidP="004312BF">
            <w:pPr>
              <w:rPr>
                <w:sz w:val="16"/>
                <w:szCs w:val="16"/>
              </w:rPr>
            </w:pPr>
            <w:r w:rsidRPr="00AC16DE">
              <w:rPr>
                <w:sz w:val="16"/>
                <w:szCs w:val="16"/>
              </w:rPr>
              <w:t>Outras despesas correntes</w:t>
            </w:r>
          </w:p>
        </w:tc>
        <w:tc>
          <w:tcPr>
            <w:tcW w:w="963" w:type="dxa"/>
            <w:noWrap/>
            <w:vAlign w:val="center"/>
            <w:hideMark/>
          </w:tcPr>
          <w:p w14:paraId="7FBD640B" w14:textId="77777777" w:rsidR="000E1E46" w:rsidRPr="00AC16DE" w:rsidRDefault="000E1E46" w:rsidP="004312BF">
            <w:pPr>
              <w:jc w:val="center"/>
              <w:rPr>
                <w:sz w:val="16"/>
                <w:szCs w:val="16"/>
              </w:rPr>
            </w:pPr>
            <w:r w:rsidRPr="00AC16DE">
              <w:rPr>
                <w:sz w:val="16"/>
                <w:szCs w:val="16"/>
              </w:rPr>
              <w:t>13,30</w:t>
            </w:r>
          </w:p>
        </w:tc>
        <w:tc>
          <w:tcPr>
            <w:tcW w:w="850" w:type="dxa"/>
            <w:gridSpan w:val="2"/>
            <w:noWrap/>
            <w:vAlign w:val="center"/>
            <w:hideMark/>
          </w:tcPr>
          <w:p w14:paraId="1FB4036B" w14:textId="77777777" w:rsidR="000E1E46" w:rsidRPr="00AC16DE" w:rsidRDefault="000E1E46" w:rsidP="004312BF">
            <w:pPr>
              <w:jc w:val="center"/>
              <w:rPr>
                <w:sz w:val="16"/>
                <w:szCs w:val="16"/>
              </w:rPr>
            </w:pPr>
            <w:r w:rsidRPr="00AC16DE">
              <w:rPr>
                <w:sz w:val="16"/>
                <w:szCs w:val="16"/>
              </w:rPr>
              <w:t>12,72</w:t>
            </w:r>
          </w:p>
        </w:tc>
        <w:tc>
          <w:tcPr>
            <w:tcW w:w="1157" w:type="dxa"/>
            <w:gridSpan w:val="3"/>
            <w:noWrap/>
            <w:vAlign w:val="center"/>
            <w:hideMark/>
          </w:tcPr>
          <w:p w14:paraId="57F3D871" w14:textId="77777777" w:rsidR="000E1E46" w:rsidRPr="00AC16DE" w:rsidRDefault="000E1E46" w:rsidP="004312BF">
            <w:pPr>
              <w:jc w:val="center"/>
              <w:rPr>
                <w:sz w:val="16"/>
                <w:szCs w:val="16"/>
              </w:rPr>
            </w:pPr>
            <w:r w:rsidRPr="00AC16DE">
              <w:rPr>
                <w:sz w:val="16"/>
                <w:szCs w:val="16"/>
              </w:rPr>
              <w:t>13,98</w:t>
            </w:r>
          </w:p>
        </w:tc>
        <w:tc>
          <w:tcPr>
            <w:tcW w:w="1253" w:type="dxa"/>
            <w:vAlign w:val="center"/>
            <w:hideMark/>
          </w:tcPr>
          <w:p w14:paraId="40C34636" w14:textId="77777777" w:rsidR="000E1E46" w:rsidRPr="00AC16DE" w:rsidRDefault="000E1E46" w:rsidP="004312BF">
            <w:pPr>
              <w:jc w:val="center"/>
              <w:rPr>
                <w:sz w:val="16"/>
                <w:szCs w:val="16"/>
              </w:rPr>
            </w:pPr>
            <w:r w:rsidRPr="00AC16DE">
              <w:rPr>
                <w:sz w:val="16"/>
                <w:szCs w:val="16"/>
              </w:rPr>
              <w:t>13,34</w:t>
            </w:r>
          </w:p>
        </w:tc>
        <w:tc>
          <w:tcPr>
            <w:tcW w:w="1662" w:type="dxa"/>
            <w:gridSpan w:val="2"/>
            <w:noWrap/>
            <w:vAlign w:val="center"/>
            <w:hideMark/>
          </w:tcPr>
          <w:p w14:paraId="1E695352" w14:textId="77777777" w:rsidR="000E1E46" w:rsidRPr="00AC16DE" w:rsidRDefault="000E1E46" w:rsidP="004312BF">
            <w:pPr>
              <w:jc w:val="center"/>
              <w:rPr>
                <w:sz w:val="16"/>
                <w:szCs w:val="16"/>
              </w:rPr>
            </w:pPr>
            <w:r w:rsidRPr="00AC16DE">
              <w:rPr>
                <w:sz w:val="16"/>
                <w:szCs w:val="16"/>
              </w:rPr>
              <w:t>12,22</w:t>
            </w:r>
          </w:p>
        </w:tc>
      </w:tr>
      <w:tr w:rsidR="000E1E46" w:rsidRPr="00AC16DE" w14:paraId="66BE19C2" w14:textId="77777777" w:rsidTr="004312BF">
        <w:trPr>
          <w:trHeight w:val="255"/>
        </w:trPr>
        <w:tc>
          <w:tcPr>
            <w:tcW w:w="2298" w:type="dxa"/>
            <w:noWrap/>
            <w:vAlign w:val="center"/>
            <w:hideMark/>
          </w:tcPr>
          <w:p w14:paraId="3AC5DE73" w14:textId="77777777" w:rsidR="000E1E46" w:rsidRPr="00AC16DE" w:rsidRDefault="000E1E46" w:rsidP="004312BF">
            <w:pPr>
              <w:rPr>
                <w:sz w:val="16"/>
                <w:szCs w:val="16"/>
              </w:rPr>
            </w:pPr>
            <w:r w:rsidRPr="00AC16DE">
              <w:rPr>
                <w:sz w:val="16"/>
                <w:szCs w:val="16"/>
              </w:rPr>
              <w:t>Pessoal e encargos sociais</w:t>
            </w:r>
          </w:p>
        </w:tc>
        <w:tc>
          <w:tcPr>
            <w:tcW w:w="963" w:type="dxa"/>
            <w:noWrap/>
            <w:vAlign w:val="center"/>
            <w:hideMark/>
          </w:tcPr>
          <w:p w14:paraId="53F3C009" w14:textId="77777777" w:rsidR="000E1E46" w:rsidRPr="00AC16DE" w:rsidRDefault="000E1E46" w:rsidP="004312BF">
            <w:pPr>
              <w:jc w:val="center"/>
              <w:rPr>
                <w:sz w:val="16"/>
                <w:szCs w:val="16"/>
              </w:rPr>
            </w:pPr>
            <w:r w:rsidRPr="00AC16DE">
              <w:rPr>
                <w:sz w:val="16"/>
                <w:szCs w:val="16"/>
              </w:rPr>
              <w:t>18,82</w:t>
            </w:r>
          </w:p>
        </w:tc>
        <w:tc>
          <w:tcPr>
            <w:tcW w:w="850" w:type="dxa"/>
            <w:gridSpan w:val="2"/>
            <w:noWrap/>
            <w:vAlign w:val="center"/>
            <w:hideMark/>
          </w:tcPr>
          <w:p w14:paraId="491B0671" w14:textId="77777777" w:rsidR="000E1E46" w:rsidRPr="00AC16DE" w:rsidRDefault="000E1E46" w:rsidP="004312BF">
            <w:pPr>
              <w:jc w:val="center"/>
              <w:rPr>
                <w:sz w:val="16"/>
                <w:szCs w:val="16"/>
              </w:rPr>
            </w:pPr>
            <w:r w:rsidRPr="00AC16DE">
              <w:rPr>
                <w:sz w:val="16"/>
                <w:szCs w:val="16"/>
              </w:rPr>
              <w:t>8,03</w:t>
            </w:r>
          </w:p>
        </w:tc>
        <w:tc>
          <w:tcPr>
            <w:tcW w:w="1157" w:type="dxa"/>
            <w:gridSpan w:val="3"/>
            <w:noWrap/>
            <w:vAlign w:val="center"/>
            <w:hideMark/>
          </w:tcPr>
          <w:p w14:paraId="2CD2E97B" w14:textId="77777777" w:rsidR="000E1E46" w:rsidRPr="00AC16DE" w:rsidRDefault="000E1E46" w:rsidP="004312BF">
            <w:pPr>
              <w:jc w:val="center"/>
              <w:rPr>
                <w:sz w:val="16"/>
                <w:szCs w:val="16"/>
              </w:rPr>
            </w:pPr>
            <w:r w:rsidRPr="00AC16DE">
              <w:rPr>
                <w:sz w:val="16"/>
                <w:szCs w:val="16"/>
              </w:rPr>
              <w:t>6,66</w:t>
            </w:r>
          </w:p>
        </w:tc>
        <w:tc>
          <w:tcPr>
            <w:tcW w:w="1253" w:type="dxa"/>
            <w:vAlign w:val="center"/>
            <w:hideMark/>
          </w:tcPr>
          <w:p w14:paraId="3253D1A7" w14:textId="77777777" w:rsidR="000E1E46" w:rsidRPr="00AC16DE" w:rsidRDefault="000E1E46" w:rsidP="004312BF">
            <w:pPr>
              <w:jc w:val="center"/>
              <w:rPr>
                <w:sz w:val="16"/>
                <w:szCs w:val="16"/>
              </w:rPr>
            </w:pPr>
            <w:r w:rsidRPr="00AC16DE">
              <w:rPr>
                <w:sz w:val="16"/>
                <w:szCs w:val="16"/>
              </w:rPr>
              <w:t>11,17</w:t>
            </w:r>
          </w:p>
        </w:tc>
        <w:tc>
          <w:tcPr>
            <w:tcW w:w="1662" w:type="dxa"/>
            <w:gridSpan w:val="2"/>
            <w:noWrap/>
            <w:vAlign w:val="center"/>
            <w:hideMark/>
          </w:tcPr>
          <w:p w14:paraId="549EAF76" w14:textId="77777777" w:rsidR="000E1E46" w:rsidRPr="00AC16DE" w:rsidRDefault="000E1E46" w:rsidP="004312BF">
            <w:pPr>
              <w:jc w:val="center"/>
              <w:rPr>
                <w:sz w:val="16"/>
                <w:szCs w:val="16"/>
              </w:rPr>
            </w:pPr>
            <w:r w:rsidRPr="00AC16DE">
              <w:rPr>
                <w:sz w:val="16"/>
                <w:szCs w:val="16"/>
              </w:rPr>
              <w:t>12,25</w:t>
            </w:r>
          </w:p>
        </w:tc>
      </w:tr>
      <w:tr w:rsidR="000E1E46" w:rsidRPr="00AC16DE" w14:paraId="29FDBE41" w14:textId="77777777" w:rsidTr="004312BF">
        <w:trPr>
          <w:trHeight w:val="255"/>
        </w:trPr>
        <w:tc>
          <w:tcPr>
            <w:tcW w:w="2298" w:type="dxa"/>
            <w:tcBorders>
              <w:top w:val="single" w:sz="4" w:space="0" w:color="auto"/>
              <w:left w:val="nil"/>
              <w:bottom w:val="single" w:sz="4" w:space="0" w:color="auto"/>
              <w:right w:val="nil"/>
            </w:tcBorders>
            <w:noWrap/>
            <w:vAlign w:val="center"/>
            <w:hideMark/>
          </w:tcPr>
          <w:p w14:paraId="25EF03CA" w14:textId="77777777" w:rsidR="000E1E46" w:rsidRPr="00AC16DE" w:rsidRDefault="000E1E46" w:rsidP="004312BF">
            <w:pPr>
              <w:rPr>
                <w:b/>
                <w:bCs/>
                <w:sz w:val="16"/>
                <w:szCs w:val="16"/>
              </w:rPr>
            </w:pPr>
            <w:r w:rsidRPr="00AC16DE">
              <w:rPr>
                <w:b/>
                <w:bCs/>
                <w:sz w:val="16"/>
                <w:szCs w:val="16"/>
              </w:rPr>
              <w:t>Total Geral</w:t>
            </w:r>
          </w:p>
        </w:tc>
        <w:tc>
          <w:tcPr>
            <w:tcW w:w="963" w:type="dxa"/>
            <w:tcBorders>
              <w:top w:val="single" w:sz="4" w:space="0" w:color="auto"/>
              <w:left w:val="nil"/>
              <w:bottom w:val="single" w:sz="4" w:space="0" w:color="auto"/>
              <w:right w:val="nil"/>
            </w:tcBorders>
            <w:noWrap/>
            <w:vAlign w:val="center"/>
            <w:hideMark/>
          </w:tcPr>
          <w:p w14:paraId="5D712DD4" w14:textId="77777777" w:rsidR="000E1E46" w:rsidRPr="00AC16DE" w:rsidRDefault="000E1E46" w:rsidP="004312BF">
            <w:pPr>
              <w:jc w:val="center"/>
              <w:rPr>
                <w:b/>
                <w:bCs/>
                <w:sz w:val="16"/>
                <w:szCs w:val="16"/>
              </w:rPr>
            </w:pPr>
            <w:r w:rsidRPr="00AC16DE">
              <w:rPr>
                <w:b/>
                <w:bCs/>
                <w:sz w:val="16"/>
                <w:szCs w:val="16"/>
              </w:rPr>
              <w:t>12,72</w:t>
            </w:r>
          </w:p>
        </w:tc>
        <w:tc>
          <w:tcPr>
            <w:tcW w:w="850" w:type="dxa"/>
            <w:gridSpan w:val="2"/>
            <w:tcBorders>
              <w:top w:val="single" w:sz="4" w:space="0" w:color="auto"/>
              <w:left w:val="nil"/>
              <w:bottom w:val="single" w:sz="4" w:space="0" w:color="auto"/>
              <w:right w:val="nil"/>
            </w:tcBorders>
            <w:noWrap/>
            <w:vAlign w:val="center"/>
            <w:hideMark/>
          </w:tcPr>
          <w:p w14:paraId="59F808DD" w14:textId="77777777" w:rsidR="000E1E46" w:rsidRPr="00AC16DE" w:rsidRDefault="000E1E46" w:rsidP="004312BF">
            <w:pPr>
              <w:jc w:val="center"/>
              <w:rPr>
                <w:b/>
                <w:bCs/>
                <w:sz w:val="16"/>
                <w:szCs w:val="16"/>
              </w:rPr>
            </w:pPr>
            <w:r w:rsidRPr="00AC16DE">
              <w:rPr>
                <w:b/>
                <w:bCs/>
                <w:sz w:val="16"/>
                <w:szCs w:val="16"/>
              </w:rPr>
              <w:t>3,54</w:t>
            </w:r>
          </w:p>
        </w:tc>
        <w:tc>
          <w:tcPr>
            <w:tcW w:w="1157" w:type="dxa"/>
            <w:gridSpan w:val="3"/>
            <w:tcBorders>
              <w:top w:val="single" w:sz="4" w:space="0" w:color="auto"/>
              <w:left w:val="nil"/>
              <w:bottom w:val="single" w:sz="4" w:space="0" w:color="auto"/>
              <w:right w:val="nil"/>
            </w:tcBorders>
            <w:noWrap/>
            <w:vAlign w:val="center"/>
            <w:hideMark/>
          </w:tcPr>
          <w:p w14:paraId="1B78E0E0" w14:textId="77777777" w:rsidR="000E1E46" w:rsidRPr="00AC16DE" w:rsidRDefault="000E1E46" w:rsidP="004312BF">
            <w:pPr>
              <w:jc w:val="center"/>
              <w:rPr>
                <w:b/>
                <w:bCs/>
                <w:sz w:val="16"/>
                <w:szCs w:val="16"/>
              </w:rPr>
            </w:pPr>
            <w:r w:rsidRPr="00AC16DE">
              <w:rPr>
                <w:b/>
                <w:bCs/>
                <w:sz w:val="16"/>
                <w:szCs w:val="16"/>
              </w:rPr>
              <w:t>11,64</w:t>
            </w:r>
          </w:p>
        </w:tc>
        <w:tc>
          <w:tcPr>
            <w:tcW w:w="1253" w:type="dxa"/>
            <w:tcBorders>
              <w:top w:val="single" w:sz="4" w:space="0" w:color="auto"/>
              <w:left w:val="nil"/>
              <w:bottom w:val="single" w:sz="4" w:space="0" w:color="auto"/>
              <w:right w:val="nil"/>
            </w:tcBorders>
            <w:vAlign w:val="center"/>
            <w:hideMark/>
          </w:tcPr>
          <w:p w14:paraId="0757BC02" w14:textId="77777777" w:rsidR="000E1E46" w:rsidRPr="00AC16DE" w:rsidRDefault="000E1E46" w:rsidP="004312BF">
            <w:pPr>
              <w:jc w:val="center"/>
              <w:rPr>
                <w:b/>
                <w:bCs/>
                <w:sz w:val="16"/>
                <w:szCs w:val="16"/>
              </w:rPr>
            </w:pPr>
            <w:r w:rsidRPr="00AC16DE">
              <w:rPr>
                <w:b/>
                <w:bCs/>
                <w:sz w:val="16"/>
                <w:szCs w:val="16"/>
              </w:rPr>
              <w:t>9,30</w:t>
            </w:r>
          </w:p>
        </w:tc>
        <w:tc>
          <w:tcPr>
            <w:tcW w:w="1662" w:type="dxa"/>
            <w:gridSpan w:val="2"/>
            <w:tcBorders>
              <w:top w:val="single" w:sz="4" w:space="0" w:color="auto"/>
              <w:left w:val="nil"/>
              <w:bottom w:val="single" w:sz="4" w:space="0" w:color="auto"/>
              <w:right w:val="nil"/>
            </w:tcBorders>
            <w:noWrap/>
            <w:vAlign w:val="center"/>
            <w:hideMark/>
          </w:tcPr>
          <w:p w14:paraId="4BD448E8" w14:textId="77777777" w:rsidR="000E1E46" w:rsidRPr="00AC16DE" w:rsidRDefault="000E1E46" w:rsidP="004312BF">
            <w:pPr>
              <w:jc w:val="center"/>
              <w:rPr>
                <w:b/>
                <w:bCs/>
                <w:sz w:val="16"/>
                <w:szCs w:val="16"/>
              </w:rPr>
            </w:pPr>
            <w:r w:rsidRPr="00AC16DE">
              <w:rPr>
                <w:b/>
                <w:bCs/>
                <w:sz w:val="16"/>
                <w:szCs w:val="16"/>
              </w:rPr>
              <w:t>11,82</w:t>
            </w:r>
          </w:p>
        </w:tc>
      </w:tr>
      <w:tr w:rsidR="000E1E46" w:rsidRPr="00AC16DE" w14:paraId="58F71206" w14:textId="77777777" w:rsidTr="004312BF">
        <w:trPr>
          <w:trHeight w:val="255"/>
        </w:trPr>
        <w:tc>
          <w:tcPr>
            <w:tcW w:w="2298" w:type="dxa"/>
            <w:tcBorders>
              <w:top w:val="single" w:sz="4" w:space="0" w:color="auto"/>
              <w:left w:val="nil"/>
              <w:bottom w:val="single" w:sz="6" w:space="0" w:color="C00000"/>
              <w:right w:val="nil"/>
            </w:tcBorders>
            <w:noWrap/>
            <w:vAlign w:val="center"/>
            <w:hideMark/>
          </w:tcPr>
          <w:p w14:paraId="06789284" w14:textId="77777777" w:rsidR="000E1E46" w:rsidRPr="00AC16DE" w:rsidRDefault="000E1E46" w:rsidP="004312BF">
            <w:pPr>
              <w:rPr>
                <w:b/>
                <w:bCs/>
                <w:sz w:val="16"/>
                <w:szCs w:val="16"/>
              </w:rPr>
            </w:pPr>
            <w:r w:rsidRPr="00AC16DE">
              <w:rPr>
                <w:b/>
                <w:bCs/>
                <w:sz w:val="16"/>
                <w:szCs w:val="16"/>
              </w:rPr>
              <w:t>Média da Inflação (IPCA)</w:t>
            </w:r>
          </w:p>
        </w:tc>
        <w:tc>
          <w:tcPr>
            <w:tcW w:w="963" w:type="dxa"/>
            <w:tcBorders>
              <w:top w:val="single" w:sz="4" w:space="0" w:color="auto"/>
              <w:left w:val="nil"/>
              <w:bottom w:val="single" w:sz="6" w:space="0" w:color="C00000"/>
              <w:right w:val="nil"/>
            </w:tcBorders>
            <w:noWrap/>
            <w:vAlign w:val="center"/>
            <w:hideMark/>
          </w:tcPr>
          <w:p w14:paraId="5A998FB1" w14:textId="77777777" w:rsidR="000E1E46" w:rsidRPr="00AC16DE" w:rsidRDefault="000E1E46" w:rsidP="004312BF">
            <w:pPr>
              <w:jc w:val="center"/>
              <w:rPr>
                <w:b/>
                <w:bCs/>
                <w:sz w:val="16"/>
                <w:szCs w:val="16"/>
              </w:rPr>
            </w:pPr>
            <w:r w:rsidRPr="00AC16DE">
              <w:rPr>
                <w:b/>
                <w:bCs/>
                <w:sz w:val="16"/>
                <w:szCs w:val="16"/>
              </w:rPr>
              <w:t>10,67</w:t>
            </w:r>
          </w:p>
        </w:tc>
        <w:tc>
          <w:tcPr>
            <w:tcW w:w="850" w:type="dxa"/>
            <w:gridSpan w:val="2"/>
            <w:tcBorders>
              <w:top w:val="single" w:sz="4" w:space="0" w:color="auto"/>
              <w:left w:val="nil"/>
              <w:bottom w:val="single" w:sz="6" w:space="0" w:color="C00000"/>
              <w:right w:val="nil"/>
            </w:tcBorders>
            <w:noWrap/>
            <w:vAlign w:val="center"/>
            <w:hideMark/>
          </w:tcPr>
          <w:p w14:paraId="502A6CEA" w14:textId="77777777" w:rsidR="000E1E46" w:rsidRPr="00AC16DE" w:rsidRDefault="000E1E46" w:rsidP="004312BF">
            <w:pPr>
              <w:jc w:val="center"/>
              <w:rPr>
                <w:b/>
                <w:bCs/>
                <w:sz w:val="16"/>
                <w:szCs w:val="16"/>
              </w:rPr>
            </w:pPr>
            <w:r w:rsidRPr="00AC16DE">
              <w:rPr>
                <w:b/>
                <w:bCs/>
                <w:sz w:val="16"/>
                <w:szCs w:val="16"/>
              </w:rPr>
              <w:t>6,29</w:t>
            </w:r>
          </w:p>
        </w:tc>
        <w:tc>
          <w:tcPr>
            <w:tcW w:w="1157" w:type="dxa"/>
            <w:gridSpan w:val="3"/>
            <w:tcBorders>
              <w:top w:val="single" w:sz="4" w:space="0" w:color="auto"/>
              <w:left w:val="nil"/>
              <w:bottom w:val="single" w:sz="6" w:space="0" w:color="C00000"/>
              <w:right w:val="nil"/>
            </w:tcBorders>
            <w:noWrap/>
            <w:vAlign w:val="center"/>
            <w:hideMark/>
          </w:tcPr>
          <w:p w14:paraId="06A13144" w14:textId="77777777" w:rsidR="000E1E46" w:rsidRPr="00AC16DE" w:rsidRDefault="000E1E46" w:rsidP="004312BF">
            <w:pPr>
              <w:jc w:val="center"/>
              <w:rPr>
                <w:b/>
                <w:bCs/>
                <w:sz w:val="16"/>
                <w:szCs w:val="16"/>
              </w:rPr>
            </w:pPr>
            <w:r w:rsidRPr="00AC16DE">
              <w:rPr>
                <w:b/>
                <w:bCs/>
                <w:sz w:val="16"/>
                <w:szCs w:val="16"/>
              </w:rPr>
              <w:t>2,95</w:t>
            </w:r>
          </w:p>
        </w:tc>
        <w:tc>
          <w:tcPr>
            <w:tcW w:w="1253" w:type="dxa"/>
            <w:tcBorders>
              <w:top w:val="single" w:sz="4" w:space="0" w:color="auto"/>
              <w:left w:val="nil"/>
              <w:bottom w:val="single" w:sz="6" w:space="0" w:color="C00000"/>
              <w:right w:val="nil"/>
            </w:tcBorders>
            <w:vAlign w:val="center"/>
            <w:hideMark/>
          </w:tcPr>
          <w:p w14:paraId="70EBB286" w14:textId="77777777" w:rsidR="000E1E46" w:rsidRPr="00AC16DE" w:rsidRDefault="000E1E46" w:rsidP="004312BF">
            <w:pPr>
              <w:jc w:val="center"/>
              <w:rPr>
                <w:b/>
                <w:bCs/>
                <w:sz w:val="16"/>
                <w:szCs w:val="16"/>
              </w:rPr>
            </w:pPr>
            <w:r w:rsidRPr="00AC16DE">
              <w:rPr>
                <w:b/>
                <w:bCs/>
                <w:sz w:val="16"/>
                <w:szCs w:val="16"/>
              </w:rPr>
              <w:t>6,64</w:t>
            </w:r>
          </w:p>
        </w:tc>
        <w:tc>
          <w:tcPr>
            <w:tcW w:w="1662" w:type="dxa"/>
            <w:gridSpan w:val="2"/>
            <w:tcBorders>
              <w:top w:val="single" w:sz="4" w:space="0" w:color="auto"/>
              <w:left w:val="nil"/>
              <w:bottom w:val="single" w:sz="6" w:space="0" w:color="C00000"/>
              <w:right w:val="nil"/>
            </w:tcBorders>
            <w:noWrap/>
            <w:vAlign w:val="center"/>
            <w:hideMark/>
          </w:tcPr>
          <w:p w14:paraId="1D2CC10F" w14:textId="77777777" w:rsidR="000E1E46" w:rsidRPr="00AC16DE" w:rsidRDefault="000E1E46" w:rsidP="004312BF">
            <w:pPr>
              <w:jc w:val="center"/>
              <w:rPr>
                <w:b/>
                <w:bCs/>
                <w:sz w:val="16"/>
                <w:szCs w:val="16"/>
              </w:rPr>
            </w:pPr>
            <w:r w:rsidRPr="00AC16DE">
              <w:rPr>
                <w:b/>
                <w:bCs/>
                <w:sz w:val="16"/>
                <w:szCs w:val="16"/>
              </w:rPr>
              <w:t>6,06</w:t>
            </w:r>
          </w:p>
        </w:tc>
      </w:tr>
    </w:tbl>
    <w:p w14:paraId="197B4527" w14:textId="77777777" w:rsidR="000E1E46" w:rsidRPr="00AC16DE" w:rsidRDefault="000E1E46" w:rsidP="004312BF">
      <w:pPr>
        <w:pStyle w:val="FJP-Fonte"/>
        <w:rPr>
          <w:rFonts w:ascii="Times New Roman" w:hAnsi="Times New Roman"/>
        </w:rPr>
      </w:pPr>
      <w:r w:rsidRPr="00AC16DE">
        <w:rPr>
          <w:rFonts w:ascii="Times New Roman" w:hAnsi="Times New Roman"/>
        </w:rPr>
        <w:t>Fonte: Elaboração própria a partir de dados do anexo estatístico.</w:t>
      </w:r>
    </w:p>
    <w:p w14:paraId="29189BE5" w14:textId="77777777" w:rsidR="000E1E46"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Além disso, mais relevante do que a retração desses gastos foi a queda dos investimentos. Tais despesas são tidas como a principal variável de política fiscal para administrar o ciclo econômico. Os multiplicadores fiscais associados ao investimento são superiores a um, sobretudo quando existe elevada capacidade ociosa (Orair e Siqueira, 2016). Isso quer dizer que gastos de investimento costumam gerar crescimento mais do que proporcional ao montante dispendido.</w:t>
      </w:r>
    </w:p>
    <w:p w14:paraId="302178E8" w14:textId="77777777" w:rsidR="004312BF" w:rsidRPr="00AC16DE" w:rsidRDefault="000E1E46" w:rsidP="00870F79">
      <w:pPr>
        <w:pStyle w:val="FJP-CorpoTexto"/>
        <w:spacing w:line="480" w:lineRule="auto"/>
        <w:rPr>
          <w:rFonts w:ascii="Times New Roman" w:hAnsi="Times New Roman"/>
          <w:sz w:val="24"/>
          <w:szCs w:val="24"/>
        </w:rPr>
      </w:pPr>
      <w:r w:rsidRPr="00AC16DE">
        <w:rPr>
          <w:rFonts w:ascii="Times New Roman" w:hAnsi="Times New Roman"/>
          <w:sz w:val="24"/>
          <w:szCs w:val="24"/>
        </w:rPr>
        <w:t>Contudo, a maior parte das despesas não é discricionária</w:t>
      </w:r>
      <w:r w:rsidRPr="00AC16DE">
        <w:rPr>
          <w:rStyle w:val="Refdenotaderodap"/>
          <w:rFonts w:ascii="Times New Roman" w:hAnsi="Times New Roman"/>
          <w:sz w:val="24"/>
          <w:szCs w:val="24"/>
        </w:rPr>
        <w:footnoteReference w:id="15"/>
      </w:r>
      <w:r w:rsidRPr="00AC16DE">
        <w:rPr>
          <w:rFonts w:ascii="Times New Roman" w:hAnsi="Times New Roman"/>
          <w:sz w:val="24"/>
          <w:szCs w:val="24"/>
        </w:rPr>
        <w:t>.</w:t>
      </w:r>
      <w:r w:rsidR="004312BF" w:rsidRPr="00AC16DE">
        <w:rPr>
          <w:rFonts w:ascii="Times New Roman" w:hAnsi="Times New Roman"/>
          <w:sz w:val="24"/>
          <w:szCs w:val="24"/>
        </w:rPr>
        <w:t xml:space="preserve"> Dessa forma, usualmente, em épocas de crise econômica e fiscal, as despesas com investimentos são contingenciadas. Tal fato é confirmado no caso minei</w:t>
      </w:r>
      <w:r w:rsidR="00DA05A1" w:rsidRPr="00AC16DE">
        <w:rPr>
          <w:rFonts w:ascii="Times New Roman" w:hAnsi="Times New Roman"/>
          <w:sz w:val="24"/>
          <w:szCs w:val="24"/>
        </w:rPr>
        <w:t>ro, demonstrado no gráfico 5</w:t>
      </w:r>
      <w:r w:rsidR="004312BF" w:rsidRPr="00AC16DE">
        <w:rPr>
          <w:rFonts w:ascii="Times New Roman" w:hAnsi="Times New Roman"/>
          <w:sz w:val="24"/>
          <w:szCs w:val="24"/>
        </w:rPr>
        <w:t>.</w:t>
      </w:r>
    </w:p>
    <w:p w14:paraId="6A58C60E" w14:textId="77777777" w:rsidR="000E1E46" w:rsidRDefault="000E1E46" w:rsidP="004312BF">
      <w:pPr>
        <w:pStyle w:val="FJP-Grf-T"/>
        <w:rPr>
          <w:rFonts w:ascii="Times New Roman" w:hAnsi="Times New Roman"/>
          <w:sz w:val="24"/>
          <w:szCs w:val="24"/>
        </w:rPr>
      </w:pPr>
      <w:r>
        <w:rPr>
          <w:rFonts w:ascii="Times New Roman" w:hAnsi="Times New Roman"/>
          <w:sz w:val="24"/>
          <w:szCs w:val="24"/>
        </w:rPr>
        <w:br w:type="page"/>
      </w:r>
    </w:p>
    <w:p w14:paraId="0F283885" w14:textId="40752D54" w:rsidR="004312BF" w:rsidRPr="00AC16DE" w:rsidRDefault="004312BF" w:rsidP="004312BF">
      <w:pPr>
        <w:pStyle w:val="FJP-Grf-T"/>
        <w:rPr>
          <w:rFonts w:ascii="Times New Roman" w:hAnsi="Times New Roman"/>
          <w:sz w:val="24"/>
          <w:szCs w:val="24"/>
        </w:rPr>
      </w:pPr>
      <w:r w:rsidRPr="00AC16DE">
        <w:rPr>
          <w:rFonts w:ascii="Times New Roman" w:hAnsi="Times New Roman"/>
          <w:sz w:val="24"/>
          <w:szCs w:val="24"/>
        </w:rPr>
        <w:t>Gráfico 5: Receitas vs. gastos com investimento – Minas Gerais – 2002-2017</w:t>
      </w:r>
    </w:p>
    <w:p w14:paraId="150D10CC" w14:textId="77777777" w:rsidR="004312BF" w:rsidRDefault="004312BF" w:rsidP="004312BF">
      <w:pPr>
        <w:pStyle w:val="FJP-CorpoTexto"/>
        <w:spacing w:before="0" w:after="0" w:line="240" w:lineRule="auto"/>
        <w:jc w:val="center"/>
      </w:pPr>
      <w:r>
        <w:rPr>
          <w:noProof/>
        </w:rPr>
        <w:drawing>
          <wp:inline distT="0" distB="0" distL="0" distR="0" wp14:anchorId="28C273F6" wp14:editId="46E75F30">
            <wp:extent cx="6053667" cy="2743200"/>
            <wp:effectExtent l="0" t="0" r="23495" b="190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4A2AB7" w14:textId="77777777" w:rsidR="004312BF" w:rsidRPr="00AC16DE" w:rsidRDefault="004312BF" w:rsidP="004312BF">
      <w:pPr>
        <w:pStyle w:val="FJP-Fonte"/>
        <w:rPr>
          <w:rFonts w:ascii="Times New Roman" w:hAnsi="Times New Roman"/>
        </w:rPr>
      </w:pPr>
      <w:r w:rsidRPr="00AC16DE">
        <w:rPr>
          <w:rFonts w:ascii="Times New Roman" w:hAnsi="Times New Roman"/>
        </w:rPr>
        <w:t>Fonte: Elaboração própria a partir de dados do anexo estatístico.</w:t>
      </w:r>
    </w:p>
    <w:p w14:paraId="055588B3" w14:textId="77777777" w:rsidR="004312BF" w:rsidRPr="00AC16DE" w:rsidRDefault="004312BF" w:rsidP="00870F79">
      <w:pPr>
        <w:pStyle w:val="FJP-CorpoTexto"/>
        <w:spacing w:line="480" w:lineRule="auto"/>
        <w:rPr>
          <w:rFonts w:ascii="Times New Roman" w:hAnsi="Times New Roman"/>
          <w:sz w:val="24"/>
          <w:szCs w:val="24"/>
        </w:rPr>
      </w:pPr>
      <w:r w:rsidRPr="00AC16DE">
        <w:rPr>
          <w:rFonts w:ascii="Times New Roman" w:hAnsi="Times New Roman"/>
          <w:sz w:val="24"/>
          <w:szCs w:val="24"/>
        </w:rPr>
        <w:t>Depois de dois anos de queda consecutiva, houve crescimento, em 2017, de cerca de 18%, sendo que, em termos nominais, o valor observado é ligeiramente superior ao de 2015. Inclusive, essa retomada dos gastos com investimentos coincide com a retomada do (fraco) crescimento da economia mineira.</w:t>
      </w:r>
    </w:p>
    <w:p w14:paraId="3D69E2D1" w14:textId="77777777" w:rsidR="004312BF" w:rsidRPr="00AC16DE" w:rsidRDefault="004312BF" w:rsidP="00870F79">
      <w:pPr>
        <w:pStyle w:val="FJP-CorpoTexto"/>
        <w:spacing w:line="480" w:lineRule="auto"/>
        <w:rPr>
          <w:rFonts w:ascii="Times New Roman" w:hAnsi="Times New Roman"/>
          <w:sz w:val="24"/>
          <w:szCs w:val="24"/>
        </w:rPr>
      </w:pPr>
      <w:r w:rsidRPr="00AC16DE">
        <w:rPr>
          <w:rFonts w:ascii="Times New Roman" w:hAnsi="Times New Roman"/>
          <w:sz w:val="24"/>
          <w:szCs w:val="24"/>
        </w:rPr>
        <w:t>Contudo, os gastos com investimento ainda estão longe do patamar pré-crise. Em última instância, essa desaceleração dos investimentos estaduais pode estar contribuindo para a recuperação lenta da atividade econômica.</w:t>
      </w:r>
      <w:r w:rsidR="003B0990" w:rsidRPr="00AC16DE">
        <w:rPr>
          <w:rFonts w:ascii="Times New Roman" w:hAnsi="Times New Roman"/>
          <w:sz w:val="24"/>
          <w:szCs w:val="24"/>
        </w:rPr>
        <w:t xml:space="preserve"> </w:t>
      </w:r>
    </w:p>
    <w:p w14:paraId="222F30B6" w14:textId="49D68219" w:rsidR="003B0990" w:rsidRPr="00AC16DE" w:rsidRDefault="003B0990" w:rsidP="00870F79">
      <w:pPr>
        <w:pStyle w:val="FJP-CorpoTexto"/>
        <w:spacing w:line="480" w:lineRule="auto"/>
        <w:rPr>
          <w:rFonts w:ascii="Times New Roman" w:hAnsi="Times New Roman"/>
          <w:sz w:val="24"/>
          <w:szCs w:val="24"/>
        </w:rPr>
      </w:pPr>
      <w:r w:rsidRPr="00AC16DE">
        <w:rPr>
          <w:rFonts w:ascii="Times New Roman" w:hAnsi="Times New Roman"/>
          <w:sz w:val="24"/>
          <w:szCs w:val="24"/>
        </w:rPr>
        <w:t xml:space="preserve">Em linhas gerais, do ponto de vista da despesa, a gestão petista tem se mostrado mais responsável do </w:t>
      </w:r>
      <w:r w:rsidR="00047303" w:rsidRPr="00AC16DE">
        <w:rPr>
          <w:rFonts w:ascii="Times New Roman" w:hAnsi="Times New Roman"/>
          <w:sz w:val="24"/>
          <w:szCs w:val="24"/>
        </w:rPr>
        <w:t>que a última gestão do PSDB</w:t>
      </w:r>
      <w:r w:rsidR="00AC0350">
        <w:rPr>
          <w:rFonts w:ascii="Times New Roman" w:hAnsi="Times New Roman"/>
          <w:sz w:val="24"/>
          <w:szCs w:val="24"/>
        </w:rPr>
        <w:t>, principalmente em virtude das restrições legais (LRF) e do aprofundamento da crise econômica</w:t>
      </w:r>
      <w:r w:rsidR="00047303" w:rsidRPr="00AC16DE">
        <w:rPr>
          <w:rFonts w:ascii="Times New Roman" w:hAnsi="Times New Roman"/>
          <w:sz w:val="24"/>
          <w:szCs w:val="24"/>
        </w:rPr>
        <w:t>.</w:t>
      </w:r>
      <w:r w:rsidR="00D45F4C">
        <w:rPr>
          <w:rFonts w:ascii="Times New Roman" w:hAnsi="Times New Roman"/>
          <w:sz w:val="24"/>
          <w:szCs w:val="24"/>
        </w:rPr>
        <w:t xml:space="preserve"> O</w:t>
      </w:r>
      <w:r w:rsidR="00047303" w:rsidRPr="00AC16DE">
        <w:rPr>
          <w:rFonts w:ascii="Times New Roman" w:hAnsi="Times New Roman"/>
          <w:sz w:val="24"/>
          <w:szCs w:val="24"/>
        </w:rPr>
        <w:t xml:space="preserve"> crescimento da despesa dos principais grupos se desacelerou. A exceção são as outras despesas correntes, afetada sobremaneira pelo problema da previdência. </w:t>
      </w:r>
    </w:p>
    <w:p w14:paraId="571A9613" w14:textId="6C8222F5" w:rsidR="00AC16DE" w:rsidRPr="00273EC0" w:rsidRDefault="00A43F6A" w:rsidP="00870F79">
      <w:pPr>
        <w:pStyle w:val="FJP-Ttulo3"/>
        <w:spacing w:line="480" w:lineRule="auto"/>
        <w:rPr>
          <w:rFonts w:ascii="Times New Roman" w:hAnsi="Times New Roman"/>
          <w:sz w:val="24"/>
        </w:rPr>
      </w:pPr>
      <w:r>
        <w:rPr>
          <w:rFonts w:ascii="Times New Roman" w:hAnsi="Times New Roman"/>
          <w:sz w:val="24"/>
        </w:rPr>
        <w:t>5</w:t>
      </w:r>
      <w:r w:rsidR="00AC16DE" w:rsidRPr="00273EC0">
        <w:rPr>
          <w:rFonts w:ascii="Times New Roman" w:hAnsi="Times New Roman"/>
          <w:sz w:val="24"/>
        </w:rPr>
        <w:t>. CONSIDERAÇÕES FINAIS</w:t>
      </w:r>
    </w:p>
    <w:p w14:paraId="31FC2C9F" w14:textId="22135480" w:rsidR="00CD5983" w:rsidRPr="00273EC0" w:rsidRDefault="004312BF" w:rsidP="00870F79">
      <w:pPr>
        <w:pStyle w:val="FJP-CorpoTexto"/>
        <w:spacing w:line="480" w:lineRule="auto"/>
        <w:rPr>
          <w:rFonts w:ascii="Times New Roman" w:hAnsi="Times New Roman"/>
          <w:sz w:val="24"/>
          <w:szCs w:val="24"/>
        </w:rPr>
      </w:pPr>
      <w:r w:rsidRPr="00273EC0">
        <w:rPr>
          <w:rFonts w:ascii="Times New Roman" w:hAnsi="Times New Roman"/>
          <w:sz w:val="24"/>
          <w:szCs w:val="24"/>
        </w:rPr>
        <w:t>A trajetória dos indicadores fiscais do e</w:t>
      </w:r>
      <w:r w:rsidR="00DA5785" w:rsidRPr="00273EC0">
        <w:rPr>
          <w:rFonts w:ascii="Times New Roman" w:hAnsi="Times New Roman"/>
          <w:sz w:val="24"/>
          <w:szCs w:val="24"/>
        </w:rPr>
        <w:t>stado de Minas Gerais sugere visível incompatibilidade entre a teoria e os resultados empíricos.</w:t>
      </w:r>
      <w:r w:rsidRPr="00273EC0">
        <w:rPr>
          <w:rFonts w:ascii="Times New Roman" w:hAnsi="Times New Roman"/>
          <w:sz w:val="24"/>
          <w:szCs w:val="24"/>
        </w:rPr>
        <w:t xml:space="preserve"> </w:t>
      </w:r>
      <w:r w:rsidR="00D45F4C">
        <w:rPr>
          <w:rFonts w:ascii="Times New Roman" w:hAnsi="Times New Roman"/>
          <w:sz w:val="24"/>
          <w:szCs w:val="24"/>
        </w:rPr>
        <w:t>Se, teoricamente, governos mais a</w:t>
      </w:r>
      <w:r w:rsidR="00DA5785" w:rsidRPr="00273EC0">
        <w:rPr>
          <w:rFonts w:ascii="Times New Roman" w:hAnsi="Times New Roman"/>
          <w:sz w:val="24"/>
          <w:szCs w:val="24"/>
        </w:rPr>
        <w:t xml:space="preserve"> esquerda seriam mais propensões à liberalização dos gastos, parece que, na prática, ocorreu o inverso</w:t>
      </w:r>
      <w:r w:rsidRPr="00273EC0">
        <w:rPr>
          <w:rFonts w:ascii="Times New Roman" w:hAnsi="Times New Roman"/>
          <w:sz w:val="24"/>
          <w:szCs w:val="24"/>
        </w:rPr>
        <w:t>.</w:t>
      </w:r>
      <w:r w:rsidR="00DA5785" w:rsidRPr="00273EC0">
        <w:rPr>
          <w:rFonts w:ascii="Times New Roman" w:hAnsi="Times New Roman"/>
          <w:sz w:val="24"/>
          <w:szCs w:val="24"/>
        </w:rPr>
        <w:t xml:space="preserve"> Ou seja, a velocidade de crescimento dos gastos foi crescente ao longo dos governos do PSDB e só se desacelerou no governo do PT.</w:t>
      </w:r>
    </w:p>
    <w:p w14:paraId="3248A1CF" w14:textId="2E8073B9" w:rsidR="008B40DF" w:rsidRPr="00273EC0" w:rsidRDefault="008B40DF" w:rsidP="00870F79">
      <w:pPr>
        <w:pStyle w:val="FJP-CorpoTexto"/>
        <w:spacing w:line="480" w:lineRule="auto"/>
        <w:rPr>
          <w:rFonts w:ascii="Times New Roman" w:hAnsi="Times New Roman"/>
          <w:sz w:val="24"/>
          <w:szCs w:val="24"/>
        </w:rPr>
      </w:pPr>
      <w:r w:rsidRPr="00273EC0">
        <w:rPr>
          <w:rFonts w:ascii="Times New Roman" w:hAnsi="Times New Roman"/>
          <w:sz w:val="24"/>
          <w:szCs w:val="24"/>
        </w:rPr>
        <w:t xml:space="preserve">No entanto, mesmo com a desaceleração de gastos com pessoal e com investimentos, foram registrados sucessivos déficit fiscais no último triênio. Em particular, em termos nominais, o déficit </w:t>
      </w:r>
      <w:r w:rsidR="00D45F4C">
        <w:rPr>
          <w:rFonts w:ascii="Times New Roman" w:hAnsi="Times New Roman"/>
          <w:sz w:val="24"/>
          <w:szCs w:val="24"/>
        </w:rPr>
        <w:t xml:space="preserve">orçamentário </w:t>
      </w:r>
      <w:r w:rsidRPr="00273EC0">
        <w:rPr>
          <w:rFonts w:ascii="Times New Roman" w:hAnsi="Times New Roman"/>
          <w:sz w:val="24"/>
          <w:szCs w:val="24"/>
        </w:rPr>
        <w:t xml:space="preserve">de 2017, próximo a 10 bilhões, foi o mais alto desde o início da série histórica. </w:t>
      </w:r>
    </w:p>
    <w:p w14:paraId="27745812" w14:textId="77777777" w:rsidR="008B40DF" w:rsidRPr="00273EC0" w:rsidRDefault="008B40DF" w:rsidP="00870F79">
      <w:pPr>
        <w:pStyle w:val="FJP-CorpoTexto"/>
        <w:spacing w:line="480" w:lineRule="auto"/>
        <w:rPr>
          <w:rFonts w:ascii="Times New Roman" w:hAnsi="Times New Roman"/>
          <w:sz w:val="24"/>
          <w:szCs w:val="24"/>
        </w:rPr>
      </w:pPr>
      <w:r w:rsidRPr="00273EC0">
        <w:rPr>
          <w:rFonts w:ascii="Times New Roman" w:hAnsi="Times New Roman"/>
          <w:sz w:val="24"/>
          <w:szCs w:val="24"/>
        </w:rPr>
        <w:t>Por um lado, questões conjunturais foram decisivas para a manifestação da crise fiscal. A queda acumulada de 6,1% da atividade econômica no biênio 2015-2016 provocou a desaceleração das receitas. Desse modo, o crescimento médio das receitas no último triênio foi inferior à inflação média observada no mesmo período. Ou seja, houve queda em termos reais, apesar do desempenho da arrecadação ter sido positivamente surpreendente.</w:t>
      </w:r>
    </w:p>
    <w:p w14:paraId="35636429" w14:textId="77777777" w:rsidR="008B40DF" w:rsidRPr="00273EC0" w:rsidRDefault="008B40DF" w:rsidP="00870F79">
      <w:pPr>
        <w:pStyle w:val="FJP-CorpoTexto"/>
        <w:spacing w:line="480" w:lineRule="auto"/>
        <w:rPr>
          <w:rFonts w:ascii="Times New Roman" w:hAnsi="Times New Roman"/>
          <w:sz w:val="24"/>
          <w:szCs w:val="24"/>
        </w:rPr>
      </w:pPr>
      <w:r w:rsidRPr="00273EC0">
        <w:rPr>
          <w:rFonts w:ascii="Times New Roman" w:hAnsi="Times New Roman"/>
          <w:sz w:val="24"/>
          <w:szCs w:val="24"/>
        </w:rPr>
        <w:t>Por outro lado, existem questões estruturais que dificultam o ajuste fiscal. Via de regra, o crescimento das despesas é bastante superior ao da inflação. Embora o ritmo de crescimento, em termos reais, tenha diminuído no último triênio, os resultados orçamentários se deterioraram.</w:t>
      </w:r>
    </w:p>
    <w:p w14:paraId="41064685" w14:textId="77777777" w:rsidR="008B40DF" w:rsidRPr="00273EC0" w:rsidRDefault="008B40DF" w:rsidP="00870F79">
      <w:pPr>
        <w:pStyle w:val="FJP-CorpoTexto"/>
        <w:spacing w:line="480" w:lineRule="auto"/>
        <w:rPr>
          <w:rFonts w:ascii="Times New Roman" w:hAnsi="Times New Roman"/>
          <w:sz w:val="24"/>
          <w:szCs w:val="24"/>
        </w:rPr>
      </w:pPr>
      <w:r w:rsidRPr="00273EC0">
        <w:rPr>
          <w:rFonts w:ascii="Times New Roman" w:hAnsi="Times New Roman"/>
          <w:sz w:val="24"/>
          <w:szCs w:val="24"/>
        </w:rPr>
        <w:t>Pesa desfavoravelmente nessa equação a rigidez dos gastos públicos. Os gastos com pessoal, amortização e juros da dívida representaram, em 2017, mais de 50% das despesas. Adicionalmente, os governos estaduais devem cumprir os gastos mínimos constitucionais na educação, saúde, ciência tecnologia, etc. Soma-se, ainda, no caso mineiro, o crescente gasto com a cobertura dos déficits do regime de previdência do RPPS, equivalente a aproximadamente 10% dos gastos totais nesse mesmo ano. Portanto, a margem de manobra do governo estadual é baixa.</w:t>
      </w:r>
    </w:p>
    <w:p w14:paraId="28CC3D0D" w14:textId="2A5442C1" w:rsidR="004312BF" w:rsidRDefault="00CD5983" w:rsidP="00870F79">
      <w:pPr>
        <w:pStyle w:val="FJP-CorpoTexto"/>
        <w:spacing w:line="480" w:lineRule="auto"/>
        <w:rPr>
          <w:rFonts w:ascii="Times New Roman" w:hAnsi="Times New Roman"/>
          <w:sz w:val="24"/>
          <w:szCs w:val="24"/>
        </w:rPr>
      </w:pPr>
      <w:r w:rsidRPr="00273EC0">
        <w:rPr>
          <w:rFonts w:ascii="Times New Roman" w:hAnsi="Times New Roman"/>
          <w:sz w:val="24"/>
          <w:szCs w:val="24"/>
        </w:rPr>
        <w:t xml:space="preserve">Nesse cenário, ganha força a tese de que as restrições legais têm desempenhado um papel duplo: disciplinaram os gastos do estado ao mesmo tempo em que enfraqueceram seu papel na federação. Mesmo assim, as contas públicas de muitos estados, em especial </w:t>
      </w:r>
      <w:r w:rsidR="008B40DF" w:rsidRPr="00273EC0">
        <w:rPr>
          <w:rFonts w:ascii="Times New Roman" w:hAnsi="Times New Roman"/>
          <w:sz w:val="24"/>
          <w:szCs w:val="24"/>
        </w:rPr>
        <w:t xml:space="preserve">de </w:t>
      </w:r>
      <w:r w:rsidRPr="00273EC0">
        <w:rPr>
          <w:rFonts w:ascii="Times New Roman" w:hAnsi="Times New Roman"/>
          <w:sz w:val="24"/>
          <w:szCs w:val="24"/>
        </w:rPr>
        <w:t>Minas Gerais, se encontram em situações de calamidade financeira. As duas respostas possíveis, nesse caso, seriam: e</w:t>
      </w:r>
      <w:r w:rsidR="008B40DF" w:rsidRPr="00273EC0">
        <w:rPr>
          <w:rFonts w:ascii="Times New Roman" w:hAnsi="Times New Roman"/>
          <w:sz w:val="24"/>
          <w:szCs w:val="24"/>
        </w:rPr>
        <w:t>ndurecer mais as regras dos</w:t>
      </w:r>
      <w:r w:rsidRPr="00273EC0">
        <w:rPr>
          <w:rFonts w:ascii="Times New Roman" w:hAnsi="Times New Roman"/>
          <w:sz w:val="24"/>
          <w:szCs w:val="24"/>
        </w:rPr>
        <w:t xml:space="preserve"> gastos públicos </w:t>
      </w:r>
      <w:r w:rsidR="008B40DF" w:rsidRPr="00273EC0">
        <w:rPr>
          <w:rFonts w:ascii="Times New Roman" w:hAnsi="Times New Roman"/>
          <w:sz w:val="24"/>
          <w:szCs w:val="24"/>
        </w:rPr>
        <w:t xml:space="preserve">estaduais </w:t>
      </w:r>
      <w:r w:rsidRPr="00273EC0">
        <w:rPr>
          <w:rFonts w:ascii="Times New Roman" w:hAnsi="Times New Roman"/>
          <w:sz w:val="24"/>
          <w:szCs w:val="24"/>
        </w:rPr>
        <w:t>ou reavaliar o papel do estado na federação. O primeiro remédio, ao invés de socorrer, pode matar o paciente. O segundo é um tema bastant</w:t>
      </w:r>
      <w:r w:rsidR="008B40DF" w:rsidRPr="00273EC0">
        <w:rPr>
          <w:rFonts w:ascii="Times New Roman" w:hAnsi="Times New Roman"/>
          <w:sz w:val="24"/>
          <w:szCs w:val="24"/>
        </w:rPr>
        <w:t>e espinhoso e requer coordenação política dos entes federados. Logo, não parecer ser uma solução de curto nem médio prazo. É provável, então, que o paciente continue agonizando até que o governo federal venha em seu socorro (a exemplo do estado do Rio de Janeiro).</w:t>
      </w:r>
    </w:p>
    <w:p w14:paraId="5AB1AE7E" w14:textId="77777777" w:rsidR="000E1E46" w:rsidRPr="00F82B00" w:rsidRDefault="000E1E46" w:rsidP="000E1E46">
      <w:pPr>
        <w:pStyle w:val="FJP-Ttulo3"/>
        <w:outlineLvl w:val="0"/>
        <w:rPr>
          <w:rFonts w:ascii="Times New Roman" w:hAnsi="Times New Roman"/>
          <w:sz w:val="24"/>
          <w:lang w:val="en-US"/>
        </w:rPr>
      </w:pPr>
      <w:r>
        <w:rPr>
          <w:rFonts w:ascii="Times New Roman" w:hAnsi="Times New Roman"/>
          <w:sz w:val="24"/>
          <w:lang w:val="en-US"/>
        </w:rPr>
        <w:t>6</w:t>
      </w:r>
      <w:r w:rsidRPr="00F82B00">
        <w:rPr>
          <w:rFonts w:ascii="Times New Roman" w:hAnsi="Times New Roman"/>
          <w:sz w:val="24"/>
          <w:lang w:val="en-US"/>
        </w:rPr>
        <w:t xml:space="preserve"> REFERÊNCIAS</w:t>
      </w:r>
    </w:p>
    <w:p w14:paraId="6D80094A" w14:textId="77777777" w:rsidR="000E1E46" w:rsidRPr="00F82B00" w:rsidRDefault="000E1E46" w:rsidP="000E1E46">
      <w:pPr>
        <w:pStyle w:val="CEI-CorpoTexto"/>
        <w:spacing w:before="240" w:after="240"/>
        <w:rPr>
          <w:rFonts w:ascii="Times New Roman" w:hAnsi="Times New Roman"/>
          <w:szCs w:val="24"/>
          <w:lang w:val="en-US"/>
        </w:rPr>
      </w:pPr>
      <w:r w:rsidRPr="00F82B00">
        <w:rPr>
          <w:rFonts w:ascii="Times New Roman" w:hAnsi="Times New Roman"/>
          <w:szCs w:val="24"/>
          <w:lang w:val="en-US"/>
        </w:rPr>
        <w:t>ALESINA, A. ROUBINI, N.; COHEN, G. Political cycles and the macroeconomy. Cambridge, MA: MIT Press, 1997.</w:t>
      </w:r>
    </w:p>
    <w:p w14:paraId="63F13CD7" w14:textId="77777777" w:rsidR="000E1E46" w:rsidRPr="00F82B00" w:rsidRDefault="000E1E46" w:rsidP="000E1E46">
      <w:pPr>
        <w:pStyle w:val="CEI-CorpoTexto"/>
        <w:spacing w:before="240" w:after="240" w:line="240" w:lineRule="auto"/>
        <w:rPr>
          <w:rFonts w:ascii="Times New Roman" w:hAnsi="Times New Roman"/>
          <w:szCs w:val="24"/>
        </w:rPr>
      </w:pPr>
      <w:r w:rsidRPr="00F82B00">
        <w:rPr>
          <w:rFonts w:ascii="Times New Roman" w:hAnsi="Times New Roman"/>
          <w:szCs w:val="24"/>
        </w:rPr>
        <w:t xml:space="preserve">ARVATE, P. R., AVELINO, G. e  LUCINDA, C. R. Existe influência da ideologia sobre o resultado fiscal dos governos estaduais brasileiros?.Estud. Econ. [online]. 2008, vol.38, n.4, pp.789-814, 2008. </w:t>
      </w:r>
    </w:p>
    <w:p w14:paraId="38B7DFBE" w14:textId="77777777" w:rsidR="000E1E46" w:rsidRPr="00F82B00" w:rsidRDefault="000E1E46" w:rsidP="000E1E46">
      <w:pPr>
        <w:pStyle w:val="CEI-CorpoTexto"/>
        <w:spacing w:before="240" w:after="240" w:line="240" w:lineRule="auto"/>
        <w:rPr>
          <w:rFonts w:ascii="Times New Roman" w:hAnsi="Times New Roman"/>
          <w:szCs w:val="24"/>
        </w:rPr>
      </w:pPr>
      <w:r w:rsidRPr="00F82B00">
        <w:rPr>
          <w:rFonts w:ascii="Times New Roman" w:hAnsi="Times New Roman"/>
          <w:szCs w:val="24"/>
        </w:rPr>
        <w:t>BITTENCOURT, J. L.; HILBRECHT, R. O. Ciclo político na economia brasileira: um teste para a execução orçamentária dos governos estaduais: 1983-2000. Trabalho apresentado na reunião anual da Associação Nacional dos Centros de Pós-Graduação em Economia, 2003.</w:t>
      </w:r>
    </w:p>
    <w:p w14:paraId="010F5B7C" w14:textId="77777777" w:rsidR="000E1E46" w:rsidRDefault="000E1E46" w:rsidP="000E1E46">
      <w:pPr>
        <w:pStyle w:val="CEI-CorpoTexto"/>
        <w:spacing w:before="240" w:after="240" w:line="240" w:lineRule="auto"/>
        <w:rPr>
          <w:rFonts w:ascii="Times New Roman" w:hAnsi="Times New Roman"/>
          <w:szCs w:val="24"/>
        </w:rPr>
      </w:pPr>
      <w:r w:rsidRPr="00F82B00">
        <w:rPr>
          <w:rFonts w:ascii="Times New Roman" w:hAnsi="Times New Roman"/>
          <w:szCs w:val="24"/>
        </w:rPr>
        <w:t>BOTELHO, F. Determinantes do ajuste fiscal dos Estados brasileiros. Dissertação (Mestrado) - Faculdade de Economia e Administração da Universidade de São Paulo, 2002.</w:t>
      </w:r>
    </w:p>
    <w:p w14:paraId="45356742" w14:textId="77777777" w:rsidR="000E1E46" w:rsidRPr="00273EC0"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rPr>
        <w:t>BRASIL. Portaria STN 328, de 27 de ago. de 2001. Alterações no FUNDEF. Brasília, DF, ago. 2001.</w:t>
      </w:r>
    </w:p>
    <w:p w14:paraId="2CC72632" w14:textId="77777777" w:rsidR="000E1E46" w:rsidRPr="00273EC0"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rPr>
        <w:t>BRASIL. Lei Complementar 101, de 4 de mai. de 2001. Estabelece normas de finanças públicas voltadas para a responsabilidade na gestão fiscal e dá outras providências. Brasília, DF, mai. de 2001.</w:t>
      </w:r>
    </w:p>
    <w:p w14:paraId="6F111B96" w14:textId="77777777" w:rsidR="000E1E46" w:rsidRPr="00273EC0"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rPr>
        <w:t>BRASIL. Portaria Intermininsterial 338 de 26 de abr. de 2006. Altera o Anexo I da Portaria Interministerial STN/SOF 163, de 4 de maio de 2001, e dá outras providências. Brasília, DF, abr. de 2006.</w:t>
      </w:r>
    </w:p>
    <w:p w14:paraId="7E5C3802" w14:textId="77777777" w:rsidR="000E1E46" w:rsidRPr="00273EC0"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rPr>
        <w:t>BRASIL. Portaria Interministerial STN/SOF nº 338 de 26/04/2006. Altera o Anexo I da Portaria Interministerial STN/SOF nº 163, de 4 de maio de 2001, e dá outras providências. Brasília, DF, abr. de 2006.</w:t>
      </w:r>
    </w:p>
    <w:p w14:paraId="32DDA1EF" w14:textId="77777777" w:rsidR="000E1E46" w:rsidRPr="00273EC0"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rPr>
        <w:t>BRASIL. Lei Complementar 156, de 28 de dez. de 2016. Estabelece o Plano de Auxílio aos Estados e ao Distrito Federal e medidas de estímulo ao reequilíbrio fiscal; e altera a Lei Complementar no 148, de 25 de novembro de 2014, a Lei no 9.496, de 11 de setembro de 1997, a Medida Provisória no 2.192-70, de 24 de agosto de 2001, a Lei no 8.727, de 5 de novembro de 1993, e a Lei Complementar no 101, de 4 de maio de 2000. Brasília, DF, dez. de 2016.</w:t>
      </w:r>
    </w:p>
    <w:p w14:paraId="7B9A1561" w14:textId="77777777" w:rsidR="000E1E46" w:rsidRPr="00F82B00" w:rsidRDefault="000E1E46" w:rsidP="000E1E46">
      <w:pPr>
        <w:pStyle w:val="CEI-CorpoTexto"/>
        <w:spacing w:before="240" w:after="240" w:line="240" w:lineRule="auto"/>
        <w:rPr>
          <w:rFonts w:ascii="Times New Roman" w:hAnsi="Times New Roman"/>
          <w:szCs w:val="24"/>
        </w:rPr>
      </w:pPr>
      <w:r w:rsidRPr="00F82B00">
        <w:rPr>
          <w:rFonts w:ascii="Times New Roman" w:hAnsi="Times New Roman"/>
          <w:szCs w:val="24"/>
        </w:rPr>
        <w:t xml:space="preserve">COSSIO, F. A. B. Comportamento fiscal dos governos estaduais brasileiros: determinantes políticos e efeitos sobre o bem-estar dos seus Estados. Prêmio Tesouro Nacional. 2001.  </w:t>
      </w:r>
    </w:p>
    <w:p w14:paraId="613315FC" w14:textId="77777777" w:rsidR="000E1E46" w:rsidRDefault="000E1E46" w:rsidP="000E1E46">
      <w:pPr>
        <w:pStyle w:val="CEI-CorpoTexto"/>
        <w:spacing w:before="240" w:after="240" w:line="240" w:lineRule="auto"/>
        <w:rPr>
          <w:rFonts w:ascii="Times New Roman" w:hAnsi="Times New Roman"/>
          <w:szCs w:val="24"/>
          <w:lang w:val="en-US"/>
        </w:rPr>
      </w:pPr>
      <w:r w:rsidRPr="00F82B00">
        <w:rPr>
          <w:rFonts w:ascii="Times New Roman" w:hAnsi="Times New Roman"/>
          <w:szCs w:val="24"/>
          <w:lang w:val="en-US"/>
        </w:rPr>
        <w:t xml:space="preserve">DOWNS, A. An economic theory of democracy. New York: Harper Collins Publishers, 1957.   </w:t>
      </w:r>
    </w:p>
    <w:p w14:paraId="7FDF462D" w14:textId="77777777" w:rsidR="000E1E46" w:rsidRPr="00273EC0"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rPr>
        <w:t xml:space="preserve">FUNDAÇÃO JOÃO PINHEIRO.  </w:t>
      </w:r>
      <w:r w:rsidRPr="00273EC0">
        <w:rPr>
          <w:rFonts w:ascii="Times New Roman" w:hAnsi="Times New Roman"/>
          <w:b/>
          <w:szCs w:val="24"/>
        </w:rPr>
        <w:t xml:space="preserve">Relatório Metodológico do PIB Trimestral de Minas Gerais: </w:t>
      </w:r>
      <w:r w:rsidRPr="00273EC0">
        <w:rPr>
          <w:rFonts w:ascii="Times New Roman" w:hAnsi="Times New Roman"/>
          <w:szCs w:val="24"/>
        </w:rPr>
        <w:t>Referência 2010. Belo Horizonte, 2017 (Série Estatística &amp; Informações n. 2).</w:t>
      </w:r>
    </w:p>
    <w:p w14:paraId="33942030" w14:textId="77777777" w:rsidR="000E1E46" w:rsidRPr="00E85A10" w:rsidRDefault="000E1E46" w:rsidP="000E1E46">
      <w:pPr>
        <w:jc w:val="both"/>
        <w:rPr>
          <w:shd w:val="clear" w:color="auto" w:fill="FFFFFF"/>
          <w:lang w:val="en-US"/>
        </w:rPr>
      </w:pPr>
      <w:r w:rsidRPr="00E85A10">
        <w:rPr>
          <w:shd w:val="clear" w:color="auto" w:fill="FFFFFF"/>
          <w:lang w:val="en-US"/>
        </w:rPr>
        <w:t>HIBBS, D. A. Political parties and macroeconomic policy. </w:t>
      </w:r>
      <w:r w:rsidRPr="00E85A10">
        <w:rPr>
          <w:i/>
          <w:iCs/>
          <w:shd w:val="clear" w:color="auto" w:fill="FFFFFF"/>
          <w:lang w:val="en-US"/>
        </w:rPr>
        <w:t>American Political Science Review,</w:t>
      </w:r>
      <w:r w:rsidRPr="00E85A10">
        <w:rPr>
          <w:shd w:val="clear" w:color="auto" w:fill="FFFFFF"/>
          <w:lang w:val="en-US"/>
        </w:rPr>
        <w:t> v. 71, n. 4, p. 1467-1487, 1977. </w:t>
      </w:r>
    </w:p>
    <w:p w14:paraId="54A3A462" w14:textId="77777777" w:rsidR="000E1E46" w:rsidRPr="00273EC0"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rPr>
        <w:t>IPEA. Finanças públicas e macroeconomia no Brasil: um registro da reflexão do Ipea (2008-2014), vol.1 e 2, 2014.</w:t>
      </w:r>
    </w:p>
    <w:p w14:paraId="24E6205D" w14:textId="77777777" w:rsidR="000E1E46" w:rsidRPr="00E85A10" w:rsidRDefault="000E1E46" w:rsidP="000E1E46">
      <w:pPr>
        <w:jc w:val="both"/>
      </w:pPr>
      <w:r w:rsidRPr="00E85A10">
        <w:t>LOPREATO, F. L. C. Finanças estaduais: alguns avanços, mas... (os exemplos de São Paulo, Rio de Janeiro e Rio Grande do Sul). Campinas: Editora Unicamp Textos para Discussão, 2008.</w:t>
      </w:r>
    </w:p>
    <w:p w14:paraId="2B7464AE" w14:textId="77777777" w:rsidR="000E1E46" w:rsidRPr="00273EC0"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rPr>
        <w:t>MINAS GERAIS. Lei 20.748, de 25 de jun. de 2013. Reajusta as tabelas de vencimento básico das carreiras que menciona, institui a gratificação complementar no âmbito da escola de saúde pública do estado de minas gerais - esp-mg -, institui a carreira de auditor assistencial estadual do sistema único de saúde no estado e dá outras providências, Belo Horizonte, MG, jun. 2013.</w:t>
      </w:r>
    </w:p>
    <w:p w14:paraId="2B473955" w14:textId="77777777" w:rsidR="000E1E46" w:rsidRPr="00273EC0" w:rsidRDefault="000E1E46" w:rsidP="000E1E46">
      <w:pPr>
        <w:pStyle w:val="CEI-CorpoTexto"/>
        <w:spacing w:before="240" w:after="240" w:line="240" w:lineRule="auto"/>
        <w:rPr>
          <w:rFonts w:ascii="Times New Roman" w:hAnsi="Times New Roman"/>
          <w:szCs w:val="24"/>
          <w:shd w:val="clear" w:color="auto" w:fill="FFFFFF"/>
        </w:rPr>
      </w:pPr>
      <w:r w:rsidRPr="00273EC0">
        <w:rPr>
          <w:rFonts w:ascii="Times New Roman" w:hAnsi="Times New Roman"/>
          <w:szCs w:val="24"/>
        </w:rPr>
        <w:t xml:space="preserve">MINAS GERAIS, Lei 21.216, de 07 de mai. de 2014. </w:t>
      </w:r>
      <w:r w:rsidRPr="00273EC0">
        <w:rPr>
          <w:rFonts w:ascii="Times New Roman" w:hAnsi="Times New Roman"/>
          <w:szCs w:val="24"/>
          <w:shd w:val="clear" w:color="auto" w:fill="FFFFFF"/>
        </w:rPr>
        <w:t>Fixa o subsídio dos membros da defensoria pública do estado, Belo Horizonte, MG, jun. 2013.</w:t>
      </w:r>
    </w:p>
    <w:p w14:paraId="666F4EB7" w14:textId="77777777" w:rsidR="000E1E46" w:rsidRPr="00273EC0" w:rsidRDefault="000E1E46" w:rsidP="000E1E46">
      <w:pPr>
        <w:pStyle w:val="CEI-CorpoTexto"/>
        <w:spacing w:before="240" w:after="240" w:line="240" w:lineRule="auto"/>
        <w:rPr>
          <w:rFonts w:ascii="Times New Roman" w:hAnsi="Times New Roman"/>
          <w:szCs w:val="24"/>
          <w:shd w:val="clear" w:color="auto" w:fill="FFFFFF"/>
        </w:rPr>
      </w:pPr>
      <w:r w:rsidRPr="00273EC0">
        <w:rPr>
          <w:rFonts w:ascii="Times New Roman" w:hAnsi="Times New Roman"/>
          <w:szCs w:val="24"/>
          <w:shd w:val="clear" w:color="auto" w:fill="FFFFFF"/>
        </w:rPr>
        <w:t>MINAS GERAIS, Lei 21.167, de 17 de jan. de 2014. Incorpora a gratificação complementar ao vencimento básico dos servidores das carreiras que menciona, cria cargos de provimento efetivo da carreira de analista de hematologia e hemoterapia, a que se refere a lei n° 15.462, de 13 de janeiro de 2005, institui regime de remuneração por subsídio para a carreira de professor de arte e restauro e dá outras providências, Belo Horizonte, MG, jan. 2014.</w:t>
      </w:r>
    </w:p>
    <w:p w14:paraId="572B9E57" w14:textId="77777777" w:rsidR="000E1E46" w:rsidRPr="00273EC0" w:rsidRDefault="000E1E46" w:rsidP="000E1E46">
      <w:pPr>
        <w:pStyle w:val="CEI-CorpoTexto"/>
        <w:spacing w:before="240" w:after="240" w:line="240" w:lineRule="auto"/>
        <w:rPr>
          <w:rFonts w:ascii="Times New Roman" w:hAnsi="Times New Roman"/>
          <w:szCs w:val="24"/>
          <w:shd w:val="clear" w:color="auto" w:fill="FFFFFF"/>
        </w:rPr>
      </w:pPr>
      <w:r w:rsidRPr="00273EC0">
        <w:rPr>
          <w:rFonts w:ascii="Times New Roman" w:hAnsi="Times New Roman"/>
          <w:szCs w:val="24"/>
          <w:shd w:val="clear" w:color="auto" w:fill="FFFFFF"/>
        </w:rPr>
        <w:t>MINAS GERAIS, Lei 21.170, de 30 de jun. de 2016. Dispõe sobre a política remuneratória das carreiras do Grupo de Atividades de Educação Básica do Poder Executivo, altera a estrutura da carreira de Professor de Educação Básica e dá outras providências, Belo Horizonte, MG, jun. 2016.</w:t>
      </w:r>
    </w:p>
    <w:p w14:paraId="3F6663F8" w14:textId="77777777" w:rsidR="000E1E46" w:rsidRPr="00273EC0"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shd w:val="clear" w:color="auto" w:fill="FFFFFF"/>
        </w:rPr>
        <w:t>MINAS GERAIS, Decreto 47.116 de dezembro de 2016. Institui o Programa Estadual de Eficiência Fiscal – Receitas Tributárias e regulamenta, no âmbito da Secretaria de Estado de Fazenda, o disposto no art. 189 da Lei nº 22.257, de 27 de julho de 2016, que estabelece a estrutura orgânica da administração pública do Poder Executivo e dá outras providências, Belo Horizonte, MG, dez. 2016.-------------</w:t>
      </w:r>
    </w:p>
    <w:p w14:paraId="5615FE4E" w14:textId="77777777" w:rsidR="000E1E46" w:rsidRPr="00273EC0"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rPr>
        <w:t>MINAS GERAIS. Lei 21.781, de 01 de out. de 2015. Altera as Leis nºs 6.763, de 26 de dezembro de 1975, 12.729, de 30 de dezembro de 1997, 14.937, de 23 de dezembro de 2003, e 19.976, de 27 de dezembro de 2011, e dá outra providência, Belo Horizonte, MG, out. 2017.</w:t>
      </w:r>
    </w:p>
    <w:p w14:paraId="24C9CEAE" w14:textId="77777777" w:rsidR="000E1E46" w:rsidRPr="00273EC0"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rPr>
        <w:t>MINAS GERAIS, Lei 21.720, de 14 de set. de 2017. Dispõe sobre a utilização de depósitos judiciais em dinheiro, tributários e não tributários, realizados em processos vinculados ao Tribunal de Justiça do Estado de Minas Gerais – TJMG –, para o custeio da previdência social, o pagamento de precatórios e assistência judiciária e a amortização da dívida com a União, Belo Horizonte, MG, out. 2017.</w:t>
      </w:r>
    </w:p>
    <w:p w14:paraId="6D0AA29B" w14:textId="77777777" w:rsidR="000E1E46" w:rsidRPr="00273EC0"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rPr>
        <w:t>MINAS GERAIS. Lei 19.576, de 16 de ago. de 2011. Reajusta os valores das tabelas de vencimento básico das categorias que menciona, Belo Horizonte, MG, ago. 2017.</w:t>
      </w:r>
    </w:p>
    <w:p w14:paraId="4C0CF364" w14:textId="77777777" w:rsidR="000E1E46" w:rsidRPr="00273EC0"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rPr>
        <w:t>MINAS GERAIS. Lei 22.626, de 28 de jul. de 2018. Dispõe sobre as diretrizes para a elaboração e a execução da lei orçamentária para o exercício de 2018 e acrescenta artigo à Lei nº 22.254, de 25 de julho de 2016. Belo Horizonte, MG, jul. de 2018.</w:t>
      </w:r>
    </w:p>
    <w:p w14:paraId="27E23080" w14:textId="77777777" w:rsidR="000E1E46" w:rsidRPr="00E85A10" w:rsidRDefault="000E1E46" w:rsidP="000E1E46">
      <w:pPr>
        <w:jc w:val="both"/>
        <w:rPr>
          <w:shd w:val="clear" w:color="auto" w:fill="FFFFFF"/>
        </w:rPr>
      </w:pPr>
      <w:r w:rsidRPr="00E85A10">
        <w:rPr>
          <w:shd w:val="clear" w:color="auto" w:fill="FFFFFF"/>
        </w:rPr>
        <w:t>NAKAGUMA, M.Y.; BENDER, S. A emenda da reeleição e a Lei de Responsabilidade Fiscal: impactos sobre ciclos políticos e performance fiscal dos Estados (1986-2002). </w:t>
      </w:r>
      <w:r w:rsidRPr="00E85A10">
        <w:rPr>
          <w:i/>
          <w:iCs/>
          <w:shd w:val="clear" w:color="auto" w:fill="FFFFFF"/>
        </w:rPr>
        <w:t>Revista de Economia Aplicada</w:t>
      </w:r>
      <w:r w:rsidRPr="00E85A10">
        <w:rPr>
          <w:shd w:val="clear" w:color="auto" w:fill="FFFFFF"/>
        </w:rPr>
        <w:t>, v. 10, n. 3, p. 377-397, 2006. </w:t>
      </w:r>
    </w:p>
    <w:p w14:paraId="2B6B6AEE" w14:textId="77777777" w:rsidR="000E1E46" w:rsidRPr="00E85A10" w:rsidRDefault="000E1E46" w:rsidP="000E1E46">
      <w:pPr>
        <w:jc w:val="both"/>
        <w:rPr>
          <w:shd w:val="clear" w:color="auto" w:fill="FFFFFF"/>
          <w:lang w:val="en-US"/>
        </w:rPr>
      </w:pPr>
      <w:r w:rsidRPr="00F82B00">
        <w:rPr>
          <w:shd w:val="clear" w:color="auto" w:fill="FFFFFF"/>
        </w:rPr>
        <w:t>NORDHAUS, W. The political business cycle. </w:t>
      </w:r>
      <w:r w:rsidRPr="00E85A10">
        <w:rPr>
          <w:i/>
          <w:iCs/>
          <w:shd w:val="clear" w:color="auto" w:fill="FFFFFF"/>
          <w:lang w:val="en-US"/>
        </w:rPr>
        <w:t>Review of Economic Studies</w:t>
      </w:r>
      <w:r w:rsidRPr="00E85A10">
        <w:rPr>
          <w:shd w:val="clear" w:color="auto" w:fill="FFFFFF"/>
          <w:lang w:val="en-US"/>
        </w:rPr>
        <w:t>, v. 42, n. 2, p. 169-190, 1975. </w:t>
      </w:r>
    </w:p>
    <w:p w14:paraId="52F1EA6D" w14:textId="77777777" w:rsidR="000E1E46" w:rsidRDefault="000E1E46" w:rsidP="000E1E46">
      <w:pPr>
        <w:pStyle w:val="CEI-CorpoTexto"/>
        <w:spacing w:before="240" w:after="240" w:line="240" w:lineRule="auto"/>
        <w:rPr>
          <w:rFonts w:ascii="Times New Roman" w:hAnsi="Times New Roman"/>
          <w:szCs w:val="24"/>
        </w:rPr>
      </w:pPr>
      <w:r w:rsidRPr="00F82B00">
        <w:rPr>
          <w:rFonts w:ascii="Times New Roman" w:hAnsi="Times New Roman"/>
          <w:szCs w:val="24"/>
        </w:rPr>
        <w:t>OLIVEIRA, F. A.; Siqueira, W. B. (Org.) . As muitas Minas: ensaios sobre a economia mineira. 1a. ed. Belo Horizonte: CORECON: Real. v. 1. 284p, 2010.</w:t>
      </w:r>
    </w:p>
    <w:p w14:paraId="25BB39C1" w14:textId="77777777" w:rsidR="000E1E46" w:rsidRPr="00273EC0"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rPr>
        <w:t>ORAIR, R.; SIQUEIRA, F. Investimento público no Brasil: trajetória recente e relações com o ciclo econômico e regime fiscal. IX PRÊMIO SOF DE MONOGRAFIAS, 2016.</w:t>
      </w:r>
    </w:p>
    <w:p w14:paraId="1AA37902" w14:textId="77777777" w:rsidR="000E1E46" w:rsidRDefault="000E1E46" w:rsidP="000E1E46">
      <w:pPr>
        <w:pStyle w:val="CEI-CorpoTexto"/>
        <w:spacing w:before="240" w:after="240" w:line="240" w:lineRule="auto"/>
        <w:rPr>
          <w:rFonts w:ascii="Times New Roman" w:hAnsi="Times New Roman"/>
          <w:szCs w:val="24"/>
        </w:rPr>
      </w:pPr>
      <w:r w:rsidRPr="00273EC0">
        <w:rPr>
          <w:rFonts w:ascii="Times New Roman" w:hAnsi="Times New Roman"/>
          <w:szCs w:val="24"/>
        </w:rPr>
        <w:t xml:space="preserve">PIRES, M. </w:t>
      </w:r>
      <w:r w:rsidRPr="00273EC0">
        <w:rPr>
          <w:rFonts w:ascii="Times New Roman" w:hAnsi="Times New Roman"/>
          <w:b/>
          <w:szCs w:val="24"/>
        </w:rPr>
        <w:t>Política fiscal e ciclos econômicos: teoria e experiência recente</w:t>
      </w:r>
      <w:r w:rsidRPr="00273EC0">
        <w:rPr>
          <w:rFonts w:ascii="Times New Roman" w:hAnsi="Times New Roman"/>
          <w:szCs w:val="24"/>
        </w:rPr>
        <w:t>. Rio de Janeiro, Elsevier: FGV, 2017.</w:t>
      </w:r>
    </w:p>
    <w:p w14:paraId="0C65F7AE" w14:textId="77777777" w:rsidR="000E1E46" w:rsidRDefault="000E1E46" w:rsidP="000E1E46">
      <w:pPr>
        <w:pStyle w:val="CEI-CorpoTexto"/>
        <w:spacing w:before="240" w:after="240" w:line="240" w:lineRule="auto"/>
        <w:rPr>
          <w:rFonts w:ascii="Times New Roman" w:hAnsi="Times New Roman"/>
          <w:szCs w:val="24"/>
        </w:rPr>
      </w:pPr>
      <w:r w:rsidRPr="00F82B00">
        <w:rPr>
          <w:rFonts w:ascii="Times New Roman" w:hAnsi="Times New Roman"/>
          <w:szCs w:val="24"/>
          <w:lang w:val="en-US"/>
        </w:rPr>
        <w:t xml:space="preserve">TUFTE, E. R. The Political Control of the Economy. </w:t>
      </w:r>
      <w:r w:rsidRPr="00F82B00">
        <w:rPr>
          <w:rFonts w:ascii="Times New Roman" w:hAnsi="Times New Roman"/>
          <w:szCs w:val="24"/>
        </w:rPr>
        <w:t>Princeton: Princeton University Press, 1978.</w:t>
      </w:r>
    </w:p>
    <w:p w14:paraId="7D91BAA1" w14:textId="77777777" w:rsidR="000E1E46" w:rsidRDefault="000E1E46" w:rsidP="00870F79">
      <w:pPr>
        <w:pStyle w:val="FJP-CorpoTexto"/>
        <w:spacing w:line="480" w:lineRule="auto"/>
        <w:rPr>
          <w:rFonts w:ascii="Times New Roman" w:hAnsi="Times New Roman"/>
          <w:sz w:val="24"/>
          <w:szCs w:val="24"/>
        </w:rPr>
      </w:pPr>
    </w:p>
    <w:sectPr w:rsidR="000E1E46" w:rsidSect="000E1E4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BA7C2" w14:textId="77777777" w:rsidR="008900F6" w:rsidRDefault="008900F6" w:rsidP="004312BF">
      <w:r>
        <w:separator/>
      </w:r>
    </w:p>
  </w:endnote>
  <w:endnote w:type="continuationSeparator" w:id="0">
    <w:p w14:paraId="406C4511" w14:textId="77777777" w:rsidR="008900F6" w:rsidRDefault="008900F6" w:rsidP="00431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D83E7" w14:textId="77777777" w:rsidR="008900F6" w:rsidRDefault="008900F6" w:rsidP="004312BF">
      <w:r>
        <w:separator/>
      </w:r>
    </w:p>
  </w:footnote>
  <w:footnote w:type="continuationSeparator" w:id="0">
    <w:p w14:paraId="135EE03D" w14:textId="77777777" w:rsidR="008900F6" w:rsidRDefault="008900F6" w:rsidP="004312BF">
      <w:r>
        <w:continuationSeparator/>
      </w:r>
    </w:p>
  </w:footnote>
  <w:footnote w:id="1">
    <w:p w14:paraId="595A768F" w14:textId="49512DDD" w:rsidR="000E1E46" w:rsidRDefault="000E1E46" w:rsidP="00DA433A">
      <w:pPr>
        <w:pStyle w:val="Textodenotaderodap"/>
        <w:ind w:left="142" w:hanging="142"/>
        <w:jc w:val="both"/>
      </w:pPr>
      <w:r>
        <w:rPr>
          <w:rStyle w:val="Refdenotaderodap"/>
        </w:rPr>
        <w:footnoteRef/>
      </w:r>
      <w:r>
        <w:rPr>
          <w:rFonts w:asciiTheme="minorHAnsi" w:hAnsiTheme="minorHAnsi" w:cstheme="minorHAnsi"/>
          <w:sz w:val="18"/>
          <w:szCs w:val="18"/>
        </w:rPr>
        <w:t xml:space="preserve"> A classificação da orientação partidária de um partido não é tarefa simples (ver Arvate, Lucinda e Avelino, 2010)</w:t>
      </w:r>
      <w:r w:rsidRPr="003B1697">
        <w:rPr>
          <w:rFonts w:asciiTheme="minorHAnsi" w:hAnsiTheme="minorHAnsi" w:cstheme="minorHAnsi"/>
          <w:sz w:val="18"/>
          <w:szCs w:val="18"/>
        </w:rPr>
        <w:t>.</w:t>
      </w:r>
      <w:r>
        <w:rPr>
          <w:rFonts w:asciiTheme="minorHAnsi" w:hAnsiTheme="minorHAnsi" w:cstheme="minorHAnsi"/>
          <w:sz w:val="18"/>
          <w:szCs w:val="18"/>
        </w:rPr>
        <w:t xml:space="preserve"> Assume-se aqui que a ideologia partidária do PT está mais esquerda do que a do PSDB. </w:t>
      </w:r>
    </w:p>
  </w:footnote>
  <w:footnote w:id="2">
    <w:p w14:paraId="165026F2" w14:textId="0AC118E9" w:rsidR="000E1E46" w:rsidRDefault="000E1E46" w:rsidP="00576262">
      <w:pPr>
        <w:pStyle w:val="Textodenotaderodap"/>
        <w:ind w:left="142" w:hanging="142"/>
        <w:jc w:val="both"/>
      </w:pPr>
      <w:r>
        <w:rPr>
          <w:rStyle w:val="Refdenotaderodap"/>
        </w:rPr>
        <w:footnoteRef/>
      </w:r>
      <w:r>
        <w:t xml:space="preserve"> </w:t>
      </w:r>
      <w:r w:rsidRPr="00576262">
        <w:rPr>
          <w:rFonts w:asciiTheme="minorHAnsi" w:hAnsiTheme="minorHAnsi" w:cstheme="minorHAnsi"/>
          <w:sz w:val="18"/>
          <w:szCs w:val="18"/>
        </w:rPr>
        <w:t>A maior parte dos dados apresentados nessa seção foi obtida no Armazém-SIAFI do estado de Minas Gerais. Importante destacar que, dependendo da forma como se realiza a consulta, os resultados podem diferir. Após a conferência dos valores, optou-se por utilizar os dados do assunto EXECUÇÃO CONSOLIDADA DESPESA ORÇAMENTÁRIA</w:t>
      </w:r>
      <w:r w:rsidRPr="00576262">
        <w:t>.</w:t>
      </w:r>
    </w:p>
  </w:footnote>
  <w:footnote w:id="3">
    <w:p w14:paraId="7E833931" w14:textId="77777777" w:rsidR="000E1E46" w:rsidRPr="001B3010" w:rsidRDefault="000E1E46" w:rsidP="004312BF">
      <w:pPr>
        <w:pStyle w:val="Textodenotaderodap"/>
        <w:ind w:left="142" w:hanging="142"/>
        <w:jc w:val="both"/>
        <w:rPr>
          <w:rFonts w:asciiTheme="minorHAnsi" w:hAnsiTheme="minorHAnsi" w:cstheme="minorHAnsi"/>
          <w:sz w:val="18"/>
          <w:szCs w:val="18"/>
        </w:rPr>
      </w:pPr>
      <w:r w:rsidRPr="001B3010">
        <w:rPr>
          <w:rStyle w:val="Refdenotaderodap"/>
          <w:rFonts w:asciiTheme="minorHAnsi" w:hAnsiTheme="minorHAnsi" w:cstheme="minorHAnsi"/>
          <w:sz w:val="18"/>
          <w:szCs w:val="18"/>
        </w:rPr>
        <w:footnoteRef/>
      </w:r>
      <w:r w:rsidRPr="001B3010">
        <w:rPr>
          <w:rFonts w:asciiTheme="minorHAnsi" w:hAnsiTheme="minorHAnsi" w:cstheme="minorHAnsi"/>
          <w:sz w:val="18"/>
          <w:szCs w:val="18"/>
        </w:rPr>
        <w:t xml:space="preserve"> De acordo com o comitê de Datação de Ciclos Econômicos (CODACE), a recessão econômica brasileira durou onze trimestres – entre o segundo trimestre de 2014 e o quarto trimestre de 2016.</w:t>
      </w:r>
    </w:p>
  </w:footnote>
  <w:footnote w:id="4">
    <w:p w14:paraId="0B360690" w14:textId="77777777" w:rsidR="000E1E46" w:rsidRPr="001B3010" w:rsidRDefault="000E1E46" w:rsidP="004312BF">
      <w:pPr>
        <w:pStyle w:val="Textodenotaderodap"/>
        <w:ind w:left="142" w:hanging="142"/>
        <w:jc w:val="both"/>
        <w:rPr>
          <w:rFonts w:asciiTheme="minorHAnsi" w:hAnsiTheme="minorHAnsi" w:cstheme="minorHAnsi"/>
          <w:sz w:val="18"/>
          <w:szCs w:val="18"/>
        </w:rPr>
      </w:pPr>
      <w:r w:rsidRPr="001B3010">
        <w:rPr>
          <w:rStyle w:val="Refdenotaderodap"/>
          <w:rFonts w:asciiTheme="minorHAnsi" w:hAnsiTheme="minorHAnsi" w:cstheme="minorHAnsi"/>
          <w:sz w:val="18"/>
          <w:szCs w:val="18"/>
        </w:rPr>
        <w:footnoteRef/>
      </w:r>
      <w:r w:rsidRPr="001B3010">
        <w:rPr>
          <w:rFonts w:asciiTheme="minorHAnsi" w:hAnsiTheme="minorHAnsi" w:cstheme="minorHAnsi"/>
          <w:sz w:val="18"/>
          <w:szCs w:val="18"/>
        </w:rPr>
        <w:t xml:space="preserve"> A Portaria STN nº 328, de 27/08/2001, estabeleceu para os Estados, Distrito Federal e Municípios, novos procedimentos contábeis para registro dos recursos destinados e oriundos do FUNDEF. Essas mudanças foram adotadas em Minas Gerais a partir de 2004. Portanto, os valores de 2002 e 2003 da tabela 1 são diferentes do relatório contábil da Secretaria de Fazenda.</w:t>
      </w:r>
    </w:p>
  </w:footnote>
  <w:footnote w:id="5">
    <w:p w14:paraId="32A67C3C" w14:textId="77777777" w:rsidR="000E1E46" w:rsidRPr="0050603A" w:rsidRDefault="000E1E46" w:rsidP="004312BF">
      <w:pPr>
        <w:pStyle w:val="Textodenotaderodap"/>
        <w:ind w:left="126" w:hanging="126"/>
        <w:jc w:val="both"/>
        <w:rPr>
          <w:rFonts w:asciiTheme="minorHAnsi" w:hAnsiTheme="minorHAnsi" w:cstheme="minorHAnsi"/>
          <w:sz w:val="18"/>
          <w:szCs w:val="18"/>
        </w:rPr>
      </w:pPr>
      <w:r w:rsidRPr="0050603A">
        <w:rPr>
          <w:rStyle w:val="Refdenotaderodap"/>
          <w:rFonts w:asciiTheme="minorHAnsi" w:hAnsiTheme="minorHAnsi" w:cstheme="minorHAnsi"/>
          <w:sz w:val="18"/>
          <w:szCs w:val="18"/>
        </w:rPr>
        <w:footnoteRef/>
      </w:r>
      <w:r w:rsidRPr="0050603A">
        <w:rPr>
          <w:rFonts w:asciiTheme="minorHAnsi" w:hAnsiTheme="minorHAnsi" w:cstheme="minorHAnsi"/>
          <w:sz w:val="18"/>
          <w:szCs w:val="18"/>
        </w:rPr>
        <w:t xml:space="preserve"> A receita efetivada corresponde ao ingresso das receitas nos cofres públicos. A despesa realizada é igual </w:t>
      </w:r>
      <w:r w:rsidRPr="0050603A">
        <w:rPr>
          <w:rFonts w:asciiTheme="minorHAnsi" w:hAnsiTheme="minorHAnsi" w:cstheme="minorHAnsi"/>
          <w:color w:val="000000" w:themeColor="text1"/>
          <w:sz w:val="18"/>
          <w:szCs w:val="18"/>
        </w:rPr>
        <w:t xml:space="preserve">a despesa liquidada ao longo do ano e a despesa empenhada no encerramento do exercício. </w:t>
      </w:r>
    </w:p>
  </w:footnote>
  <w:footnote w:id="6">
    <w:p w14:paraId="37F8CCEF" w14:textId="77777777" w:rsidR="000E1E46" w:rsidRPr="00BB50EC" w:rsidRDefault="000E1E46" w:rsidP="004312BF">
      <w:pPr>
        <w:pStyle w:val="Textodenotaderodap"/>
        <w:ind w:left="98" w:hanging="98"/>
        <w:jc w:val="both"/>
        <w:rPr>
          <w:rFonts w:asciiTheme="minorHAnsi" w:hAnsiTheme="minorHAnsi" w:cstheme="minorHAnsi"/>
          <w:sz w:val="18"/>
          <w:szCs w:val="18"/>
        </w:rPr>
      </w:pPr>
      <w:r w:rsidRPr="00BB50EC">
        <w:rPr>
          <w:rStyle w:val="Refdenotaderodap"/>
          <w:rFonts w:asciiTheme="minorHAnsi" w:hAnsiTheme="minorHAnsi" w:cstheme="minorHAnsi"/>
          <w:sz w:val="18"/>
          <w:szCs w:val="18"/>
        </w:rPr>
        <w:footnoteRef/>
      </w:r>
      <w:r w:rsidRPr="00BB50EC">
        <w:rPr>
          <w:rFonts w:asciiTheme="minorHAnsi" w:hAnsiTheme="minorHAnsi" w:cstheme="minorHAnsi"/>
          <w:sz w:val="18"/>
          <w:szCs w:val="18"/>
        </w:rPr>
        <w:t xml:space="preserve"> Entre 2010 e 2011, houve uma queda de aproximadamente 10 pontos percentuais na razão despesas com pessoal/Receita Corrente Líquida (RCL). Essa mudança brusca se relaciona a criação de um novo item de despesa, classificado no grupo de despesa outras despesas correntes, qual seja: aporte para cobertura do déficit atuarial do regime de previdência dos servidores públicos (RPPS). Seguindo a portaria conjunta STN/SOF nº2/2010, os gastos nesse item passaram a ser descontados do gasto total com pessoal (SEPLAG, 2018). Caso esse</w:t>
      </w:r>
      <w:r>
        <w:rPr>
          <w:rFonts w:asciiTheme="minorHAnsi" w:hAnsiTheme="minorHAnsi" w:cstheme="minorHAnsi"/>
          <w:sz w:val="18"/>
          <w:szCs w:val="18"/>
        </w:rPr>
        <w:t>s</w:t>
      </w:r>
      <w:r w:rsidRPr="00BB50EC">
        <w:rPr>
          <w:rFonts w:asciiTheme="minorHAnsi" w:hAnsiTheme="minorHAnsi" w:cstheme="minorHAnsi"/>
          <w:sz w:val="18"/>
          <w:szCs w:val="18"/>
        </w:rPr>
        <w:t xml:space="preserve"> gastos fossem considerado</w:t>
      </w:r>
      <w:r>
        <w:rPr>
          <w:rFonts w:asciiTheme="minorHAnsi" w:hAnsiTheme="minorHAnsi" w:cstheme="minorHAnsi"/>
          <w:sz w:val="18"/>
          <w:szCs w:val="18"/>
        </w:rPr>
        <w:t xml:space="preserve">s </w:t>
      </w:r>
      <w:r w:rsidRPr="00BB50EC">
        <w:rPr>
          <w:rFonts w:asciiTheme="minorHAnsi" w:hAnsiTheme="minorHAnsi" w:cstheme="minorHAnsi"/>
          <w:sz w:val="18"/>
          <w:szCs w:val="18"/>
        </w:rPr>
        <w:t>em 2011, por exemplo, a razão despesas com pessoal/RCL seria de 49,21% e não 38,85%.</w:t>
      </w:r>
    </w:p>
  </w:footnote>
  <w:footnote w:id="7">
    <w:p w14:paraId="5EDABD12" w14:textId="77777777" w:rsidR="000E1E46" w:rsidRPr="001B3010" w:rsidRDefault="000E1E46" w:rsidP="004312BF">
      <w:pPr>
        <w:pStyle w:val="Textodenotaderodap"/>
        <w:ind w:left="142" w:hanging="142"/>
        <w:jc w:val="both"/>
        <w:rPr>
          <w:rFonts w:asciiTheme="minorHAnsi" w:hAnsiTheme="minorHAnsi" w:cstheme="minorHAnsi"/>
          <w:sz w:val="18"/>
          <w:szCs w:val="18"/>
        </w:rPr>
      </w:pPr>
      <w:r w:rsidRPr="001B3010">
        <w:rPr>
          <w:rStyle w:val="Refdenotaderodap"/>
          <w:rFonts w:asciiTheme="minorHAnsi" w:hAnsiTheme="minorHAnsi" w:cstheme="minorHAnsi"/>
          <w:sz w:val="18"/>
          <w:szCs w:val="18"/>
        </w:rPr>
        <w:footnoteRef/>
      </w:r>
      <w:r w:rsidRPr="001B3010">
        <w:rPr>
          <w:rFonts w:asciiTheme="minorHAnsi" w:hAnsiTheme="minorHAnsi" w:cstheme="minorHAnsi"/>
          <w:sz w:val="18"/>
          <w:szCs w:val="18"/>
        </w:rPr>
        <w:t xml:space="preserve"> Os dados do último quadriênio, por motivos óbvios, não estão ainda disponíveis. Desse modo, utilizou-se os dados do triênio. A comparação com base em triênios, ou seja, excluindo o último ano de cada quadriênio, gera resultados bastante semelhantes. </w:t>
      </w:r>
    </w:p>
  </w:footnote>
  <w:footnote w:id="8">
    <w:p w14:paraId="089449FD" w14:textId="77777777" w:rsidR="000E1E46" w:rsidRPr="00E0283F" w:rsidRDefault="000E1E46" w:rsidP="004312BF">
      <w:pPr>
        <w:pStyle w:val="Textodenotaderodap"/>
        <w:ind w:left="142" w:hanging="142"/>
        <w:jc w:val="both"/>
        <w:rPr>
          <w:rFonts w:asciiTheme="minorHAnsi" w:hAnsiTheme="minorHAnsi" w:cstheme="minorHAnsi"/>
          <w:sz w:val="18"/>
          <w:szCs w:val="18"/>
        </w:rPr>
      </w:pPr>
      <w:r w:rsidRPr="001B3010">
        <w:rPr>
          <w:rStyle w:val="Refdenotaderodap"/>
          <w:rFonts w:asciiTheme="minorHAnsi" w:hAnsiTheme="minorHAnsi" w:cstheme="minorHAnsi"/>
          <w:sz w:val="18"/>
          <w:szCs w:val="18"/>
        </w:rPr>
        <w:footnoteRef/>
      </w:r>
      <w:r w:rsidRPr="001B3010">
        <w:rPr>
          <w:rFonts w:asciiTheme="minorHAnsi" w:hAnsiTheme="minorHAnsi" w:cstheme="minorHAnsi"/>
          <w:sz w:val="18"/>
          <w:szCs w:val="18"/>
        </w:rPr>
        <w:t xml:space="preserve"> Alternativamente, estudos fiscais, tal qual o do Instituto de Pesquisa Econômica Aplicada (IPEA) de 2014, avaliam o crescimento da receita/despesa em proporção do PIB. Entretanto, tendo em vista a crise do último triênio, optou-se por avaliar apenas a taxa de crescimento em termos nominais, comparando-a a inflação observada. </w:t>
      </w:r>
      <w:r w:rsidRPr="001B3010">
        <w:rPr>
          <w:rFonts w:asciiTheme="minorHAnsi" w:hAnsiTheme="minorHAnsi" w:cstheme="minorHAnsi"/>
          <w:color w:val="000000" w:themeColor="text1"/>
          <w:sz w:val="18"/>
          <w:szCs w:val="18"/>
        </w:rPr>
        <w:t xml:space="preserve">Os cálculos em proporção do PIB inclusive, levam a </w:t>
      </w:r>
      <w:r w:rsidRPr="00E0283F">
        <w:rPr>
          <w:rFonts w:asciiTheme="minorHAnsi" w:hAnsiTheme="minorHAnsi" w:cstheme="minorHAnsi"/>
          <w:sz w:val="18"/>
          <w:szCs w:val="18"/>
        </w:rPr>
        <w:t>interpretações diferentes, caso não se utilize medidas alternativas para o último triênio (e.g., PIB “tendencial”).</w:t>
      </w:r>
    </w:p>
  </w:footnote>
  <w:footnote w:id="9">
    <w:p w14:paraId="3BE71859" w14:textId="77777777" w:rsidR="000E1E46" w:rsidRPr="00296A36" w:rsidRDefault="000E1E46" w:rsidP="00E12C75">
      <w:pPr>
        <w:pStyle w:val="Textodenotaderodap"/>
        <w:ind w:left="98" w:hanging="98"/>
        <w:jc w:val="both"/>
        <w:rPr>
          <w:rFonts w:asciiTheme="minorHAnsi" w:hAnsiTheme="minorHAnsi"/>
          <w:sz w:val="18"/>
          <w:szCs w:val="18"/>
        </w:rPr>
      </w:pPr>
      <w:r w:rsidRPr="00296A36">
        <w:rPr>
          <w:vertAlign w:val="superscript"/>
        </w:rPr>
        <w:footnoteRef/>
      </w:r>
      <w:r w:rsidRPr="00296A36">
        <w:rPr>
          <w:rFonts w:asciiTheme="minorHAnsi" w:hAnsiTheme="minorHAnsi"/>
          <w:sz w:val="18"/>
          <w:szCs w:val="18"/>
          <w:vertAlign w:val="superscript"/>
        </w:rPr>
        <w:t xml:space="preserve"> </w:t>
      </w:r>
      <w:r w:rsidRPr="00296A36">
        <w:rPr>
          <w:rFonts w:asciiTheme="minorHAnsi" w:hAnsiTheme="minorHAnsi"/>
          <w:sz w:val="18"/>
          <w:szCs w:val="18"/>
        </w:rPr>
        <w:t xml:space="preserve">As diferenças mais marcantes entre a estrutura da receita de 2002 vis-à-vis a de 2017 são: i) a queda da participação da receita das contribuições e ii) a diminuição significativa das receitas de capital. </w:t>
      </w:r>
      <w:r w:rsidRPr="00E0283F">
        <w:rPr>
          <w:rFonts w:asciiTheme="minorHAnsi" w:hAnsiTheme="minorHAnsi" w:cstheme="minorHAnsi"/>
          <w:sz w:val="18"/>
          <w:szCs w:val="18"/>
        </w:rPr>
        <w:t>Outra diferença importante é a discriminação das receitas intra-orçamentária, conforme a portaria 338/2006. Desde 2009, tem sido adotada essa sistemática. Essas receitas são provenientes de operações entre órgãos e entidades integrantes da administração pública estadual. O objetivo do registro dessas operações é contabilizar, separadamente, essas receitas, a fim de distingui-las da arrecadação de receita “nova”.</w:t>
      </w:r>
    </w:p>
  </w:footnote>
  <w:footnote w:id="10">
    <w:p w14:paraId="2B9DD2F8" w14:textId="77777777" w:rsidR="000E1E46" w:rsidRPr="00383906" w:rsidRDefault="000E1E46" w:rsidP="00E12C75">
      <w:pPr>
        <w:pStyle w:val="Textodenotaderodap"/>
        <w:ind w:left="98" w:hanging="98"/>
        <w:jc w:val="both"/>
        <w:rPr>
          <w:rFonts w:asciiTheme="minorHAnsi" w:hAnsiTheme="minorHAnsi" w:cstheme="minorHAnsi"/>
          <w:sz w:val="18"/>
          <w:szCs w:val="18"/>
        </w:rPr>
      </w:pPr>
      <w:r w:rsidRPr="00296A36">
        <w:rPr>
          <w:vertAlign w:val="superscript"/>
        </w:rPr>
        <w:footnoteRef/>
      </w:r>
      <w:r w:rsidRPr="00296A36">
        <w:rPr>
          <w:vertAlign w:val="superscript"/>
        </w:rPr>
        <w:t xml:space="preserve"> </w:t>
      </w:r>
      <w:r w:rsidRPr="00296A36">
        <w:rPr>
          <w:rFonts w:asciiTheme="minorHAnsi" w:hAnsiTheme="minorHAnsi"/>
          <w:sz w:val="18"/>
          <w:szCs w:val="18"/>
        </w:rPr>
        <w:t>À exceção das receitas oriundas de operações de crédito, que em 2012 e 2013 cresceram acima de 5% ao ano.</w:t>
      </w:r>
    </w:p>
  </w:footnote>
  <w:footnote w:id="11">
    <w:p w14:paraId="60B33641" w14:textId="77777777" w:rsidR="000E1E46" w:rsidRPr="00D06BDB" w:rsidRDefault="000E1E46" w:rsidP="004312BF">
      <w:pPr>
        <w:pStyle w:val="Textodenotaderodap"/>
        <w:rPr>
          <w:rFonts w:asciiTheme="minorHAnsi" w:hAnsiTheme="minorHAnsi" w:cstheme="minorHAnsi"/>
          <w:sz w:val="18"/>
          <w:szCs w:val="18"/>
        </w:rPr>
      </w:pPr>
      <w:r w:rsidRPr="00D06BDB">
        <w:rPr>
          <w:rStyle w:val="Refdenotaderodap"/>
          <w:rFonts w:asciiTheme="minorHAnsi" w:hAnsiTheme="minorHAnsi" w:cstheme="minorHAnsi"/>
          <w:sz w:val="18"/>
          <w:szCs w:val="18"/>
        </w:rPr>
        <w:footnoteRef/>
      </w:r>
      <w:r w:rsidRPr="00D06BDB">
        <w:rPr>
          <w:rFonts w:asciiTheme="minorHAnsi" w:hAnsiTheme="minorHAnsi" w:cstheme="minorHAnsi"/>
          <w:sz w:val="18"/>
          <w:szCs w:val="18"/>
        </w:rPr>
        <w:t xml:space="preserve"> O repasse dos depósitos judiciais foi suspenso, em razão da Ação Direta de Inconstitucionalidade (ADIN) nº 5353.</w:t>
      </w:r>
    </w:p>
  </w:footnote>
  <w:footnote w:id="12">
    <w:p w14:paraId="548C7B13" w14:textId="0F119372" w:rsidR="000E1E46" w:rsidRPr="00D06BDB" w:rsidRDefault="000E1E46" w:rsidP="004312BF">
      <w:pPr>
        <w:pStyle w:val="Textodenotaderodap"/>
        <w:ind w:left="168" w:hanging="168"/>
        <w:jc w:val="both"/>
        <w:rPr>
          <w:rFonts w:asciiTheme="minorHAnsi" w:hAnsiTheme="minorHAnsi" w:cstheme="minorHAnsi"/>
          <w:sz w:val="18"/>
          <w:szCs w:val="18"/>
        </w:rPr>
      </w:pPr>
      <w:r w:rsidRPr="00D06BDB">
        <w:rPr>
          <w:rStyle w:val="Refdenotaderodap"/>
          <w:rFonts w:asciiTheme="minorHAnsi" w:hAnsiTheme="minorHAnsi" w:cstheme="minorHAnsi"/>
          <w:sz w:val="18"/>
          <w:szCs w:val="18"/>
        </w:rPr>
        <w:footnoteRef/>
      </w:r>
      <w:r w:rsidRPr="00D06BDB">
        <w:rPr>
          <w:rFonts w:asciiTheme="minorHAnsi" w:hAnsiTheme="minorHAnsi" w:cstheme="minorHAnsi"/>
          <w:sz w:val="18"/>
          <w:szCs w:val="18"/>
        </w:rPr>
        <w:t xml:space="preserve"> No gráfico da estrutura das despesas de 2017, não detalhamos as despesas intra-orcamentária, que também passaram a ser </w:t>
      </w:r>
      <w:r>
        <w:rPr>
          <w:rFonts w:asciiTheme="minorHAnsi" w:hAnsiTheme="minorHAnsi" w:cstheme="minorHAnsi"/>
          <w:sz w:val="18"/>
          <w:szCs w:val="18"/>
        </w:rPr>
        <w:t>discriminadas a partir de 2009. No grupo de natureza outras despesas correntes, a</w:t>
      </w:r>
      <w:r w:rsidRPr="00AC0350">
        <w:rPr>
          <w:rFonts w:asciiTheme="minorHAnsi" w:hAnsiTheme="minorHAnsi" w:cstheme="minorHAnsi"/>
          <w:sz w:val="18"/>
          <w:szCs w:val="18"/>
        </w:rPr>
        <w:t xml:space="preserve"> maior parcela das despesas intra-orcamentária se refere aos aportes para cobertura do déficit do déficit atual do regime do servidor público (RPPS) e às contribuições do Fundo Estadual de Saúde (FES) decorrentes da Lei Complementar 141 de 2012 (que regulamenta os valores mínimos a serem aplicados em saúde). E as obrigações patronais do pessoal ativo e inativo são a principal despesa do grupo pessoal e encargos sociais.</w:t>
      </w:r>
      <w:r w:rsidRPr="00296A36">
        <w:rPr>
          <w:rFonts w:asciiTheme="minorHAnsi" w:hAnsiTheme="minorHAnsi" w:cstheme="minorHAnsi"/>
          <w:sz w:val="18"/>
          <w:szCs w:val="18"/>
        </w:rPr>
        <w:t xml:space="preserve"> </w:t>
      </w:r>
    </w:p>
  </w:footnote>
  <w:footnote w:id="13">
    <w:p w14:paraId="2C5A7932" w14:textId="77777777" w:rsidR="000E1E46" w:rsidRPr="001B3010" w:rsidRDefault="000E1E46" w:rsidP="00296A36">
      <w:pPr>
        <w:pStyle w:val="Textodenotaderodap"/>
        <w:rPr>
          <w:rFonts w:asciiTheme="minorHAnsi" w:hAnsiTheme="minorHAnsi" w:cstheme="minorHAnsi"/>
          <w:sz w:val="18"/>
          <w:szCs w:val="18"/>
        </w:rPr>
      </w:pPr>
      <w:r w:rsidRPr="001B3010">
        <w:rPr>
          <w:rStyle w:val="Refdenotaderodap"/>
          <w:rFonts w:asciiTheme="minorHAnsi" w:hAnsiTheme="minorHAnsi" w:cstheme="minorHAnsi"/>
          <w:sz w:val="18"/>
          <w:szCs w:val="18"/>
        </w:rPr>
        <w:footnoteRef/>
      </w:r>
      <w:r w:rsidRPr="001B3010">
        <w:rPr>
          <w:rFonts w:asciiTheme="minorHAnsi" w:hAnsiTheme="minorHAnsi" w:cstheme="minorHAnsi"/>
          <w:sz w:val="18"/>
          <w:szCs w:val="18"/>
        </w:rPr>
        <w:t xml:space="preserve"> Ocioso notar que dada sua pequena magnitude, a oscilação da </w:t>
      </w:r>
      <w:r>
        <w:rPr>
          <w:rFonts w:asciiTheme="minorHAnsi" w:hAnsiTheme="minorHAnsi" w:cstheme="minorHAnsi"/>
          <w:sz w:val="18"/>
          <w:szCs w:val="18"/>
        </w:rPr>
        <w:t>média dos gastos é muito maior.</w:t>
      </w:r>
    </w:p>
  </w:footnote>
  <w:footnote w:id="14">
    <w:p w14:paraId="30285E51" w14:textId="3FC45842" w:rsidR="000E1E46" w:rsidRPr="001B3010" w:rsidRDefault="000E1E46" w:rsidP="00D45F4C">
      <w:pPr>
        <w:pStyle w:val="Textodenotaderodap"/>
        <w:ind w:left="168" w:hanging="168"/>
        <w:jc w:val="both"/>
        <w:rPr>
          <w:rFonts w:asciiTheme="minorHAnsi" w:hAnsiTheme="minorHAnsi" w:cstheme="minorHAnsi"/>
          <w:sz w:val="18"/>
          <w:szCs w:val="18"/>
        </w:rPr>
      </w:pPr>
      <w:r w:rsidRPr="001B3010">
        <w:rPr>
          <w:rStyle w:val="Refdenotaderodap"/>
          <w:rFonts w:asciiTheme="minorHAnsi" w:hAnsiTheme="minorHAnsi" w:cstheme="minorHAnsi"/>
          <w:sz w:val="18"/>
          <w:szCs w:val="18"/>
        </w:rPr>
        <w:footnoteRef/>
      </w:r>
      <w:r w:rsidRPr="001B3010">
        <w:rPr>
          <w:rFonts w:asciiTheme="minorHAnsi" w:hAnsiTheme="minorHAnsi" w:cstheme="minorHAnsi"/>
          <w:sz w:val="18"/>
          <w:szCs w:val="18"/>
        </w:rPr>
        <w:t xml:space="preserve"> </w:t>
      </w:r>
      <w:r>
        <w:rPr>
          <w:rFonts w:asciiTheme="minorHAnsi" w:hAnsiTheme="minorHAnsi" w:cstheme="minorHAnsi"/>
          <w:sz w:val="18"/>
          <w:szCs w:val="18"/>
        </w:rPr>
        <w:t>N</w:t>
      </w:r>
      <w:r w:rsidRPr="00D45F4C">
        <w:rPr>
          <w:rFonts w:asciiTheme="minorHAnsi" w:hAnsiTheme="minorHAnsi" w:cstheme="minorHAnsi"/>
          <w:sz w:val="18"/>
          <w:szCs w:val="18"/>
        </w:rPr>
        <w:t>a atual gestão do governador Fernando Pimentel</w:t>
      </w:r>
      <w:r>
        <w:rPr>
          <w:rFonts w:asciiTheme="minorHAnsi" w:hAnsiTheme="minorHAnsi" w:cstheme="minorHAnsi"/>
          <w:sz w:val="18"/>
          <w:szCs w:val="18"/>
        </w:rPr>
        <w:t>, houve reajuste dos salários dos servidores da educação</w:t>
      </w:r>
      <w:r w:rsidRPr="00D45F4C">
        <w:rPr>
          <w:rFonts w:asciiTheme="minorHAnsi" w:hAnsiTheme="minorHAnsi" w:cstheme="minorHAnsi"/>
          <w:sz w:val="18"/>
          <w:szCs w:val="18"/>
        </w:rPr>
        <w:t xml:space="preserve"> (lei 21.710, 21/04/16).</w:t>
      </w:r>
      <w:r w:rsidRPr="001B3010">
        <w:rPr>
          <w:rFonts w:asciiTheme="minorHAnsi" w:hAnsiTheme="minorHAnsi" w:cstheme="minorHAnsi"/>
          <w:sz w:val="18"/>
          <w:szCs w:val="18"/>
        </w:rPr>
        <w:t xml:space="preserve"> </w:t>
      </w:r>
    </w:p>
  </w:footnote>
  <w:footnote w:id="15">
    <w:p w14:paraId="72AB763D" w14:textId="1ABFBAB6" w:rsidR="000E1E46" w:rsidRDefault="000E1E46" w:rsidP="00AC0350">
      <w:pPr>
        <w:ind w:left="210" w:hanging="210"/>
        <w:jc w:val="both"/>
        <w:rPr>
          <w:rFonts w:asciiTheme="minorHAnsi" w:hAnsiTheme="minorHAnsi" w:cstheme="minorHAnsi"/>
          <w:sz w:val="18"/>
          <w:szCs w:val="18"/>
        </w:rPr>
      </w:pPr>
      <w:r w:rsidRPr="001B3010">
        <w:rPr>
          <w:rStyle w:val="Refdenotaderodap"/>
          <w:rFonts w:asciiTheme="minorHAnsi" w:hAnsiTheme="minorHAnsi" w:cstheme="minorHAnsi"/>
          <w:sz w:val="18"/>
          <w:szCs w:val="18"/>
        </w:rPr>
        <w:footnoteRef/>
      </w:r>
      <w:r>
        <w:rPr>
          <w:rFonts w:asciiTheme="minorHAnsi" w:hAnsiTheme="minorHAnsi" w:cstheme="minorHAnsi"/>
          <w:iCs/>
          <w:sz w:val="18"/>
          <w:szCs w:val="18"/>
        </w:rPr>
        <w:t xml:space="preserve"> </w:t>
      </w:r>
      <w:r w:rsidRPr="001B3010">
        <w:rPr>
          <w:rFonts w:asciiTheme="minorHAnsi" w:hAnsiTheme="minorHAnsi" w:cstheme="minorHAnsi"/>
          <w:iCs/>
          <w:sz w:val="18"/>
          <w:szCs w:val="18"/>
        </w:rPr>
        <w:t xml:space="preserve">De acordo com a Lei de Diretrizes Orçamentárias (LDO), </w:t>
      </w:r>
      <w:r w:rsidRPr="001B3010">
        <w:rPr>
          <w:rFonts w:asciiTheme="minorHAnsi" w:hAnsiTheme="minorHAnsi" w:cstheme="minorHAnsi"/>
          <w:sz w:val="18"/>
          <w:szCs w:val="18"/>
        </w:rPr>
        <w:t>a base contingenciável corresponde ao total das dotações estabelecidas na lei orçamentária de 2018, excluídas: as vinculações constitucionais;</w:t>
      </w:r>
      <w:r w:rsidRPr="001B3010">
        <w:rPr>
          <w:rFonts w:asciiTheme="minorHAnsi" w:hAnsiTheme="minorHAnsi" w:cstheme="minorHAnsi"/>
          <w:iCs/>
          <w:sz w:val="18"/>
          <w:szCs w:val="18"/>
        </w:rPr>
        <w:t xml:space="preserve"> </w:t>
      </w:r>
      <w:r w:rsidRPr="001B3010">
        <w:rPr>
          <w:rFonts w:asciiTheme="minorHAnsi" w:hAnsiTheme="minorHAnsi" w:cstheme="minorHAnsi"/>
          <w:sz w:val="18"/>
          <w:szCs w:val="18"/>
        </w:rPr>
        <w:t>as obrigações legais;</w:t>
      </w:r>
      <w:r w:rsidRPr="001B3010">
        <w:rPr>
          <w:rFonts w:asciiTheme="minorHAnsi" w:hAnsiTheme="minorHAnsi" w:cstheme="minorHAnsi"/>
          <w:iCs/>
          <w:sz w:val="18"/>
          <w:szCs w:val="18"/>
        </w:rPr>
        <w:t xml:space="preserve"> </w:t>
      </w:r>
      <w:r w:rsidRPr="001B3010">
        <w:rPr>
          <w:rFonts w:asciiTheme="minorHAnsi" w:hAnsiTheme="minorHAnsi" w:cstheme="minorHAnsi"/>
          <w:sz w:val="18"/>
          <w:szCs w:val="18"/>
        </w:rPr>
        <w:t>as despesas com o pagamento de precatórios e sentenças judiciais;</w:t>
      </w:r>
      <w:r w:rsidRPr="001B3010">
        <w:rPr>
          <w:rFonts w:asciiTheme="minorHAnsi" w:hAnsiTheme="minorHAnsi" w:cstheme="minorHAnsi"/>
          <w:iCs/>
          <w:sz w:val="18"/>
          <w:szCs w:val="18"/>
        </w:rPr>
        <w:t xml:space="preserve"> </w:t>
      </w:r>
      <w:r w:rsidRPr="001B3010">
        <w:rPr>
          <w:rFonts w:asciiTheme="minorHAnsi" w:hAnsiTheme="minorHAnsi" w:cstheme="minorHAnsi"/>
          <w:sz w:val="18"/>
          <w:szCs w:val="18"/>
        </w:rPr>
        <w:t>as despesas com pessoal e encargos sociais;</w:t>
      </w:r>
      <w:r w:rsidRPr="001B3010">
        <w:rPr>
          <w:rFonts w:asciiTheme="minorHAnsi" w:hAnsiTheme="minorHAnsi" w:cstheme="minorHAnsi"/>
          <w:iCs/>
          <w:sz w:val="18"/>
          <w:szCs w:val="18"/>
        </w:rPr>
        <w:t xml:space="preserve"> </w:t>
      </w:r>
      <w:r w:rsidRPr="001B3010">
        <w:rPr>
          <w:rFonts w:asciiTheme="minorHAnsi" w:hAnsiTheme="minorHAnsi" w:cstheme="minorHAnsi"/>
          <w:sz w:val="18"/>
          <w:szCs w:val="18"/>
        </w:rPr>
        <w:t>as despesas com juros e encargos da dívida;</w:t>
      </w:r>
      <w:r w:rsidRPr="001B3010">
        <w:rPr>
          <w:rFonts w:asciiTheme="minorHAnsi" w:hAnsiTheme="minorHAnsi" w:cstheme="minorHAnsi"/>
          <w:iCs/>
          <w:sz w:val="18"/>
          <w:szCs w:val="18"/>
        </w:rPr>
        <w:t xml:space="preserve"> </w:t>
      </w:r>
      <w:r w:rsidRPr="001B3010">
        <w:rPr>
          <w:rFonts w:asciiTheme="minorHAnsi" w:hAnsiTheme="minorHAnsi" w:cstheme="minorHAnsi"/>
          <w:sz w:val="18"/>
          <w:szCs w:val="18"/>
        </w:rPr>
        <w:t>as despesas com amortização da dívida; as despesas com auxílio-doença, auxílio-funeral, auxílio-alimentação, auxílio-transporte e auxílio-fardamento financiados com recursos ordinários;</w:t>
      </w:r>
      <w:r w:rsidRPr="001B3010">
        <w:rPr>
          <w:rFonts w:asciiTheme="minorHAnsi" w:hAnsiTheme="minorHAnsi" w:cstheme="minorHAnsi"/>
          <w:iCs/>
          <w:sz w:val="18"/>
          <w:szCs w:val="18"/>
        </w:rPr>
        <w:t xml:space="preserve"> </w:t>
      </w:r>
      <w:r w:rsidRPr="001B3010">
        <w:rPr>
          <w:rFonts w:asciiTheme="minorHAnsi" w:hAnsiTheme="minorHAnsi" w:cstheme="minorHAnsi"/>
          <w:sz w:val="18"/>
          <w:szCs w:val="18"/>
        </w:rPr>
        <w:t>as despesas com o Pasep.</w:t>
      </w:r>
    </w:p>
    <w:p w14:paraId="486A9183" w14:textId="77777777" w:rsidR="000E1E46" w:rsidRPr="00AC0350" w:rsidRDefault="000E1E46" w:rsidP="00AC0350">
      <w:pPr>
        <w:ind w:left="210" w:hanging="210"/>
        <w:jc w:val="both"/>
        <w:rPr>
          <w:rFonts w:asciiTheme="minorHAnsi" w:hAnsiTheme="minorHAnsi" w:cstheme="minorHAnsi"/>
          <w:sz w:val="18"/>
          <w:szCs w:val="1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0BA"/>
    <w:multiLevelType w:val="hybridMultilevel"/>
    <w:tmpl w:val="F2DED95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DF1B2B"/>
    <w:multiLevelType w:val="hybridMultilevel"/>
    <w:tmpl w:val="322645B0"/>
    <w:lvl w:ilvl="0" w:tplc="D236F132">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6E009B"/>
    <w:multiLevelType w:val="hybridMultilevel"/>
    <w:tmpl w:val="D7A098BC"/>
    <w:lvl w:ilvl="0" w:tplc="F7F0379E">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8133C5"/>
    <w:multiLevelType w:val="hybridMultilevel"/>
    <w:tmpl w:val="82B865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26799D"/>
    <w:multiLevelType w:val="hybridMultilevel"/>
    <w:tmpl w:val="7B0874FA"/>
    <w:lvl w:ilvl="0" w:tplc="673829B6">
      <w:numFmt w:val="bullet"/>
      <w:lvlText w:val=""/>
      <w:lvlJc w:val="left"/>
      <w:pPr>
        <w:ind w:left="720" w:hanging="360"/>
      </w:pPr>
      <w:rPr>
        <w:rFonts w:ascii="Symbol" w:eastAsia="Times New Roman"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612519"/>
    <w:multiLevelType w:val="hybridMultilevel"/>
    <w:tmpl w:val="FAD2F2CE"/>
    <w:lvl w:ilvl="0" w:tplc="FDAA2ACA">
      <w:start w:val="1"/>
      <w:numFmt w:val="decimal"/>
      <w:lvlText w:val="(%1)"/>
      <w:lvlJc w:val="left"/>
      <w:pPr>
        <w:ind w:left="912" w:hanging="360"/>
      </w:pPr>
      <w:rPr>
        <w:rFonts w:hint="default"/>
      </w:rPr>
    </w:lvl>
    <w:lvl w:ilvl="1" w:tplc="04160019" w:tentative="1">
      <w:start w:val="1"/>
      <w:numFmt w:val="lowerLetter"/>
      <w:lvlText w:val="%2."/>
      <w:lvlJc w:val="left"/>
      <w:pPr>
        <w:ind w:left="1632" w:hanging="360"/>
      </w:pPr>
    </w:lvl>
    <w:lvl w:ilvl="2" w:tplc="0416001B" w:tentative="1">
      <w:start w:val="1"/>
      <w:numFmt w:val="lowerRoman"/>
      <w:lvlText w:val="%3."/>
      <w:lvlJc w:val="right"/>
      <w:pPr>
        <w:ind w:left="2352" w:hanging="180"/>
      </w:pPr>
    </w:lvl>
    <w:lvl w:ilvl="3" w:tplc="0416000F" w:tentative="1">
      <w:start w:val="1"/>
      <w:numFmt w:val="decimal"/>
      <w:lvlText w:val="%4."/>
      <w:lvlJc w:val="left"/>
      <w:pPr>
        <w:ind w:left="3072" w:hanging="360"/>
      </w:pPr>
    </w:lvl>
    <w:lvl w:ilvl="4" w:tplc="04160019" w:tentative="1">
      <w:start w:val="1"/>
      <w:numFmt w:val="lowerLetter"/>
      <w:lvlText w:val="%5."/>
      <w:lvlJc w:val="left"/>
      <w:pPr>
        <w:ind w:left="3792" w:hanging="360"/>
      </w:pPr>
    </w:lvl>
    <w:lvl w:ilvl="5" w:tplc="0416001B" w:tentative="1">
      <w:start w:val="1"/>
      <w:numFmt w:val="lowerRoman"/>
      <w:lvlText w:val="%6."/>
      <w:lvlJc w:val="right"/>
      <w:pPr>
        <w:ind w:left="4512" w:hanging="180"/>
      </w:pPr>
    </w:lvl>
    <w:lvl w:ilvl="6" w:tplc="0416000F" w:tentative="1">
      <w:start w:val="1"/>
      <w:numFmt w:val="decimal"/>
      <w:lvlText w:val="%7."/>
      <w:lvlJc w:val="left"/>
      <w:pPr>
        <w:ind w:left="5232" w:hanging="360"/>
      </w:pPr>
    </w:lvl>
    <w:lvl w:ilvl="7" w:tplc="04160019" w:tentative="1">
      <w:start w:val="1"/>
      <w:numFmt w:val="lowerLetter"/>
      <w:lvlText w:val="%8."/>
      <w:lvlJc w:val="left"/>
      <w:pPr>
        <w:ind w:left="5952" w:hanging="360"/>
      </w:pPr>
    </w:lvl>
    <w:lvl w:ilvl="8" w:tplc="0416001B" w:tentative="1">
      <w:start w:val="1"/>
      <w:numFmt w:val="lowerRoman"/>
      <w:lvlText w:val="%9."/>
      <w:lvlJc w:val="right"/>
      <w:pPr>
        <w:ind w:left="6672" w:hanging="180"/>
      </w:pPr>
    </w:lvl>
  </w:abstractNum>
  <w:abstractNum w:abstractNumId="6" w15:restartNumberingAfterBreak="0">
    <w:nsid w:val="1D161E82"/>
    <w:multiLevelType w:val="hybridMultilevel"/>
    <w:tmpl w:val="AFB099BE"/>
    <w:lvl w:ilvl="0" w:tplc="71740A68">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1DB26018"/>
    <w:multiLevelType w:val="hybridMultilevel"/>
    <w:tmpl w:val="E72C213A"/>
    <w:lvl w:ilvl="0" w:tplc="0E54E9A4">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03253A6"/>
    <w:multiLevelType w:val="hybridMultilevel"/>
    <w:tmpl w:val="7FB0E8AC"/>
    <w:lvl w:ilvl="0" w:tplc="85801538">
      <w:start w:val="1"/>
      <w:numFmt w:val="decimal"/>
      <w:lvlText w:val="(%1)"/>
      <w:lvlJc w:val="left"/>
      <w:pPr>
        <w:tabs>
          <w:tab w:val="num" w:pos="717"/>
        </w:tabs>
        <w:ind w:left="717" w:hanging="360"/>
      </w:pPr>
      <w:rPr>
        <w:rFonts w:hint="default"/>
      </w:rPr>
    </w:lvl>
    <w:lvl w:ilvl="1" w:tplc="04160019" w:tentative="1">
      <w:start w:val="1"/>
      <w:numFmt w:val="lowerLetter"/>
      <w:lvlText w:val="%2."/>
      <w:lvlJc w:val="left"/>
      <w:pPr>
        <w:tabs>
          <w:tab w:val="num" w:pos="1437"/>
        </w:tabs>
        <w:ind w:left="1437" w:hanging="360"/>
      </w:pPr>
    </w:lvl>
    <w:lvl w:ilvl="2" w:tplc="0416001B" w:tentative="1">
      <w:start w:val="1"/>
      <w:numFmt w:val="lowerRoman"/>
      <w:lvlText w:val="%3."/>
      <w:lvlJc w:val="right"/>
      <w:pPr>
        <w:tabs>
          <w:tab w:val="num" w:pos="2157"/>
        </w:tabs>
        <w:ind w:left="2157" w:hanging="180"/>
      </w:pPr>
    </w:lvl>
    <w:lvl w:ilvl="3" w:tplc="0416000F" w:tentative="1">
      <w:start w:val="1"/>
      <w:numFmt w:val="decimal"/>
      <w:lvlText w:val="%4."/>
      <w:lvlJc w:val="left"/>
      <w:pPr>
        <w:tabs>
          <w:tab w:val="num" w:pos="2877"/>
        </w:tabs>
        <w:ind w:left="2877" w:hanging="360"/>
      </w:pPr>
    </w:lvl>
    <w:lvl w:ilvl="4" w:tplc="04160019" w:tentative="1">
      <w:start w:val="1"/>
      <w:numFmt w:val="lowerLetter"/>
      <w:lvlText w:val="%5."/>
      <w:lvlJc w:val="left"/>
      <w:pPr>
        <w:tabs>
          <w:tab w:val="num" w:pos="3597"/>
        </w:tabs>
        <w:ind w:left="3597" w:hanging="360"/>
      </w:pPr>
    </w:lvl>
    <w:lvl w:ilvl="5" w:tplc="0416001B" w:tentative="1">
      <w:start w:val="1"/>
      <w:numFmt w:val="lowerRoman"/>
      <w:lvlText w:val="%6."/>
      <w:lvlJc w:val="right"/>
      <w:pPr>
        <w:tabs>
          <w:tab w:val="num" w:pos="4317"/>
        </w:tabs>
        <w:ind w:left="4317" w:hanging="180"/>
      </w:pPr>
    </w:lvl>
    <w:lvl w:ilvl="6" w:tplc="0416000F" w:tentative="1">
      <w:start w:val="1"/>
      <w:numFmt w:val="decimal"/>
      <w:lvlText w:val="%7."/>
      <w:lvlJc w:val="left"/>
      <w:pPr>
        <w:tabs>
          <w:tab w:val="num" w:pos="5037"/>
        </w:tabs>
        <w:ind w:left="5037" w:hanging="360"/>
      </w:pPr>
    </w:lvl>
    <w:lvl w:ilvl="7" w:tplc="04160019" w:tentative="1">
      <w:start w:val="1"/>
      <w:numFmt w:val="lowerLetter"/>
      <w:lvlText w:val="%8."/>
      <w:lvlJc w:val="left"/>
      <w:pPr>
        <w:tabs>
          <w:tab w:val="num" w:pos="5757"/>
        </w:tabs>
        <w:ind w:left="5757" w:hanging="360"/>
      </w:pPr>
    </w:lvl>
    <w:lvl w:ilvl="8" w:tplc="0416001B" w:tentative="1">
      <w:start w:val="1"/>
      <w:numFmt w:val="lowerRoman"/>
      <w:lvlText w:val="%9."/>
      <w:lvlJc w:val="right"/>
      <w:pPr>
        <w:tabs>
          <w:tab w:val="num" w:pos="6477"/>
        </w:tabs>
        <w:ind w:left="6477" w:hanging="180"/>
      </w:pPr>
    </w:lvl>
  </w:abstractNum>
  <w:abstractNum w:abstractNumId="9" w15:restartNumberingAfterBreak="0">
    <w:nsid w:val="2B9D5542"/>
    <w:multiLevelType w:val="multilevel"/>
    <w:tmpl w:val="E7A65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F3B15E1"/>
    <w:multiLevelType w:val="hybridMultilevel"/>
    <w:tmpl w:val="03F88C68"/>
    <w:lvl w:ilvl="0" w:tplc="00E4936C">
      <w:start w:val="1"/>
      <w:numFmt w:val="lowerLetter"/>
      <w:lvlText w:val="%1)"/>
      <w:lvlJc w:val="left"/>
      <w:pPr>
        <w:ind w:left="1571" w:hanging="360"/>
      </w:pPr>
      <w:rPr>
        <w:rFonts w:ascii="Times New Roman" w:eastAsiaTheme="minorHAnsi" w:hAnsi="Times New Roman" w:cs="Times New Roman"/>
      </w:rPr>
    </w:lvl>
    <w:lvl w:ilvl="1" w:tplc="04160003">
      <w:start w:val="1"/>
      <w:numFmt w:val="bullet"/>
      <w:lvlText w:val="o"/>
      <w:lvlJc w:val="left"/>
      <w:pPr>
        <w:ind w:left="2291" w:hanging="360"/>
      </w:pPr>
      <w:rPr>
        <w:rFonts w:ascii="Courier New" w:hAnsi="Courier New" w:cs="Courier New"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11" w15:restartNumberingAfterBreak="0">
    <w:nsid w:val="353E3723"/>
    <w:multiLevelType w:val="multilevel"/>
    <w:tmpl w:val="223E09C0"/>
    <w:lvl w:ilvl="0">
      <w:start w:val="1"/>
      <w:numFmt w:val="decimal"/>
      <w:lvlText w:val="%1."/>
      <w:lvlJc w:val="left"/>
      <w:pPr>
        <w:tabs>
          <w:tab w:val="num" w:pos="1425"/>
        </w:tabs>
        <w:ind w:left="1425" w:hanging="360"/>
      </w:pPr>
    </w:lvl>
    <w:lvl w:ilvl="1">
      <w:start w:val="1"/>
      <w:numFmt w:val="lowerLetter"/>
      <w:lvlText w:val="%2."/>
      <w:lvlJc w:val="left"/>
      <w:pPr>
        <w:tabs>
          <w:tab w:val="num" w:pos="2145"/>
        </w:tabs>
        <w:ind w:left="2145" w:hanging="360"/>
      </w:pPr>
    </w:lvl>
    <w:lvl w:ilvl="2">
      <w:start w:val="1"/>
      <w:numFmt w:val="lowerRoman"/>
      <w:lvlText w:val="%3."/>
      <w:lvlJc w:val="right"/>
      <w:pPr>
        <w:tabs>
          <w:tab w:val="num" w:pos="2865"/>
        </w:tabs>
        <w:ind w:left="2865" w:hanging="180"/>
      </w:pPr>
    </w:lvl>
    <w:lvl w:ilvl="3">
      <w:start w:val="1"/>
      <w:numFmt w:val="decimal"/>
      <w:lvlText w:val="%4."/>
      <w:lvlJc w:val="left"/>
      <w:pPr>
        <w:tabs>
          <w:tab w:val="num" w:pos="3585"/>
        </w:tabs>
        <w:ind w:left="3585" w:hanging="360"/>
      </w:pPr>
    </w:lvl>
    <w:lvl w:ilvl="4">
      <w:start w:val="1"/>
      <w:numFmt w:val="lowerLetter"/>
      <w:lvlText w:val="%5."/>
      <w:lvlJc w:val="left"/>
      <w:pPr>
        <w:tabs>
          <w:tab w:val="num" w:pos="4305"/>
        </w:tabs>
        <w:ind w:left="4305" w:hanging="360"/>
      </w:pPr>
    </w:lvl>
    <w:lvl w:ilvl="5">
      <w:start w:val="1"/>
      <w:numFmt w:val="lowerRoman"/>
      <w:lvlText w:val="%6."/>
      <w:lvlJc w:val="right"/>
      <w:pPr>
        <w:tabs>
          <w:tab w:val="num" w:pos="5025"/>
        </w:tabs>
        <w:ind w:left="5025" w:hanging="180"/>
      </w:pPr>
    </w:lvl>
    <w:lvl w:ilvl="6">
      <w:start w:val="1"/>
      <w:numFmt w:val="decimal"/>
      <w:lvlText w:val="%7."/>
      <w:lvlJc w:val="left"/>
      <w:pPr>
        <w:tabs>
          <w:tab w:val="num" w:pos="5745"/>
        </w:tabs>
        <w:ind w:left="5745" w:hanging="360"/>
      </w:pPr>
    </w:lvl>
    <w:lvl w:ilvl="7">
      <w:start w:val="1"/>
      <w:numFmt w:val="lowerLetter"/>
      <w:lvlText w:val="%8."/>
      <w:lvlJc w:val="left"/>
      <w:pPr>
        <w:tabs>
          <w:tab w:val="num" w:pos="6465"/>
        </w:tabs>
        <w:ind w:left="6465" w:hanging="360"/>
      </w:pPr>
    </w:lvl>
    <w:lvl w:ilvl="8">
      <w:start w:val="1"/>
      <w:numFmt w:val="lowerRoman"/>
      <w:lvlText w:val="%9."/>
      <w:lvlJc w:val="right"/>
      <w:pPr>
        <w:tabs>
          <w:tab w:val="num" w:pos="7185"/>
        </w:tabs>
        <w:ind w:left="7185" w:hanging="180"/>
      </w:pPr>
    </w:lvl>
  </w:abstractNum>
  <w:abstractNum w:abstractNumId="12" w15:restartNumberingAfterBreak="0">
    <w:nsid w:val="3BA7428E"/>
    <w:multiLevelType w:val="hybridMultilevel"/>
    <w:tmpl w:val="0BECB002"/>
    <w:lvl w:ilvl="0" w:tplc="39083E18">
      <w:start w:val="1"/>
      <w:numFmt w:val="lowerLetter"/>
      <w:pStyle w:val="Alneattulo1"/>
      <w:lvlText w:val="%1)"/>
      <w:lvlJc w:val="left"/>
      <w:pPr>
        <w:ind w:left="720" w:hanging="360"/>
      </w:pPr>
      <w:rPr>
        <w:rFonts w:ascii="Times New Roman" w:hAnsi="Times New Roman" w:hint="default"/>
        <w:b w:val="0"/>
        <w:i w:val="0"/>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1EF27D8"/>
    <w:multiLevelType w:val="multilevel"/>
    <w:tmpl w:val="F190CC0A"/>
    <w:lvl w:ilvl="0">
      <w:start w:val="1"/>
      <w:numFmt w:val="decimal"/>
      <w:lvlText w:val="%1"/>
      <w:lvlJc w:val="left"/>
      <w:pPr>
        <w:ind w:left="432" w:hanging="432"/>
      </w:pPr>
      <w:rPr>
        <w:rFonts w:hint="default"/>
        <w:b/>
        <w:i w:val="0"/>
        <w:color w:val="auto"/>
        <w:sz w:val="2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i w:val="0"/>
      </w:rPr>
    </w:lvl>
    <w:lvl w:ilvl="3">
      <w:start w:val="1"/>
      <w:numFmt w:val="decimal"/>
      <w:lvlText w:val="%1.%2.%3.%4"/>
      <w:lvlJc w:val="left"/>
      <w:pPr>
        <w:ind w:left="864" w:hanging="864"/>
      </w:pPr>
      <w:rPr>
        <w:rFonts w:hint="default"/>
        <w:b/>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38E6261"/>
    <w:multiLevelType w:val="hybridMultilevel"/>
    <w:tmpl w:val="528C50D8"/>
    <w:lvl w:ilvl="0" w:tplc="4B28D2A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DCA761F"/>
    <w:multiLevelType w:val="hybridMultilevel"/>
    <w:tmpl w:val="9398A6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FF7734C"/>
    <w:multiLevelType w:val="multilevel"/>
    <w:tmpl w:val="223E09C0"/>
    <w:lvl w:ilvl="0">
      <w:start w:val="1"/>
      <w:numFmt w:val="decimal"/>
      <w:lvlText w:val="%1."/>
      <w:lvlJc w:val="left"/>
      <w:pPr>
        <w:tabs>
          <w:tab w:val="num" w:pos="1425"/>
        </w:tabs>
        <w:ind w:left="1425" w:hanging="360"/>
      </w:pPr>
    </w:lvl>
    <w:lvl w:ilvl="1">
      <w:start w:val="1"/>
      <w:numFmt w:val="lowerLetter"/>
      <w:lvlText w:val="%2."/>
      <w:lvlJc w:val="left"/>
      <w:pPr>
        <w:tabs>
          <w:tab w:val="num" w:pos="2145"/>
        </w:tabs>
        <w:ind w:left="2145" w:hanging="360"/>
      </w:pPr>
    </w:lvl>
    <w:lvl w:ilvl="2">
      <w:start w:val="1"/>
      <w:numFmt w:val="lowerRoman"/>
      <w:lvlText w:val="%3."/>
      <w:lvlJc w:val="right"/>
      <w:pPr>
        <w:tabs>
          <w:tab w:val="num" w:pos="2865"/>
        </w:tabs>
        <w:ind w:left="2865" w:hanging="180"/>
      </w:pPr>
    </w:lvl>
    <w:lvl w:ilvl="3">
      <w:start w:val="1"/>
      <w:numFmt w:val="decimal"/>
      <w:lvlText w:val="%4."/>
      <w:lvlJc w:val="left"/>
      <w:pPr>
        <w:tabs>
          <w:tab w:val="num" w:pos="3585"/>
        </w:tabs>
        <w:ind w:left="3585" w:hanging="360"/>
      </w:pPr>
    </w:lvl>
    <w:lvl w:ilvl="4">
      <w:start w:val="1"/>
      <w:numFmt w:val="lowerLetter"/>
      <w:lvlText w:val="%5."/>
      <w:lvlJc w:val="left"/>
      <w:pPr>
        <w:tabs>
          <w:tab w:val="num" w:pos="4305"/>
        </w:tabs>
        <w:ind w:left="4305" w:hanging="360"/>
      </w:pPr>
    </w:lvl>
    <w:lvl w:ilvl="5">
      <w:start w:val="1"/>
      <w:numFmt w:val="lowerRoman"/>
      <w:lvlText w:val="%6."/>
      <w:lvlJc w:val="right"/>
      <w:pPr>
        <w:tabs>
          <w:tab w:val="num" w:pos="5025"/>
        </w:tabs>
        <w:ind w:left="5025" w:hanging="180"/>
      </w:pPr>
    </w:lvl>
    <w:lvl w:ilvl="6">
      <w:start w:val="1"/>
      <w:numFmt w:val="decimal"/>
      <w:lvlText w:val="%7."/>
      <w:lvlJc w:val="left"/>
      <w:pPr>
        <w:tabs>
          <w:tab w:val="num" w:pos="5745"/>
        </w:tabs>
        <w:ind w:left="5745" w:hanging="360"/>
      </w:pPr>
    </w:lvl>
    <w:lvl w:ilvl="7">
      <w:start w:val="1"/>
      <w:numFmt w:val="lowerLetter"/>
      <w:lvlText w:val="%8."/>
      <w:lvlJc w:val="left"/>
      <w:pPr>
        <w:tabs>
          <w:tab w:val="num" w:pos="6465"/>
        </w:tabs>
        <w:ind w:left="6465" w:hanging="360"/>
      </w:pPr>
    </w:lvl>
    <w:lvl w:ilvl="8">
      <w:start w:val="1"/>
      <w:numFmt w:val="lowerRoman"/>
      <w:lvlText w:val="%9."/>
      <w:lvlJc w:val="right"/>
      <w:pPr>
        <w:tabs>
          <w:tab w:val="num" w:pos="7185"/>
        </w:tabs>
        <w:ind w:left="7185" w:hanging="180"/>
      </w:pPr>
    </w:lvl>
  </w:abstractNum>
  <w:abstractNum w:abstractNumId="17" w15:restartNumberingAfterBreak="0">
    <w:nsid w:val="5188185C"/>
    <w:multiLevelType w:val="hybridMultilevel"/>
    <w:tmpl w:val="40567F74"/>
    <w:lvl w:ilvl="0" w:tplc="0F66FF64">
      <w:start w:val="1"/>
      <w:numFmt w:val="decimal"/>
      <w:lvlText w:val="(%1)"/>
      <w:lvlJc w:val="left"/>
      <w:pPr>
        <w:tabs>
          <w:tab w:val="num" w:pos="717"/>
        </w:tabs>
        <w:ind w:left="717" w:hanging="360"/>
      </w:pPr>
      <w:rPr>
        <w:rFonts w:hint="default"/>
      </w:rPr>
    </w:lvl>
    <w:lvl w:ilvl="1" w:tplc="04160019" w:tentative="1">
      <w:start w:val="1"/>
      <w:numFmt w:val="lowerLetter"/>
      <w:lvlText w:val="%2."/>
      <w:lvlJc w:val="left"/>
      <w:pPr>
        <w:tabs>
          <w:tab w:val="num" w:pos="1437"/>
        </w:tabs>
        <w:ind w:left="1437" w:hanging="360"/>
      </w:pPr>
    </w:lvl>
    <w:lvl w:ilvl="2" w:tplc="0416001B" w:tentative="1">
      <w:start w:val="1"/>
      <w:numFmt w:val="lowerRoman"/>
      <w:lvlText w:val="%3."/>
      <w:lvlJc w:val="right"/>
      <w:pPr>
        <w:tabs>
          <w:tab w:val="num" w:pos="2157"/>
        </w:tabs>
        <w:ind w:left="2157" w:hanging="180"/>
      </w:pPr>
    </w:lvl>
    <w:lvl w:ilvl="3" w:tplc="0416000F" w:tentative="1">
      <w:start w:val="1"/>
      <w:numFmt w:val="decimal"/>
      <w:lvlText w:val="%4."/>
      <w:lvlJc w:val="left"/>
      <w:pPr>
        <w:tabs>
          <w:tab w:val="num" w:pos="2877"/>
        </w:tabs>
        <w:ind w:left="2877" w:hanging="360"/>
      </w:pPr>
    </w:lvl>
    <w:lvl w:ilvl="4" w:tplc="04160019" w:tentative="1">
      <w:start w:val="1"/>
      <w:numFmt w:val="lowerLetter"/>
      <w:lvlText w:val="%5."/>
      <w:lvlJc w:val="left"/>
      <w:pPr>
        <w:tabs>
          <w:tab w:val="num" w:pos="3597"/>
        </w:tabs>
        <w:ind w:left="3597" w:hanging="360"/>
      </w:pPr>
    </w:lvl>
    <w:lvl w:ilvl="5" w:tplc="0416001B" w:tentative="1">
      <w:start w:val="1"/>
      <w:numFmt w:val="lowerRoman"/>
      <w:lvlText w:val="%6."/>
      <w:lvlJc w:val="right"/>
      <w:pPr>
        <w:tabs>
          <w:tab w:val="num" w:pos="4317"/>
        </w:tabs>
        <w:ind w:left="4317" w:hanging="180"/>
      </w:pPr>
    </w:lvl>
    <w:lvl w:ilvl="6" w:tplc="0416000F" w:tentative="1">
      <w:start w:val="1"/>
      <w:numFmt w:val="decimal"/>
      <w:lvlText w:val="%7."/>
      <w:lvlJc w:val="left"/>
      <w:pPr>
        <w:tabs>
          <w:tab w:val="num" w:pos="5037"/>
        </w:tabs>
        <w:ind w:left="5037" w:hanging="360"/>
      </w:pPr>
    </w:lvl>
    <w:lvl w:ilvl="7" w:tplc="04160019" w:tentative="1">
      <w:start w:val="1"/>
      <w:numFmt w:val="lowerLetter"/>
      <w:lvlText w:val="%8."/>
      <w:lvlJc w:val="left"/>
      <w:pPr>
        <w:tabs>
          <w:tab w:val="num" w:pos="5757"/>
        </w:tabs>
        <w:ind w:left="5757" w:hanging="360"/>
      </w:pPr>
    </w:lvl>
    <w:lvl w:ilvl="8" w:tplc="0416001B" w:tentative="1">
      <w:start w:val="1"/>
      <w:numFmt w:val="lowerRoman"/>
      <w:lvlText w:val="%9."/>
      <w:lvlJc w:val="right"/>
      <w:pPr>
        <w:tabs>
          <w:tab w:val="num" w:pos="6477"/>
        </w:tabs>
        <w:ind w:left="6477" w:hanging="180"/>
      </w:pPr>
    </w:lvl>
  </w:abstractNum>
  <w:abstractNum w:abstractNumId="18" w15:restartNumberingAfterBreak="0">
    <w:nsid w:val="5B5E6F07"/>
    <w:multiLevelType w:val="hybridMultilevel"/>
    <w:tmpl w:val="3CAE3D6A"/>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9" w15:restartNumberingAfterBreak="0">
    <w:nsid w:val="606725FF"/>
    <w:multiLevelType w:val="hybridMultilevel"/>
    <w:tmpl w:val="9CE0CD02"/>
    <w:lvl w:ilvl="0" w:tplc="3362B5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6174E5B"/>
    <w:multiLevelType w:val="hybridMultilevel"/>
    <w:tmpl w:val="3CD08A9E"/>
    <w:lvl w:ilvl="0" w:tplc="7C122A2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B031A67"/>
    <w:multiLevelType w:val="hybridMultilevel"/>
    <w:tmpl w:val="AFF4AF7E"/>
    <w:lvl w:ilvl="0" w:tplc="A0C6469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C246B53"/>
    <w:multiLevelType w:val="hybridMultilevel"/>
    <w:tmpl w:val="40DCB902"/>
    <w:lvl w:ilvl="0" w:tplc="0B4E0B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58423A1"/>
    <w:multiLevelType w:val="hybridMultilevel"/>
    <w:tmpl w:val="00D097B4"/>
    <w:lvl w:ilvl="0" w:tplc="556EB6BC">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67232FB"/>
    <w:multiLevelType w:val="hybridMultilevel"/>
    <w:tmpl w:val="A66024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5"/>
  </w:num>
  <w:num w:numId="2">
    <w:abstractNumId w:val="9"/>
  </w:num>
  <w:num w:numId="3">
    <w:abstractNumId w:val="17"/>
  </w:num>
  <w:num w:numId="4">
    <w:abstractNumId w:val="8"/>
  </w:num>
  <w:num w:numId="5">
    <w:abstractNumId w:val="16"/>
  </w:num>
  <w:num w:numId="6">
    <w:abstractNumId w:val="11"/>
  </w:num>
  <w:num w:numId="7">
    <w:abstractNumId w:val="6"/>
  </w:num>
  <w:num w:numId="8">
    <w:abstractNumId w:val="7"/>
  </w:num>
  <w:num w:numId="9">
    <w:abstractNumId w:val="23"/>
  </w:num>
  <w:num w:numId="10">
    <w:abstractNumId w:val="21"/>
  </w:num>
  <w:num w:numId="11">
    <w:abstractNumId w:val="19"/>
  </w:num>
  <w:num w:numId="12">
    <w:abstractNumId w:val="20"/>
  </w:num>
  <w:num w:numId="13">
    <w:abstractNumId w:val="4"/>
  </w:num>
  <w:num w:numId="14">
    <w:abstractNumId w:val="5"/>
  </w:num>
  <w:num w:numId="15">
    <w:abstractNumId w:val="1"/>
  </w:num>
  <w:num w:numId="16">
    <w:abstractNumId w:val="22"/>
  </w:num>
  <w:num w:numId="17">
    <w:abstractNumId w:val="3"/>
  </w:num>
  <w:num w:numId="18">
    <w:abstractNumId w:val="24"/>
  </w:num>
  <w:num w:numId="19">
    <w:abstractNumId w:val="2"/>
  </w:num>
  <w:num w:numId="20">
    <w:abstractNumId w:val="14"/>
  </w:num>
  <w:num w:numId="21">
    <w:abstractNumId w:val="18"/>
  </w:num>
  <w:num w:numId="22">
    <w:abstractNumId w:val="10"/>
  </w:num>
  <w:num w:numId="23">
    <w:abstractNumId w:val="12"/>
  </w:num>
  <w:num w:numId="24">
    <w:abstractNumId w:val="1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BF"/>
    <w:rsid w:val="00020A0B"/>
    <w:rsid w:val="00020BAC"/>
    <w:rsid w:val="00031E58"/>
    <w:rsid w:val="000374FF"/>
    <w:rsid w:val="00047303"/>
    <w:rsid w:val="00054669"/>
    <w:rsid w:val="000A0C33"/>
    <w:rsid w:val="000A2209"/>
    <w:rsid w:val="000B717F"/>
    <w:rsid w:val="000E1E46"/>
    <w:rsid w:val="00107D92"/>
    <w:rsid w:val="0012060D"/>
    <w:rsid w:val="0013783A"/>
    <w:rsid w:val="00145AC2"/>
    <w:rsid w:val="00163338"/>
    <w:rsid w:val="00176DC8"/>
    <w:rsid w:val="0019734E"/>
    <w:rsid w:val="001A0794"/>
    <w:rsid w:val="001A2A67"/>
    <w:rsid w:val="001B623B"/>
    <w:rsid w:val="001F5308"/>
    <w:rsid w:val="0023050E"/>
    <w:rsid w:val="00235A84"/>
    <w:rsid w:val="00264955"/>
    <w:rsid w:val="00273EC0"/>
    <w:rsid w:val="00296A36"/>
    <w:rsid w:val="002C53F7"/>
    <w:rsid w:val="00302F5C"/>
    <w:rsid w:val="00330B23"/>
    <w:rsid w:val="003518C1"/>
    <w:rsid w:val="00395F96"/>
    <w:rsid w:val="003972DC"/>
    <w:rsid w:val="003B0990"/>
    <w:rsid w:val="003B1697"/>
    <w:rsid w:val="003E130C"/>
    <w:rsid w:val="004312BF"/>
    <w:rsid w:val="0043259D"/>
    <w:rsid w:val="00435569"/>
    <w:rsid w:val="00441777"/>
    <w:rsid w:val="0046165E"/>
    <w:rsid w:val="004B386E"/>
    <w:rsid w:val="00526C61"/>
    <w:rsid w:val="00534023"/>
    <w:rsid w:val="00554285"/>
    <w:rsid w:val="00564CCE"/>
    <w:rsid w:val="00565CB6"/>
    <w:rsid w:val="00576262"/>
    <w:rsid w:val="005A7F18"/>
    <w:rsid w:val="005B2819"/>
    <w:rsid w:val="005D7C87"/>
    <w:rsid w:val="0065750F"/>
    <w:rsid w:val="0068385A"/>
    <w:rsid w:val="006A0984"/>
    <w:rsid w:val="006C0049"/>
    <w:rsid w:val="006D16A1"/>
    <w:rsid w:val="00781E0B"/>
    <w:rsid w:val="007B7B20"/>
    <w:rsid w:val="007F40E8"/>
    <w:rsid w:val="008041A5"/>
    <w:rsid w:val="00854472"/>
    <w:rsid w:val="008634E4"/>
    <w:rsid w:val="00870F79"/>
    <w:rsid w:val="008900F6"/>
    <w:rsid w:val="008B40DF"/>
    <w:rsid w:val="00930E22"/>
    <w:rsid w:val="009B224E"/>
    <w:rsid w:val="00A105CC"/>
    <w:rsid w:val="00A21352"/>
    <w:rsid w:val="00A40EBF"/>
    <w:rsid w:val="00A43F6A"/>
    <w:rsid w:val="00AB120C"/>
    <w:rsid w:val="00AB24BB"/>
    <w:rsid w:val="00AB267D"/>
    <w:rsid w:val="00AC0350"/>
    <w:rsid w:val="00AC16DE"/>
    <w:rsid w:val="00AC6515"/>
    <w:rsid w:val="00AC705C"/>
    <w:rsid w:val="00B21B01"/>
    <w:rsid w:val="00B32AD1"/>
    <w:rsid w:val="00B93EB7"/>
    <w:rsid w:val="00BB34F8"/>
    <w:rsid w:val="00BC0D69"/>
    <w:rsid w:val="00BC6730"/>
    <w:rsid w:val="00C255A5"/>
    <w:rsid w:val="00C258FE"/>
    <w:rsid w:val="00C369AD"/>
    <w:rsid w:val="00C528A2"/>
    <w:rsid w:val="00C858EF"/>
    <w:rsid w:val="00C9550D"/>
    <w:rsid w:val="00CB7DB2"/>
    <w:rsid w:val="00CD5983"/>
    <w:rsid w:val="00CE0258"/>
    <w:rsid w:val="00CF70A7"/>
    <w:rsid w:val="00D45F4C"/>
    <w:rsid w:val="00D52B33"/>
    <w:rsid w:val="00D57574"/>
    <w:rsid w:val="00D86E2D"/>
    <w:rsid w:val="00DA05A1"/>
    <w:rsid w:val="00DA433A"/>
    <w:rsid w:val="00DA5785"/>
    <w:rsid w:val="00E0283F"/>
    <w:rsid w:val="00E12C75"/>
    <w:rsid w:val="00E47BB0"/>
    <w:rsid w:val="00E83922"/>
    <w:rsid w:val="00EA34F1"/>
    <w:rsid w:val="00EA3A3E"/>
    <w:rsid w:val="00F44292"/>
    <w:rsid w:val="00F52899"/>
    <w:rsid w:val="00F82B00"/>
    <w:rsid w:val="00F909FF"/>
    <w:rsid w:val="00F9374F"/>
    <w:rsid w:val="00FC0010"/>
    <w:rsid w:val="00FE0B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AB55"/>
  <w15:chartTrackingRefBased/>
  <w15:docId w15:val="{7C93D5AF-5A0C-4881-B73F-15E021FF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312BF"/>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rsid w:val="00C858EF"/>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uiPriority w:val="9"/>
    <w:unhideWhenUsed/>
    <w:rsid w:val="00C858E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rsid w:val="00C858EF"/>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unhideWhenUsed/>
    <w:rsid w:val="00C858E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aliases w:val="Título ilustração"/>
    <w:basedOn w:val="Normal"/>
    <w:next w:val="Normal"/>
    <w:link w:val="Ttulo5Char"/>
    <w:uiPriority w:val="9"/>
    <w:unhideWhenUsed/>
    <w:rsid w:val="00C858EF"/>
    <w:pPr>
      <w:keepNext/>
      <w:keepLines/>
      <w:spacing w:before="200"/>
      <w:outlineLvl w:val="4"/>
    </w:pPr>
    <w:rPr>
      <w:rFonts w:asciiTheme="majorHAnsi" w:eastAsiaTheme="majorEastAsia" w:hAnsiTheme="majorHAnsi" w:cstheme="majorBidi"/>
      <w:color w:val="1F4D78" w:themeColor="accent1" w:themeShade="7F"/>
    </w:rPr>
  </w:style>
  <w:style w:type="paragraph" w:styleId="Ttulo6">
    <w:name w:val="heading 6"/>
    <w:aliases w:val="Fonte ilustração"/>
    <w:basedOn w:val="Normal"/>
    <w:next w:val="Normal"/>
    <w:link w:val="Ttulo6Char"/>
    <w:uiPriority w:val="9"/>
    <w:unhideWhenUsed/>
    <w:rsid w:val="00C858EF"/>
    <w:pPr>
      <w:keepNext/>
      <w:keepLines/>
      <w:spacing w:before="200" w:line="360" w:lineRule="auto"/>
      <w:ind w:firstLine="709"/>
      <w:jc w:val="both"/>
      <w:outlineLvl w:val="5"/>
    </w:pPr>
    <w:rPr>
      <w:rFonts w:asciiTheme="majorHAnsi" w:eastAsiaTheme="majorEastAsia" w:hAnsiTheme="majorHAnsi" w:cstheme="majorBidi"/>
      <w:i/>
      <w:iCs/>
      <w:color w:val="1F4D78" w:themeColor="accent1" w:themeShade="7F"/>
      <w:lang w:eastAsia="en-US"/>
    </w:rPr>
  </w:style>
  <w:style w:type="paragraph" w:styleId="Ttulo7">
    <w:name w:val="heading 7"/>
    <w:aliases w:val="Alínea título"/>
    <w:basedOn w:val="Normal"/>
    <w:next w:val="Normal"/>
    <w:link w:val="Ttulo7Char"/>
    <w:uiPriority w:val="9"/>
    <w:unhideWhenUsed/>
    <w:rsid w:val="00C858EF"/>
    <w:pPr>
      <w:keepNext/>
      <w:keepLines/>
      <w:spacing w:before="200" w:line="360" w:lineRule="auto"/>
      <w:ind w:firstLine="709"/>
      <w:jc w:val="both"/>
      <w:outlineLvl w:val="6"/>
    </w:pPr>
    <w:rPr>
      <w:iCs/>
      <w:szCs w:val="22"/>
      <w:lang w:eastAsia="en-US"/>
    </w:rPr>
  </w:style>
  <w:style w:type="paragraph" w:styleId="Ttulo8">
    <w:name w:val="heading 8"/>
    <w:basedOn w:val="Normal"/>
    <w:next w:val="Normal"/>
    <w:link w:val="Ttulo8Char"/>
    <w:uiPriority w:val="9"/>
    <w:rsid w:val="00C858EF"/>
    <w:pPr>
      <w:spacing w:before="240" w:after="60"/>
      <w:outlineLvl w:val="7"/>
    </w:pPr>
    <w:rPr>
      <w:i/>
      <w:iCs/>
    </w:rPr>
  </w:style>
  <w:style w:type="paragraph" w:styleId="Ttulo9">
    <w:name w:val="heading 9"/>
    <w:basedOn w:val="Normal"/>
    <w:next w:val="Normal"/>
    <w:link w:val="Ttulo9Char"/>
    <w:uiPriority w:val="9"/>
    <w:unhideWhenUsed/>
    <w:rsid w:val="00C858EF"/>
    <w:pPr>
      <w:keepNext/>
      <w:keepLines/>
      <w:spacing w:before="200" w:line="360" w:lineRule="auto"/>
      <w:ind w:firstLine="709"/>
      <w:jc w:val="both"/>
      <w:outlineLvl w:val="8"/>
    </w:pPr>
    <w:rPr>
      <w:rFonts w:ascii="Cambria" w:hAnsi="Cambria"/>
      <w:i/>
      <w:iCs/>
      <w:color w:val="404040"/>
      <w:sz w:val="20"/>
      <w:szCs w:val="20"/>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aliases w:val="Nota de rodapé"/>
    <w:basedOn w:val="Normal"/>
    <w:link w:val="TextodenotaderodapChar"/>
    <w:uiPriority w:val="99"/>
    <w:rsid w:val="004312BF"/>
    <w:rPr>
      <w:sz w:val="20"/>
      <w:szCs w:val="20"/>
    </w:rPr>
  </w:style>
  <w:style w:type="character" w:customStyle="1" w:styleId="TextodenotaderodapChar">
    <w:name w:val="Texto de nota de rodapé Char"/>
    <w:aliases w:val="Nota de rodapé Char"/>
    <w:basedOn w:val="Fontepargpadro"/>
    <w:link w:val="Textodenotaderodap"/>
    <w:uiPriority w:val="99"/>
    <w:rsid w:val="004312BF"/>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4312BF"/>
    <w:rPr>
      <w:rFonts w:cs="Times New Roman"/>
      <w:vertAlign w:val="superscript"/>
    </w:rPr>
  </w:style>
  <w:style w:type="paragraph" w:styleId="Cabealho">
    <w:name w:val="header"/>
    <w:basedOn w:val="Normal"/>
    <w:link w:val="CabealhoChar"/>
    <w:uiPriority w:val="99"/>
    <w:rsid w:val="004312BF"/>
    <w:pPr>
      <w:tabs>
        <w:tab w:val="center" w:pos="4252"/>
        <w:tab w:val="right" w:pos="8504"/>
      </w:tabs>
    </w:pPr>
  </w:style>
  <w:style w:type="character" w:customStyle="1" w:styleId="CabealhoChar">
    <w:name w:val="Cabeçalho Char"/>
    <w:basedOn w:val="Fontepargpadro"/>
    <w:link w:val="Cabealho"/>
    <w:uiPriority w:val="99"/>
    <w:rsid w:val="004312BF"/>
    <w:rPr>
      <w:rFonts w:ascii="Times New Roman" w:eastAsia="Times New Roman" w:hAnsi="Times New Roman" w:cs="Times New Roman"/>
      <w:sz w:val="24"/>
      <w:szCs w:val="24"/>
      <w:lang w:eastAsia="pt-BR"/>
    </w:rPr>
  </w:style>
  <w:style w:type="paragraph" w:customStyle="1" w:styleId="FJP-CorpoTexto">
    <w:name w:val="FJP-Corpo Texto"/>
    <w:basedOn w:val="NormalWeb"/>
    <w:link w:val="FJP-CorpoTextoChar"/>
    <w:qFormat/>
    <w:rsid w:val="004312BF"/>
    <w:pPr>
      <w:spacing w:before="180" w:after="180" w:line="360" w:lineRule="auto"/>
      <w:jc w:val="both"/>
    </w:pPr>
    <w:rPr>
      <w:rFonts w:ascii="Calibri" w:hAnsi="Calibri"/>
      <w:sz w:val="22"/>
      <w:szCs w:val="20"/>
    </w:rPr>
  </w:style>
  <w:style w:type="character" w:customStyle="1" w:styleId="FJP-CorpoTextoChar">
    <w:name w:val="FJP-Corpo Texto Char"/>
    <w:basedOn w:val="Fontepargpadro"/>
    <w:link w:val="FJP-CorpoTexto"/>
    <w:rsid w:val="004312BF"/>
    <w:rPr>
      <w:rFonts w:ascii="Calibri" w:eastAsia="Times New Roman" w:hAnsi="Calibri" w:cs="Times New Roman"/>
      <w:szCs w:val="20"/>
      <w:lang w:eastAsia="pt-BR"/>
    </w:rPr>
  </w:style>
  <w:style w:type="paragraph" w:customStyle="1" w:styleId="FJP-Fonte">
    <w:name w:val="FJP-Fonte"/>
    <w:basedOn w:val="Normal"/>
    <w:link w:val="FJP-FonteChar"/>
    <w:qFormat/>
    <w:rsid w:val="004312BF"/>
    <w:pPr>
      <w:autoSpaceDE w:val="0"/>
      <w:autoSpaceDN w:val="0"/>
      <w:adjustRightInd w:val="0"/>
      <w:spacing w:after="240"/>
      <w:ind w:left="567" w:hanging="567"/>
      <w:jc w:val="both"/>
    </w:pPr>
    <w:rPr>
      <w:rFonts w:ascii="Calibri" w:hAnsi="Calibri"/>
      <w:sz w:val="16"/>
      <w:szCs w:val="16"/>
    </w:rPr>
  </w:style>
  <w:style w:type="character" w:customStyle="1" w:styleId="FJP-FonteChar">
    <w:name w:val="FJP-Fonte Char"/>
    <w:basedOn w:val="Fontepargpadro"/>
    <w:link w:val="FJP-Fonte"/>
    <w:rsid w:val="004312BF"/>
    <w:rPr>
      <w:rFonts w:ascii="Calibri" w:eastAsia="Times New Roman" w:hAnsi="Calibri" w:cs="Times New Roman"/>
      <w:sz w:val="16"/>
      <w:szCs w:val="16"/>
      <w:lang w:eastAsia="pt-BR"/>
    </w:rPr>
  </w:style>
  <w:style w:type="paragraph" w:customStyle="1" w:styleId="FJP-Tab-T">
    <w:name w:val="FJP-Tab-T"/>
    <w:basedOn w:val="Normal"/>
    <w:link w:val="FJP-Tab-TChar"/>
    <w:qFormat/>
    <w:rsid w:val="004312BF"/>
    <w:pPr>
      <w:autoSpaceDE w:val="0"/>
      <w:autoSpaceDN w:val="0"/>
      <w:adjustRightInd w:val="0"/>
      <w:spacing w:before="240" w:after="120"/>
      <w:ind w:left="907" w:hanging="907"/>
      <w:jc w:val="both"/>
    </w:pPr>
    <w:rPr>
      <w:rFonts w:ascii="Calibri" w:hAnsi="Calibri"/>
      <w:sz w:val="22"/>
      <w:szCs w:val="14"/>
    </w:rPr>
  </w:style>
  <w:style w:type="character" w:customStyle="1" w:styleId="FJP-Tab-TChar">
    <w:name w:val="FJP-Tab-T Char"/>
    <w:basedOn w:val="Fontepargpadro"/>
    <w:link w:val="FJP-Tab-T"/>
    <w:rsid w:val="004312BF"/>
    <w:rPr>
      <w:rFonts w:ascii="Calibri" w:eastAsia="Times New Roman" w:hAnsi="Calibri" w:cs="Times New Roman"/>
      <w:szCs w:val="14"/>
      <w:lang w:eastAsia="pt-BR"/>
    </w:rPr>
  </w:style>
  <w:style w:type="paragraph" w:customStyle="1" w:styleId="FJP-NotaEspecifica">
    <w:name w:val="FJP-NotaEspecifica"/>
    <w:basedOn w:val="Normal"/>
    <w:link w:val="FJP-NotaEspecificaChar"/>
    <w:qFormat/>
    <w:rsid w:val="004312BF"/>
    <w:pPr>
      <w:autoSpaceDE w:val="0"/>
      <w:autoSpaceDN w:val="0"/>
      <w:adjustRightInd w:val="0"/>
      <w:spacing w:before="120" w:after="240"/>
      <w:jc w:val="both"/>
    </w:pPr>
    <w:rPr>
      <w:rFonts w:ascii="Calibri" w:hAnsi="Calibri"/>
      <w:sz w:val="16"/>
      <w:szCs w:val="14"/>
    </w:rPr>
  </w:style>
  <w:style w:type="character" w:customStyle="1" w:styleId="FJP-NotaEspecificaChar">
    <w:name w:val="FJP-NotaEspecifica Char"/>
    <w:basedOn w:val="Fontepargpadro"/>
    <w:link w:val="FJP-NotaEspecifica"/>
    <w:rsid w:val="004312BF"/>
    <w:rPr>
      <w:rFonts w:ascii="Calibri" w:eastAsia="Times New Roman" w:hAnsi="Calibri" w:cs="Times New Roman"/>
      <w:sz w:val="16"/>
      <w:szCs w:val="14"/>
      <w:lang w:eastAsia="pt-BR"/>
    </w:rPr>
  </w:style>
  <w:style w:type="paragraph" w:customStyle="1" w:styleId="FJP-Titulo1">
    <w:name w:val="FJP-Titulo 1"/>
    <w:basedOn w:val="Normal"/>
    <w:link w:val="FJP-Titulo1Char"/>
    <w:qFormat/>
    <w:rsid w:val="004312BF"/>
    <w:pPr>
      <w:pBdr>
        <w:top w:val="single" w:sz="6" w:space="8" w:color="C00000"/>
      </w:pBdr>
      <w:spacing w:before="840" w:after="360"/>
      <w:ind w:left="709" w:hanging="709"/>
      <w:jc w:val="both"/>
    </w:pPr>
    <w:rPr>
      <w:rFonts w:ascii="Calibri" w:hAnsi="Calibri"/>
      <w:b/>
      <w:sz w:val="22"/>
    </w:rPr>
  </w:style>
  <w:style w:type="character" w:customStyle="1" w:styleId="FJP-Titulo1Char">
    <w:name w:val="FJP-Titulo 1 Char"/>
    <w:basedOn w:val="Fontepargpadro"/>
    <w:link w:val="FJP-Titulo1"/>
    <w:rsid w:val="004312BF"/>
    <w:rPr>
      <w:rFonts w:ascii="Calibri" w:eastAsia="Times New Roman" w:hAnsi="Calibri" w:cs="Times New Roman"/>
      <w:b/>
      <w:szCs w:val="24"/>
      <w:lang w:eastAsia="pt-BR"/>
    </w:rPr>
  </w:style>
  <w:style w:type="paragraph" w:customStyle="1" w:styleId="FJP-Ttulo3">
    <w:name w:val="FJP-Título 3"/>
    <w:basedOn w:val="FJP-Titulo1"/>
    <w:link w:val="FJP-Ttulo3Char"/>
    <w:qFormat/>
    <w:rsid w:val="004312BF"/>
    <w:pPr>
      <w:pBdr>
        <w:top w:val="none" w:sz="0" w:space="0" w:color="auto"/>
      </w:pBdr>
      <w:spacing w:before="360"/>
    </w:pPr>
  </w:style>
  <w:style w:type="character" w:customStyle="1" w:styleId="FJP-Ttulo3Char">
    <w:name w:val="FJP-Título 3 Char"/>
    <w:basedOn w:val="FJP-Titulo1Char"/>
    <w:link w:val="FJP-Ttulo3"/>
    <w:rsid w:val="004312BF"/>
    <w:rPr>
      <w:rFonts w:ascii="Calibri" w:eastAsia="Times New Roman" w:hAnsi="Calibri" w:cs="Times New Roman"/>
      <w:b/>
      <w:szCs w:val="24"/>
      <w:lang w:eastAsia="pt-BR"/>
    </w:rPr>
  </w:style>
  <w:style w:type="paragraph" w:customStyle="1" w:styleId="FJP-Grf-T">
    <w:name w:val="FJP-Gráf-T"/>
    <w:basedOn w:val="Normal"/>
    <w:link w:val="FJP-Grf-TChar"/>
    <w:qFormat/>
    <w:rsid w:val="004312BF"/>
    <w:pPr>
      <w:autoSpaceDE w:val="0"/>
      <w:autoSpaceDN w:val="0"/>
      <w:adjustRightInd w:val="0"/>
      <w:spacing w:before="240" w:after="120"/>
      <w:ind w:left="1134" w:hanging="1134"/>
      <w:jc w:val="both"/>
    </w:pPr>
    <w:rPr>
      <w:rFonts w:ascii="Calibri" w:hAnsi="Calibri"/>
      <w:sz w:val="22"/>
      <w:szCs w:val="14"/>
    </w:rPr>
  </w:style>
  <w:style w:type="character" w:customStyle="1" w:styleId="FJP-Grf-TChar">
    <w:name w:val="FJP-Gráf-T Char"/>
    <w:basedOn w:val="Fontepargpadro"/>
    <w:link w:val="FJP-Grf-T"/>
    <w:rsid w:val="004312BF"/>
    <w:rPr>
      <w:rFonts w:ascii="Calibri" w:eastAsia="Times New Roman" w:hAnsi="Calibri" w:cs="Times New Roman"/>
      <w:szCs w:val="14"/>
      <w:lang w:eastAsia="pt-BR"/>
    </w:rPr>
  </w:style>
  <w:style w:type="paragraph" w:customStyle="1" w:styleId="FJP-Ttulo2">
    <w:name w:val="FJP-Título 2"/>
    <w:basedOn w:val="Normal"/>
    <w:qFormat/>
    <w:rsid w:val="004312BF"/>
    <w:pPr>
      <w:spacing w:before="360" w:after="240"/>
      <w:ind w:left="340" w:hanging="340"/>
      <w:jc w:val="both"/>
    </w:pPr>
    <w:rPr>
      <w:rFonts w:ascii="Calibri" w:hAnsi="Calibri"/>
      <w:b/>
      <w:sz w:val="22"/>
    </w:rPr>
  </w:style>
  <w:style w:type="paragraph" w:styleId="NormalWeb">
    <w:name w:val="Normal (Web)"/>
    <w:basedOn w:val="Normal"/>
    <w:link w:val="NormalWebChar"/>
    <w:uiPriority w:val="99"/>
    <w:unhideWhenUsed/>
    <w:rsid w:val="004312BF"/>
  </w:style>
  <w:style w:type="character" w:styleId="Hyperlink">
    <w:name w:val="Hyperlink"/>
    <w:basedOn w:val="Fontepargpadro"/>
    <w:uiPriority w:val="99"/>
    <w:rsid w:val="004312BF"/>
    <w:rPr>
      <w:rFonts w:cs="Times New Roman"/>
      <w:color w:val="0000FF"/>
      <w:u w:val="single"/>
    </w:rPr>
  </w:style>
  <w:style w:type="paragraph" w:customStyle="1" w:styleId="CEI-CorpoTexto">
    <w:name w:val="CEI-Corpo Texto"/>
    <w:basedOn w:val="NormalWeb"/>
    <w:link w:val="CEI-CorpoTextoChar"/>
    <w:qFormat/>
    <w:rsid w:val="004312BF"/>
    <w:pPr>
      <w:spacing w:before="180" w:after="180" w:line="360" w:lineRule="auto"/>
      <w:jc w:val="both"/>
    </w:pPr>
    <w:rPr>
      <w:rFonts w:ascii="Calibri" w:hAnsi="Calibri"/>
      <w:szCs w:val="20"/>
    </w:rPr>
  </w:style>
  <w:style w:type="character" w:customStyle="1" w:styleId="CEI-CorpoTextoChar">
    <w:name w:val="CEI-Corpo Texto Char"/>
    <w:basedOn w:val="Fontepargpadro"/>
    <w:link w:val="CEI-CorpoTexto"/>
    <w:rsid w:val="004312BF"/>
    <w:rPr>
      <w:rFonts w:ascii="Calibri" w:eastAsia="Times New Roman" w:hAnsi="Calibri" w:cs="Times New Roman"/>
      <w:sz w:val="24"/>
      <w:szCs w:val="20"/>
      <w:lang w:eastAsia="pt-BR"/>
    </w:rPr>
  </w:style>
  <w:style w:type="character" w:customStyle="1" w:styleId="Ttulo1Char">
    <w:name w:val="Título 1 Char"/>
    <w:basedOn w:val="Fontepargpadro"/>
    <w:link w:val="Ttulo1"/>
    <w:uiPriority w:val="9"/>
    <w:rsid w:val="00C858EF"/>
    <w:rPr>
      <w:rFonts w:ascii="Arial" w:eastAsia="Times New Roman" w:hAnsi="Arial" w:cs="Arial"/>
      <w:b/>
      <w:bCs/>
      <w:kern w:val="32"/>
      <w:sz w:val="32"/>
      <w:szCs w:val="32"/>
      <w:lang w:eastAsia="pt-BR"/>
    </w:rPr>
  </w:style>
  <w:style w:type="character" w:customStyle="1" w:styleId="Ttulo2Char">
    <w:name w:val="Título 2 Char"/>
    <w:basedOn w:val="Fontepargpadro"/>
    <w:link w:val="Ttulo2"/>
    <w:uiPriority w:val="9"/>
    <w:rsid w:val="00C858EF"/>
    <w:rPr>
      <w:rFonts w:asciiTheme="majorHAnsi" w:eastAsiaTheme="majorEastAsia" w:hAnsiTheme="majorHAnsi" w:cstheme="majorBidi"/>
      <w:b/>
      <w:bCs/>
      <w:color w:val="5B9BD5" w:themeColor="accent1"/>
      <w:sz w:val="26"/>
      <w:szCs w:val="26"/>
      <w:lang w:eastAsia="pt-BR"/>
    </w:rPr>
  </w:style>
  <w:style w:type="character" w:customStyle="1" w:styleId="Ttulo3Char">
    <w:name w:val="Título 3 Char"/>
    <w:basedOn w:val="Fontepargpadro"/>
    <w:link w:val="Ttulo3"/>
    <w:uiPriority w:val="9"/>
    <w:rsid w:val="00C858EF"/>
    <w:rPr>
      <w:rFonts w:asciiTheme="majorHAnsi" w:eastAsiaTheme="majorEastAsia" w:hAnsiTheme="majorHAnsi" w:cstheme="majorBidi"/>
      <w:b/>
      <w:bCs/>
      <w:color w:val="5B9BD5" w:themeColor="accent1"/>
      <w:sz w:val="24"/>
      <w:szCs w:val="24"/>
      <w:lang w:eastAsia="pt-BR"/>
    </w:rPr>
  </w:style>
  <w:style w:type="character" w:customStyle="1" w:styleId="Ttulo4Char">
    <w:name w:val="Título 4 Char"/>
    <w:basedOn w:val="Fontepargpadro"/>
    <w:link w:val="Ttulo4"/>
    <w:uiPriority w:val="9"/>
    <w:rsid w:val="00C858EF"/>
    <w:rPr>
      <w:rFonts w:asciiTheme="majorHAnsi" w:eastAsiaTheme="majorEastAsia" w:hAnsiTheme="majorHAnsi" w:cstheme="majorBidi"/>
      <w:b/>
      <w:bCs/>
      <w:i/>
      <w:iCs/>
      <w:color w:val="5B9BD5" w:themeColor="accent1"/>
      <w:sz w:val="24"/>
      <w:szCs w:val="24"/>
      <w:lang w:eastAsia="pt-BR"/>
    </w:rPr>
  </w:style>
  <w:style w:type="character" w:customStyle="1" w:styleId="Ttulo5Char">
    <w:name w:val="Título 5 Char"/>
    <w:aliases w:val="Título ilustração Char"/>
    <w:basedOn w:val="Fontepargpadro"/>
    <w:link w:val="Ttulo5"/>
    <w:uiPriority w:val="9"/>
    <w:rsid w:val="00C858EF"/>
    <w:rPr>
      <w:rFonts w:asciiTheme="majorHAnsi" w:eastAsiaTheme="majorEastAsia" w:hAnsiTheme="majorHAnsi" w:cstheme="majorBidi"/>
      <w:color w:val="1F4D78" w:themeColor="accent1" w:themeShade="7F"/>
      <w:sz w:val="24"/>
      <w:szCs w:val="24"/>
      <w:lang w:eastAsia="pt-BR"/>
    </w:rPr>
  </w:style>
  <w:style w:type="character" w:customStyle="1" w:styleId="Ttulo6Char">
    <w:name w:val="Título 6 Char"/>
    <w:aliases w:val="Fonte ilustração Char"/>
    <w:basedOn w:val="Fontepargpadro"/>
    <w:link w:val="Ttulo6"/>
    <w:uiPriority w:val="9"/>
    <w:rsid w:val="00C858EF"/>
    <w:rPr>
      <w:rFonts w:asciiTheme="majorHAnsi" w:eastAsiaTheme="majorEastAsia" w:hAnsiTheme="majorHAnsi" w:cstheme="majorBidi"/>
      <w:i/>
      <w:iCs/>
      <w:color w:val="1F4D78" w:themeColor="accent1" w:themeShade="7F"/>
      <w:sz w:val="24"/>
      <w:szCs w:val="24"/>
    </w:rPr>
  </w:style>
  <w:style w:type="character" w:customStyle="1" w:styleId="Ttulo7Char">
    <w:name w:val="Título 7 Char"/>
    <w:aliases w:val="Alínea título Char"/>
    <w:basedOn w:val="Fontepargpadro"/>
    <w:link w:val="Ttulo7"/>
    <w:uiPriority w:val="9"/>
    <w:rsid w:val="00C858EF"/>
    <w:rPr>
      <w:rFonts w:ascii="Times New Roman" w:eastAsia="Times New Roman" w:hAnsi="Times New Roman" w:cs="Times New Roman"/>
      <w:iCs/>
      <w:sz w:val="24"/>
    </w:rPr>
  </w:style>
  <w:style w:type="character" w:customStyle="1" w:styleId="Ttulo8Char">
    <w:name w:val="Título 8 Char"/>
    <w:basedOn w:val="Fontepargpadro"/>
    <w:link w:val="Ttulo8"/>
    <w:uiPriority w:val="9"/>
    <w:rsid w:val="00C858EF"/>
    <w:rPr>
      <w:rFonts w:ascii="Times New Roman" w:eastAsia="Times New Roman" w:hAnsi="Times New Roman" w:cs="Times New Roman"/>
      <w:i/>
      <w:iCs/>
      <w:sz w:val="24"/>
      <w:szCs w:val="24"/>
      <w:lang w:eastAsia="pt-BR"/>
    </w:rPr>
  </w:style>
  <w:style w:type="character" w:customStyle="1" w:styleId="Ttulo9Char">
    <w:name w:val="Título 9 Char"/>
    <w:basedOn w:val="Fontepargpadro"/>
    <w:link w:val="Ttulo9"/>
    <w:uiPriority w:val="9"/>
    <w:rsid w:val="00C858EF"/>
    <w:rPr>
      <w:rFonts w:ascii="Cambria" w:eastAsia="Times New Roman" w:hAnsi="Cambria" w:cs="Times New Roman"/>
      <w:i/>
      <w:iCs/>
      <w:color w:val="404040"/>
      <w:sz w:val="20"/>
      <w:szCs w:val="20"/>
    </w:rPr>
  </w:style>
  <w:style w:type="paragraph" w:styleId="Textodebalo">
    <w:name w:val="Balloon Text"/>
    <w:basedOn w:val="Normal"/>
    <w:link w:val="TextodebaloChar"/>
    <w:uiPriority w:val="99"/>
    <w:semiHidden/>
    <w:rsid w:val="00C858EF"/>
    <w:rPr>
      <w:rFonts w:ascii="Tahoma" w:hAnsi="Tahoma" w:cs="Tahoma"/>
      <w:sz w:val="16"/>
      <w:szCs w:val="16"/>
    </w:rPr>
  </w:style>
  <w:style w:type="character" w:customStyle="1" w:styleId="TextodebaloChar">
    <w:name w:val="Texto de balão Char"/>
    <w:basedOn w:val="Fontepargpadro"/>
    <w:link w:val="Textodebalo"/>
    <w:uiPriority w:val="99"/>
    <w:semiHidden/>
    <w:rsid w:val="00C858EF"/>
    <w:rPr>
      <w:rFonts w:ascii="Tahoma" w:eastAsia="Times New Roman" w:hAnsi="Tahoma" w:cs="Tahoma"/>
      <w:sz w:val="16"/>
      <w:szCs w:val="16"/>
      <w:lang w:eastAsia="pt-BR"/>
    </w:rPr>
  </w:style>
  <w:style w:type="paragraph" w:styleId="Corpodetexto2">
    <w:name w:val="Body Text 2"/>
    <w:basedOn w:val="Normal"/>
    <w:link w:val="Corpodetexto2Char"/>
    <w:uiPriority w:val="99"/>
    <w:rsid w:val="00C858EF"/>
    <w:pPr>
      <w:spacing w:line="360" w:lineRule="auto"/>
      <w:jc w:val="both"/>
    </w:pPr>
    <w:rPr>
      <w:szCs w:val="20"/>
    </w:rPr>
  </w:style>
  <w:style w:type="character" w:customStyle="1" w:styleId="Corpodetexto2Char">
    <w:name w:val="Corpo de texto 2 Char"/>
    <w:basedOn w:val="Fontepargpadro"/>
    <w:link w:val="Corpodetexto2"/>
    <w:uiPriority w:val="99"/>
    <w:rsid w:val="00C858EF"/>
    <w:rPr>
      <w:rFonts w:ascii="Times New Roman" w:eastAsia="Times New Roman" w:hAnsi="Times New Roman" w:cs="Times New Roman"/>
      <w:sz w:val="24"/>
      <w:szCs w:val="20"/>
      <w:lang w:eastAsia="pt-BR"/>
    </w:rPr>
  </w:style>
  <w:style w:type="character" w:styleId="Refdecomentrio">
    <w:name w:val="annotation reference"/>
    <w:basedOn w:val="Fontepargpadro"/>
    <w:uiPriority w:val="99"/>
    <w:semiHidden/>
    <w:rsid w:val="00C858EF"/>
    <w:rPr>
      <w:rFonts w:cs="Times New Roman"/>
      <w:sz w:val="16"/>
    </w:rPr>
  </w:style>
  <w:style w:type="paragraph" w:styleId="Textodecomentrio">
    <w:name w:val="annotation text"/>
    <w:basedOn w:val="Normal"/>
    <w:link w:val="TextodecomentrioChar"/>
    <w:uiPriority w:val="99"/>
    <w:rsid w:val="00C858EF"/>
    <w:rPr>
      <w:sz w:val="20"/>
      <w:szCs w:val="20"/>
    </w:rPr>
  </w:style>
  <w:style w:type="character" w:customStyle="1" w:styleId="TextodecomentrioChar">
    <w:name w:val="Texto de comentário Char"/>
    <w:basedOn w:val="Fontepargpadro"/>
    <w:link w:val="Textodecomentrio"/>
    <w:uiPriority w:val="99"/>
    <w:rsid w:val="00C858EF"/>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rsid w:val="00C858EF"/>
    <w:rPr>
      <w:b/>
      <w:bCs/>
    </w:rPr>
  </w:style>
  <w:style w:type="character" w:customStyle="1" w:styleId="AssuntodocomentrioChar">
    <w:name w:val="Assunto do comentário Char"/>
    <w:basedOn w:val="TextodecomentrioChar"/>
    <w:link w:val="Assuntodocomentrio"/>
    <w:uiPriority w:val="99"/>
    <w:semiHidden/>
    <w:rsid w:val="00C858EF"/>
    <w:rPr>
      <w:rFonts w:ascii="Times New Roman" w:eastAsia="Times New Roman" w:hAnsi="Times New Roman" w:cs="Times New Roman"/>
      <w:b/>
      <w:bCs/>
      <w:sz w:val="20"/>
      <w:szCs w:val="20"/>
      <w:lang w:eastAsia="pt-BR"/>
    </w:rPr>
  </w:style>
  <w:style w:type="character" w:customStyle="1" w:styleId="pagetext3">
    <w:name w:val="pagetext3"/>
    <w:basedOn w:val="Fontepargpadro"/>
    <w:uiPriority w:val="99"/>
    <w:rsid w:val="00C858EF"/>
    <w:rPr>
      <w:rFonts w:cs="Times New Roman"/>
    </w:rPr>
  </w:style>
  <w:style w:type="character" w:customStyle="1" w:styleId="linkpreto">
    <w:name w:val="linkpreto"/>
    <w:basedOn w:val="Fontepargpadro"/>
    <w:uiPriority w:val="99"/>
    <w:rsid w:val="00C858EF"/>
    <w:rPr>
      <w:rFonts w:cs="Times New Roman"/>
    </w:rPr>
  </w:style>
  <w:style w:type="character" w:customStyle="1" w:styleId="apple-style-span">
    <w:name w:val="apple-style-span"/>
    <w:basedOn w:val="Fontepargpadro"/>
    <w:uiPriority w:val="99"/>
    <w:rsid w:val="00C858EF"/>
    <w:rPr>
      <w:rFonts w:cs="Times New Roman"/>
    </w:rPr>
  </w:style>
  <w:style w:type="character" w:styleId="nfase">
    <w:name w:val="Emphasis"/>
    <w:basedOn w:val="Fontepargpadro"/>
    <w:uiPriority w:val="20"/>
    <w:rsid w:val="00C858EF"/>
    <w:rPr>
      <w:rFonts w:cs="Times New Roman"/>
      <w:i/>
    </w:rPr>
  </w:style>
  <w:style w:type="character" w:customStyle="1" w:styleId="il">
    <w:name w:val="il"/>
    <w:basedOn w:val="Fontepargpadro"/>
    <w:uiPriority w:val="99"/>
    <w:rsid w:val="00C858EF"/>
    <w:rPr>
      <w:rFonts w:cs="Times New Roman"/>
    </w:rPr>
  </w:style>
  <w:style w:type="character" w:customStyle="1" w:styleId="highlightedsearchterm">
    <w:name w:val="highlightedsearchterm"/>
    <w:basedOn w:val="Fontepargpadro"/>
    <w:uiPriority w:val="99"/>
    <w:rsid w:val="00C858EF"/>
    <w:rPr>
      <w:rFonts w:cs="Times New Roman"/>
    </w:rPr>
  </w:style>
  <w:style w:type="character" w:customStyle="1" w:styleId="NormalWebChar">
    <w:name w:val="Normal (Web) Char"/>
    <w:basedOn w:val="Fontepargpadro"/>
    <w:link w:val="NormalWeb"/>
    <w:uiPriority w:val="99"/>
    <w:rsid w:val="00C858EF"/>
    <w:rPr>
      <w:rFonts w:ascii="Times New Roman" w:eastAsia="Times New Roman" w:hAnsi="Times New Roman" w:cs="Times New Roman"/>
      <w:sz w:val="24"/>
      <w:szCs w:val="24"/>
      <w:lang w:eastAsia="pt-BR"/>
    </w:rPr>
  </w:style>
  <w:style w:type="table" w:styleId="Tabelacomgrade">
    <w:name w:val="Table Grid"/>
    <w:basedOn w:val="Tabelanormal"/>
    <w:uiPriority w:val="59"/>
    <w:rsid w:val="00C858EF"/>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2">
    <w:name w:val="Estilo12"/>
    <w:basedOn w:val="Ttulo1"/>
    <w:autoRedefine/>
    <w:uiPriority w:val="99"/>
    <w:rsid w:val="00C858EF"/>
    <w:pPr>
      <w:widowControl w:val="0"/>
      <w:spacing w:before="360" w:after="0" w:line="360" w:lineRule="auto"/>
      <w:jc w:val="both"/>
    </w:pPr>
    <w:rPr>
      <w:rFonts w:ascii="Times New Roman" w:hAnsi="Times New Roman" w:cs="Times New Roman"/>
      <w:bCs w:val="0"/>
      <w:color w:val="000000"/>
      <w:kern w:val="0"/>
      <w:sz w:val="24"/>
      <w:szCs w:val="24"/>
    </w:rPr>
  </w:style>
  <w:style w:type="paragraph" w:customStyle="1" w:styleId="fnt2color04innertop15">
    <w:name w:val="fnt2 color_04 innertop15"/>
    <w:basedOn w:val="Normal"/>
    <w:uiPriority w:val="99"/>
    <w:rsid w:val="00C858EF"/>
    <w:pPr>
      <w:spacing w:before="100" w:beforeAutospacing="1" w:after="100" w:afterAutospacing="1"/>
    </w:pPr>
  </w:style>
  <w:style w:type="character" w:customStyle="1" w:styleId="notcont">
    <w:name w:val="notcont"/>
    <w:basedOn w:val="Fontepargpadro"/>
    <w:uiPriority w:val="99"/>
    <w:rsid w:val="00C858EF"/>
    <w:rPr>
      <w:rFonts w:cs="Times New Roman"/>
    </w:rPr>
  </w:style>
  <w:style w:type="paragraph" w:customStyle="1" w:styleId="notcont1">
    <w:name w:val="notcont1"/>
    <w:basedOn w:val="Normal"/>
    <w:uiPriority w:val="99"/>
    <w:rsid w:val="00C858EF"/>
    <w:pPr>
      <w:spacing w:before="100" w:beforeAutospacing="1" w:after="100" w:afterAutospacing="1"/>
    </w:pPr>
  </w:style>
  <w:style w:type="paragraph" w:customStyle="1" w:styleId="Default">
    <w:name w:val="Default"/>
    <w:rsid w:val="00C858EF"/>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rsid w:val="00C858EF"/>
    <w:rPr>
      <w:rFonts w:cs="Times New Roman"/>
      <w:b/>
    </w:rPr>
  </w:style>
  <w:style w:type="paragraph" w:customStyle="1" w:styleId="copyright">
    <w:name w:val="copyright"/>
    <w:basedOn w:val="Normal"/>
    <w:uiPriority w:val="99"/>
    <w:rsid w:val="00C858EF"/>
    <w:pPr>
      <w:spacing w:before="100" w:beforeAutospacing="1" w:after="100" w:afterAutospacing="1"/>
    </w:pPr>
  </w:style>
  <w:style w:type="paragraph" w:styleId="Corpodetexto">
    <w:name w:val="Body Text"/>
    <w:basedOn w:val="Normal"/>
    <w:link w:val="CorpodetextoChar"/>
    <w:uiPriority w:val="99"/>
    <w:rsid w:val="00C858EF"/>
    <w:pPr>
      <w:spacing w:after="120"/>
    </w:pPr>
  </w:style>
  <w:style w:type="character" w:customStyle="1" w:styleId="CorpodetextoChar">
    <w:name w:val="Corpo de texto Char"/>
    <w:basedOn w:val="Fontepargpadro"/>
    <w:link w:val="Corpodetexto"/>
    <w:uiPriority w:val="99"/>
    <w:rsid w:val="00C858EF"/>
    <w:rPr>
      <w:rFonts w:ascii="Times New Roman" w:eastAsia="Times New Roman" w:hAnsi="Times New Roman" w:cs="Times New Roman"/>
      <w:sz w:val="24"/>
      <w:szCs w:val="24"/>
      <w:lang w:eastAsia="pt-BR"/>
    </w:rPr>
  </w:style>
  <w:style w:type="paragraph" w:styleId="Textodenotadefim">
    <w:name w:val="endnote text"/>
    <w:basedOn w:val="Normal"/>
    <w:link w:val="TextodenotadefimChar"/>
    <w:semiHidden/>
    <w:rsid w:val="00C858EF"/>
    <w:rPr>
      <w:sz w:val="20"/>
      <w:szCs w:val="20"/>
    </w:rPr>
  </w:style>
  <w:style w:type="character" w:customStyle="1" w:styleId="TextodenotadefimChar">
    <w:name w:val="Texto de nota de fim Char"/>
    <w:basedOn w:val="Fontepargpadro"/>
    <w:link w:val="Textodenotadefim"/>
    <w:semiHidden/>
    <w:rsid w:val="00C858EF"/>
    <w:rPr>
      <w:rFonts w:ascii="Times New Roman" w:eastAsia="Times New Roman" w:hAnsi="Times New Roman" w:cs="Times New Roman"/>
      <w:sz w:val="20"/>
      <w:szCs w:val="20"/>
      <w:lang w:eastAsia="pt-BR"/>
    </w:rPr>
  </w:style>
  <w:style w:type="character" w:styleId="Refdenotadefim">
    <w:name w:val="endnote reference"/>
    <w:basedOn w:val="Fontepargpadro"/>
    <w:semiHidden/>
    <w:rsid w:val="00C858EF"/>
    <w:rPr>
      <w:rFonts w:cs="Times New Roman"/>
      <w:vertAlign w:val="superscript"/>
    </w:rPr>
  </w:style>
  <w:style w:type="paragraph" w:styleId="Rodap">
    <w:name w:val="footer"/>
    <w:basedOn w:val="Normal"/>
    <w:link w:val="RodapChar"/>
    <w:uiPriority w:val="99"/>
    <w:rsid w:val="00C858EF"/>
    <w:pPr>
      <w:tabs>
        <w:tab w:val="center" w:pos="4252"/>
        <w:tab w:val="right" w:pos="8504"/>
      </w:tabs>
    </w:pPr>
  </w:style>
  <w:style w:type="character" w:customStyle="1" w:styleId="RodapChar">
    <w:name w:val="Rodapé Char"/>
    <w:basedOn w:val="Fontepargpadro"/>
    <w:link w:val="Rodap"/>
    <w:uiPriority w:val="99"/>
    <w:rsid w:val="00C858EF"/>
    <w:rPr>
      <w:rFonts w:ascii="Times New Roman" w:eastAsia="Times New Roman" w:hAnsi="Times New Roman" w:cs="Times New Roman"/>
      <w:sz w:val="24"/>
      <w:szCs w:val="24"/>
      <w:lang w:eastAsia="pt-BR"/>
    </w:rPr>
  </w:style>
  <w:style w:type="paragraph" w:customStyle="1" w:styleId="Ttuloparasumrio">
    <w:name w:val="Título para sumário"/>
    <w:basedOn w:val="Ttulo1"/>
    <w:uiPriority w:val="99"/>
    <w:rsid w:val="00C858EF"/>
    <w:pPr>
      <w:jc w:val="right"/>
    </w:pPr>
    <w:rPr>
      <w:rFonts w:ascii="Trebuchet MS" w:hAnsi="Trebuchet MS"/>
      <w:sz w:val="28"/>
    </w:rPr>
  </w:style>
  <w:style w:type="paragraph" w:styleId="Sumrio1">
    <w:name w:val="toc 1"/>
    <w:aliases w:val="Lista de Gráficos e Tabelas"/>
    <w:basedOn w:val="Normal"/>
    <w:next w:val="Normal"/>
    <w:autoRedefine/>
    <w:uiPriority w:val="39"/>
    <w:rsid w:val="00C858EF"/>
    <w:pPr>
      <w:tabs>
        <w:tab w:val="left" w:leader="dot" w:pos="709"/>
        <w:tab w:val="left" w:pos="9639"/>
      </w:tabs>
      <w:spacing w:line="280" w:lineRule="exact"/>
      <w:ind w:right="1418"/>
    </w:pPr>
    <w:rPr>
      <w:noProof/>
      <w:sz w:val="16"/>
      <w:szCs w:val="20"/>
    </w:rPr>
  </w:style>
  <w:style w:type="paragraph" w:customStyle="1" w:styleId="EstiloTtuloparasumrioesquerda">
    <w:name w:val="Estilo Título para sumário + À esquerda"/>
    <w:basedOn w:val="Ttuloparasumrio"/>
    <w:uiPriority w:val="99"/>
    <w:rsid w:val="00C858EF"/>
    <w:pPr>
      <w:jc w:val="left"/>
    </w:pPr>
    <w:rPr>
      <w:rFonts w:cs="Times New Roman"/>
      <w:sz w:val="32"/>
      <w:szCs w:val="20"/>
    </w:rPr>
  </w:style>
  <w:style w:type="character" w:styleId="Nmerodepgina">
    <w:name w:val="page number"/>
    <w:basedOn w:val="Fontepargpadro"/>
    <w:rsid w:val="00C858EF"/>
    <w:rPr>
      <w:rFonts w:cs="Times New Roman"/>
    </w:rPr>
  </w:style>
  <w:style w:type="character" w:styleId="HiperlinkVisitado">
    <w:name w:val="FollowedHyperlink"/>
    <w:basedOn w:val="Fontepargpadro"/>
    <w:uiPriority w:val="99"/>
    <w:rsid w:val="00C858EF"/>
    <w:rPr>
      <w:rFonts w:cs="Times New Roman"/>
      <w:color w:val="800080"/>
      <w:u w:val="single"/>
    </w:rPr>
  </w:style>
  <w:style w:type="paragraph" w:customStyle="1" w:styleId="ListadeGrficos">
    <w:name w:val="Lista de Gráficos"/>
    <w:basedOn w:val="Normal"/>
    <w:link w:val="ListadeGrficosChar"/>
    <w:rsid w:val="00C858EF"/>
    <w:pPr>
      <w:autoSpaceDE w:val="0"/>
      <w:autoSpaceDN w:val="0"/>
      <w:adjustRightInd w:val="0"/>
      <w:spacing w:line="360" w:lineRule="auto"/>
      <w:jc w:val="center"/>
    </w:pPr>
    <w:rPr>
      <w:rFonts w:ascii="Trebuchet MS" w:hAnsi="Trebuchet MS" w:cs="Arial"/>
      <w:color w:val="000000"/>
      <w:sz w:val="20"/>
      <w:szCs w:val="20"/>
    </w:rPr>
  </w:style>
  <w:style w:type="character" w:customStyle="1" w:styleId="ListadeGrficosChar">
    <w:name w:val="Lista de Gráficos Char"/>
    <w:basedOn w:val="Fontepargpadro"/>
    <w:link w:val="ListadeGrficos"/>
    <w:rsid w:val="00C858EF"/>
    <w:rPr>
      <w:rFonts w:ascii="Trebuchet MS" w:eastAsia="Times New Roman" w:hAnsi="Trebuchet MS" w:cs="Arial"/>
      <w:color w:val="000000"/>
      <w:sz w:val="20"/>
      <w:szCs w:val="20"/>
      <w:lang w:eastAsia="pt-BR"/>
    </w:rPr>
  </w:style>
  <w:style w:type="paragraph" w:customStyle="1" w:styleId="ListadeTabelas">
    <w:name w:val="Lista de Tabelas"/>
    <w:basedOn w:val="Normal"/>
    <w:rsid w:val="00C858EF"/>
    <w:pPr>
      <w:autoSpaceDE w:val="0"/>
      <w:autoSpaceDN w:val="0"/>
      <w:adjustRightInd w:val="0"/>
      <w:spacing w:line="360" w:lineRule="auto"/>
      <w:jc w:val="center"/>
    </w:pPr>
    <w:rPr>
      <w:rFonts w:ascii="Trebuchet MS" w:hAnsi="Trebuchet MS" w:cs="Arial"/>
      <w:color w:val="000000"/>
      <w:sz w:val="20"/>
      <w:szCs w:val="20"/>
    </w:rPr>
  </w:style>
  <w:style w:type="paragraph" w:styleId="ndicedeilustraes">
    <w:name w:val="table of figures"/>
    <w:basedOn w:val="Normal"/>
    <w:next w:val="Normal"/>
    <w:uiPriority w:val="99"/>
    <w:rsid w:val="00C858EF"/>
    <w:pPr>
      <w:spacing w:line="360" w:lineRule="auto"/>
      <w:ind w:left="227" w:right="227" w:hanging="227"/>
    </w:pPr>
    <w:rPr>
      <w:rFonts w:ascii="Trebuchet MS" w:hAnsi="Trebuchet MS"/>
      <w:sz w:val="20"/>
    </w:rPr>
  </w:style>
  <w:style w:type="paragraph" w:styleId="Sumrio2">
    <w:name w:val="toc 2"/>
    <w:basedOn w:val="Normal"/>
    <w:next w:val="Normal"/>
    <w:autoRedefine/>
    <w:uiPriority w:val="39"/>
    <w:rsid w:val="00C858EF"/>
    <w:pPr>
      <w:tabs>
        <w:tab w:val="right" w:leader="dot" w:pos="9628"/>
      </w:tabs>
      <w:ind w:left="868" w:hanging="686"/>
    </w:pPr>
    <w:rPr>
      <w:sz w:val="16"/>
      <w:szCs w:val="16"/>
    </w:rPr>
  </w:style>
  <w:style w:type="paragraph" w:styleId="PargrafodaLista">
    <w:name w:val="List Paragraph"/>
    <w:basedOn w:val="Normal"/>
    <w:link w:val="PargrafodaListaChar"/>
    <w:uiPriority w:val="34"/>
    <w:rsid w:val="00C858EF"/>
    <w:pPr>
      <w:ind w:left="720"/>
      <w:contextualSpacing/>
    </w:pPr>
  </w:style>
  <w:style w:type="paragraph" w:styleId="Corpodetexto3">
    <w:name w:val="Body Text 3"/>
    <w:basedOn w:val="Normal"/>
    <w:link w:val="Corpodetexto3Char"/>
    <w:uiPriority w:val="99"/>
    <w:semiHidden/>
    <w:unhideWhenUsed/>
    <w:rsid w:val="00C858EF"/>
    <w:pPr>
      <w:spacing w:after="120"/>
    </w:pPr>
    <w:rPr>
      <w:sz w:val="16"/>
      <w:szCs w:val="16"/>
    </w:rPr>
  </w:style>
  <w:style w:type="character" w:customStyle="1" w:styleId="Corpodetexto3Char">
    <w:name w:val="Corpo de texto 3 Char"/>
    <w:basedOn w:val="Fontepargpadro"/>
    <w:link w:val="Corpodetexto3"/>
    <w:uiPriority w:val="99"/>
    <w:semiHidden/>
    <w:rsid w:val="00C858EF"/>
    <w:rPr>
      <w:rFonts w:ascii="Times New Roman" w:eastAsia="Times New Roman" w:hAnsi="Times New Roman" w:cs="Times New Roman"/>
      <w:sz w:val="16"/>
      <w:szCs w:val="16"/>
      <w:lang w:eastAsia="pt-BR"/>
    </w:rPr>
  </w:style>
  <w:style w:type="paragraph" w:customStyle="1" w:styleId="listadefiguras">
    <w:name w:val="lista de figuras"/>
    <w:basedOn w:val="ndicedeilustraes"/>
    <w:rsid w:val="00C858EF"/>
  </w:style>
  <w:style w:type="paragraph" w:styleId="Remissivo1">
    <w:name w:val="index 1"/>
    <w:basedOn w:val="Normal"/>
    <w:next w:val="Normal"/>
    <w:autoRedefine/>
    <w:uiPriority w:val="99"/>
    <w:semiHidden/>
    <w:unhideWhenUsed/>
    <w:rsid w:val="00C858EF"/>
    <w:pPr>
      <w:ind w:left="240" w:hanging="240"/>
    </w:pPr>
  </w:style>
  <w:style w:type="paragraph" w:styleId="Sumrio9">
    <w:name w:val="toc 9"/>
    <w:basedOn w:val="Normal"/>
    <w:next w:val="Normal"/>
    <w:autoRedefine/>
    <w:uiPriority w:val="39"/>
    <w:unhideWhenUsed/>
    <w:rsid w:val="00C858EF"/>
    <w:pPr>
      <w:spacing w:after="100"/>
      <w:ind w:left="1920"/>
    </w:pPr>
  </w:style>
  <w:style w:type="character" w:styleId="TextodoEspaoReservado">
    <w:name w:val="Placeholder Text"/>
    <w:basedOn w:val="Fontepargpadro"/>
    <w:uiPriority w:val="99"/>
    <w:semiHidden/>
    <w:rsid w:val="00C858EF"/>
    <w:rPr>
      <w:color w:val="808080"/>
    </w:rPr>
  </w:style>
  <w:style w:type="character" w:customStyle="1" w:styleId="st1">
    <w:name w:val="st1"/>
    <w:basedOn w:val="Fontepargpadro"/>
    <w:rsid w:val="00C858EF"/>
  </w:style>
  <w:style w:type="character" w:customStyle="1" w:styleId="s">
    <w:name w:val="s"/>
    <w:basedOn w:val="Fontepargpadro"/>
    <w:rsid w:val="00C858EF"/>
  </w:style>
  <w:style w:type="paragraph" w:styleId="Lista">
    <w:name w:val="List"/>
    <w:basedOn w:val="Normal"/>
    <w:uiPriority w:val="99"/>
    <w:rsid w:val="00C858EF"/>
    <w:pPr>
      <w:jc w:val="both"/>
    </w:pPr>
    <w:rPr>
      <w:rFonts w:ascii="Palatino Linotype" w:hAnsi="Palatino Linotype"/>
    </w:rPr>
  </w:style>
  <w:style w:type="paragraph" w:styleId="Textoembloco">
    <w:name w:val="Block Text"/>
    <w:basedOn w:val="Normal"/>
    <w:uiPriority w:val="99"/>
    <w:rsid w:val="00C858EF"/>
    <w:pPr>
      <w:tabs>
        <w:tab w:val="left" w:pos="1418"/>
      </w:tabs>
      <w:spacing w:before="180" w:after="180"/>
      <w:jc w:val="both"/>
    </w:pPr>
    <w:rPr>
      <w:szCs w:val="20"/>
    </w:rPr>
  </w:style>
  <w:style w:type="table" w:customStyle="1" w:styleId="SombreamentoClaro-nfase11">
    <w:name w:val="Sombreamento Claro - Ênfase 11"/>
    <w:basedOn w:val="Tabelanormal"/>
    <w:uiPriority w:val="60"/>
    <w:rsid w:val="00C858EF"/>
    <w:pPr>
      <w:spacing w:after="0" w:line="240" w:lineRule="auto"/>
    </w:pPr>
    <w:rPr>
      <w:rFonts w:ascii="Times New Roman" w:eastAsia="Times New Roman" w:hAnsi="Times New Roman" w:cs="Times New Roman"/>
      <w:color w:val="2E74B5" w:themeColor="accent1" w:themeShade="BF"/>
      <w:lang w:eastAsia="pt-B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EstiloTabela">
    <w:name w:val="Estilo Tabela"/>
    <w:basedOn w:val="ListadeGrficos"/>
    <w:link w:val="EstiloTabelaChar"/>
    <w:rsid w:val="00C858EF"/>
    <w:pPr>
      <w:spacing w:line="240" w:lineRule="auto"/>
      <w:ind w:left="646" w:hanging="646"/>
      <w:jc w:val="left"/>
    </w:pPr>
    <w:rPr>
      <w:rFonts w:cstheme="minorHAnsi"/>
      <w:sz w:val="14"/>
      <w:szCs w:val="14"/>
    </w:rPr>
  </w:style>
  <w:style w:type="character" w:customStyle="1" w:styleId="EstiloTabelaChar">
    <w:name w:val="Estilo Tabela Char"/>
    <w:basedOn w:val="ListadeGrficosChar"/>
    <w:link w:val="EstiloTabela"/>
    <w:rsid w:val="00C858EF"/>
    <w:rPr>
      <w:rFonts w:ascii="Trebuchet MS" w:eastAsia="Times New Roman" w:hAnsi="Trebuchet MS" w:cstheme="minorHAnsi"/>
      <w:color w:val="000000"/>
      <w:sz w:val="14"/>
      <w:szCs w:val="14"/>
      <w:lang w:eastAsia="pt-BR"/>
    </w:rPr>
  </w:style>
  <w:style w:type="paragraph" w:customStyle="1" w:styleId="EstiloGrfico">
    <w:name w:val="Estilo Gráfico"/>
    <w:basedOn w:val="ListadeGrficos"/>
    <w:link w:val="EstiloGrficoChar"/>
    <w:rsid w:val="00C858EF"/>
    <w:pPr>
      <w:spacing w:line="240" w:lineRule="auto"/>
      <w:ind w:left="629" w:hanging="629"/>
      <w:jc w:val="left"/>
    </w:pPr>
    <w:rPr>
      <w:rFonts w:cstheme="minorHAnsi"/>
      <w:sz w:val="14"/>
      <w:szCs w:val="14"/>
    </w:rPr>
  </w:style>
  <w:style w:type="character" w:customStyle="1" w:styleId="EstiloGrficoChar">
    <w:name w:val="Estilo Gráfico Char"/>
    <w:basedOn w:val="ListadeGrficosChar"/>
    <w:link w:val="EstiloGrfico"/>
    <w:rsid w:val="00C858EF"/>
    <w:rPr>
      <w:rFonts w:ascii="Trebuchet MS" w:eastAsia="Times New Roman" w:hAnsi="Trebuchet MS" w:cstheme="minorHAnsi"/>
      <w:color w:val="000000"/>
      <w:sz w:val="14"/>
      <w:szCs w:val="14"/>
      <w:lang w:eastAsia="pt-BR"/>
    </w:rPr>
  </w:style>
  <w:style w:type="table" w:customStyle="1" w:styleId="Tabelacomgrade3">
    <w:name w:val="Tabela com grade3"/>
    <w:basedOn w:val="Tabelanormal"/>
    <w:next w:val="Tabelacomgrade"/>
    <w:uiPriority w:val="59"/>
    <w:rsid w:val="00C858EF"/>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1">
    <w:name w:val="Sombreamento Claro1"/>
    <w:basedOn w:val="Tabelanormal"/>
    <w:uiPriority w:val="60"/>
    <w:rsid w:val="00C858EF"/>
    <w:pPr>
      <w:spacing w:after="0" w:line="240" w:lineRule="auto"/>
    </w:pPr>
    <w:rPr>
      <w:rFonts w:ascii="Times New Roman" w:eastAsia="Times New Roman" w:hAnsi="Times New Roman" w:cs="Times New Roman"/>
      <w:color w:val="000000" w:themeColor="text1" w:themeShade="BF"/>
      <w:lang w:eastAsia="pt-B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GrfTtulo">
    <w:name w:val="B-Gráf Título"/>
    <w:basedOn w:val="ListadeGrficos"/>
    <w:link w:val="B-GrfTtuloChar"/>
    <w:rsid w:val="00C858EF"/>
    <w:pPr>
      <w:spacing w:before="240" w:after="120" w:line="240" w:lineRule="auto"/>
      <w:ind w:left="629" w:hanging="629"/>
      <w:jc w:val="left"/>
    </w:pPr>
    <w:rPr>
      <w:rFonts w:ascii="Times New Roman" w:hAnsi="Times New Roman" w:cs="Times New Roman"/>
      <w:b/>
      <w:sz w:val="16"/>
      <w:szCs w:val="14"/>
    </w:rPr>
  </w:style>
  <w:style w:type="character" w:customStyle="1" w:styleId="B-GrfTtuloChar">
    <w:name w:val="B-Gráf Título Char"/>
    <w:basedOn w:val="ListadeGrficosChar"/>
    <w:link w:val="B-GrfTtulo"/>
    <w:rsid w:val="00C858EF"/>
    <w:rPr>
      <w:rFonts w:ascii="Times New Roman" w:eastAsia="Times New Roman" w:hAnsi="Times New Roman" w:cs="Times New Roman"/>
      <w:b/>
      <w:color w:val="000000"/>
      <w:sz w:val="16"/>
      <w:szCs w:val="14"/>
      <w:lang w:eastAsia="pt-BR"/>
    </w:rPr>
  </w:style>
  <w:style w:type="paragraph" w:customStyle="1" w:styleId="FJP-NotaGeral">
    <w:name w:val="FJP-NotaGeral"/>
    <w:basedOn w:val="Normal"/>
    <w:link w:val="FJP-NotaGeralChar"/>
    <w:qFormat/>
    <w:rsid w:val="00C858EF"/>
    <w:pPr>
      <w:autoSpaceDE w:val="0"/>
      <w:autoSpaceDN w:val="0"/>
      <w:adjustRightInd w:val="0"/>
      <w:spacing w:after="240"/>
      <w:ind w:left="397" w:hanging="397"/>
      <w:jc w:val="both"/>
    </w:pPr>
    <w:rPr>
      <w:rFonts w:ascii="Calibri" w:hAnsi="Calibri"/>
      <w:sz w:val="16"/>
      <w:szCs w:val="14"/>
    </w:rPr>
  </w:style>
  <w:style w:type="character" w:customStyle="1" w:styleId="FJP-NotaGeralChar">
    <w:name w:val="FJP-NotaGeral Char"/>
    <w:basedOn w:val="Fontepargpadro"/>
    <w:link w:val="FJP-NotaGeral"/>
    <w:rsid w:val="00C858EF"/>
    <w:rPr>
      <w:rFonts w:ascii="Calibri" w:eastAsia="Times New Roman" w:hAnsi="Calibri" w:cs="Times New Roman"/>
      <w:sz w:val="16"/>
      <w:szCs w:val="14"/>
      <w:lang w:eastAsia="pt-BR"/>
    </w:rPr>
  </w:style>
  <w:style w:type="paragraph" w:customStyle="1" w:styleId="FJP-T-Publicao">
    <w:name w:val="FJP-T-Publicação"/>
    <w:basedOn w:val="NormalWeb"/>
    <w:link w:val="FJP-T-PublicaoChar"/>
    <w:qFormat/>
    <w:rsid w:val="00C858EF"/>
    <w:pPr>
      <w:spacing w:before="840" w:after="360"/>
      <w:jc w:val="center"/>
    </w:pPr>
    <w:rPr>
      <w:rFonts w:ascii="Calibri" w:hAnsi="Calibri"/>
    </w:rPr>
  </w:style>
  <w:style w:type="character" w:customStyle="1" w:styleId="FJP-T-PublicaoChar">
    <w:name w:val="FJP-T-Publicação Char"/>
    <w:basedOn w:val="NormalWebChar"/>
    <w:link w:val="FJP-T-Publicao"/>
    <w:rsid w:val="00C858EF"/>
    <w:rPr>
      <w:rFonts w:ascii="Calibri" w:eastAsia="Times New Roman" w:hAnsi="Calibri" w:cs="Times New Roman"/>
      <w:sz w:val="24"/>
      <w:szCs w:val="24"/>
      <w:lang w:eastAsia="pt-BR"/>
    </w:rPr>
  </w:style>
  <w:style w:type="table" w:customStyle="1" w:styleId="SombreamentoClaro-nfase12">
    <w:name w:val="Sombreamento Claro - Ênfase 12"/>
    <w:basedOn w:val="Tabelanormal"/>
    <w:uiPriority w:val="60"/>
    <w:rsid w:val="00C858EF"/>
    <w:pPr>
      <w:spacing w:after="0" w:line="240" w:lineRule="auto"/>
    </w:pPr>
    <w:rPr>
      <w:rFonts w:ascii="Times New Roman" w:eastAsia="Times New Roman" w:hAnsi="Times New Roman" w:cs="Times New Roman"/>
      <w:color w:val="2E74B5" w:themeColor="accent1" w:themeShade="BF"/>
      <w:lang w:eastAsia="pt-B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CabealhodoSumrio">
    <w:name w:val="TOC Heading"/>
    <w:basedOn w:val="Ttulo1"/>
    <w:next w:val="Normal"/>
    <w:uiPriority w:val="39"/>
    <w:unhideWhenUsed/>
    <w:rsid w:val="00C858EF"/>
    <w:pPr>
      <w:keepLines/>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Estilo1">
    <w:name w:val="Estilo1"/>
    <w:basedOn w:val="ListadeGrficos"/>
    <w:link w:val="Estilo1Char"/>
    <w:rsid w:val="00C858EF"/>
    <w:pPr>
      <w:spacing w:before="240" w:after="120" w:line="240" w:lineRule="auto"/>
      <w:ind w:left="714" w:hanging="714"/>
      <w:jc w:val="left"/>
    </w:pPr>
    <w:rPr>
      <w:rFonts w:ascii="Times New Roman" w:hAnsi="Times New Roman" w:cs="Times New Roman"/>
      <w:b/>
      <w:sz w:val="16"/>
      <w:szCs w:val="16"/>
    </w:rPr>
  </w:style>
  <w:style w:type="character" w:customStyle="1" w:styleId="Estilo1Char">
    <w:name w:val="Estilo1 Char"/>
    <w:basedOn w:val="ListadeGrficosChar"/>
    <w:link w:val="Estilo1"/>
    <w:rsid w:val="00C858EF"/>
    <w:rPr>
      <w:rFonts w:ascii="Times New Roman" w:eastAsia="Times New Roman" w:hAnsi="Times New Roman" w:cs="Times New Roman"/>
      <w:b/>
      <w:color w:val="000000"/>
      <w:sz w:val="16"/>
      <w:szCs w:val="16"/>
      <w:lang w:eastAsia="pt-BR"/>
    </w:rPr>
  </w:style>
  <w:style w:type="paragraph" w:customStyle="1" w:styleId="Estilo2">
    <w:name w:val="Estilo2"/>
    <w:basedOn w:val="Estilo1"/>
    <w:link w:val="Estilo2Char"/>
    <w:rsid w:val="00C858EF"/>
  </w:style>
  <w:style w:type="character" w:customStyle="1" w:styleId="Estilo2Char">
    <w:name w:val="Estilo2 Char"/>
    <w:basedOn w:val="Estilo1Char"/>
    <w:link w:val="Estilo2"/>
    <w:rsid w:val="00C858EF"/>
    <w:rPr>
      <w:rFonts w:ascii="Times New Roman" w:eastAsia="Times New Roman" w:hAnsi="Times New Roman" w:cs="Times New Roman"/>
      <w:b/>
      <w:color w:val="000000"/>
      <w:sz w:val="16"/>
      <w:szCs w:val="16"/>
      <w:lang w:eastAsia="pt-BR"/>
    </w:rPr>
  </w:style>
  <w:style w:type="table" w:customStyle="1" w:styleId="SombreamentoClaro-nfase13">
    <w:name w:val="Sombreamento Claro - Ênfase 13"/>
    <w:basedOn w:val="Tabelanormal"/>
    <w:uiPriority w:val="60"/>
    <w:rsid w:val="00C858EF"/>
    <w:pPr>
      <w:spacing w:after="0" w:line="240" w:lineRule="auto"/>
    </w:pPr>
    <w:rPr>
      <w:rFonts w:ascii="Times New Roman" w:eastAsia="Times New Roman" w:hAnsi="Times New Roman" w:cs="Times New Roman"/>
      <w:color w:val="2E74B5" w:themeColor="accent1" w:themeShade="BF"/>
      <w:sz w:val="20"/>
      <w:szCs w:val="20"/>
      <w:lang w:eastAsia="pt-B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GradeClara-nfase11">
    <w:name w:val="Grade Clara - Ênfase 11"/>
    <w:basedOn w:val="Tabelanormal"/>
    <w:uiPriority w:val="62"/>
    <w:rsid w:val="00C858EF"/>
    <w:pPr>
      <w:spacing w:after="0" w:line="240" w:lineRule="auto"/>
    </w:pPr>
    <w:rPr>
      <w:rFonts w:eastAsiaTheme="minorEastAsia"/>
      <w:lang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umrio3">
    <w:name w:val="toc 3"/>
    <w:basedOn w:val="Normal"/>
    <w:next w:val="Normal"/>
    <w:autoRedefine/>
    <w:uiPriority w:val="39"/>
    <w:unhideWhenUsed/>
    <w:rsid w:val="00C858EF"/>
    <w:pPr>
      <w:spacing w:after="100" w:line="276" w:lineRule="auto"/>
      <w:ind w:left="440"/>
    </w:pPr>
    <w:rPr>
      <w:rFonts w:asciiTheme="minorHAnsi" w:eastAsiaTheme="minorEastAsia" w:hAnsiTheme="minorHAnsi" w:cstheme="minorBidi"/>
      <w:sz w:val="22"/>
      <w:szCs w:val="22"/>
      <w:lang w:eastAsia="en-US"/>
    </w:rPr>
  </w:style>
  <w:style w:type="paragraph" w:customStyle="1" w:styleId="B-Ge">
    <w:name w:val="B-Ge"/>
    <w:basedOn w:val="FJP-T-Publicao"/>
    <w:link w:val="B-GeChar"/>
    <w:rsid w:val="00C858EF"/>
    <w:pPr>
      <w:spacing w:before="480" w:after="120"/>
    </w:pPr>
    <w:rPr>
      <w:sz w:val="18"/>
      <w:szCs w:val="18"/>
    </w:rPr>
  </w:style>
  <w:style w:type="character" w:customStyle="1" w:styleId="B-GeChar">
    <w:name w:val="B-Ge Char"/>
    <w:basedOn w:val="FJP-T-PublicaoChar"/>
    <w:link w:val="B-Ge"/>
    <w:rsid w:val="00C858EF"/>
    <w:rPr>
      <w:rFonts w:ascii="Calibri" w:eastAsia="Times New Roman" w:hAnsi="Calibri" w:cs="Times New Roman"/>
      <w:sz w:val="18"/>
      <w:szCs w:val="18"/>
      <w:lang w:eastAsia="pt-BR"/>
    </w:rPr>
  </w:style>
  <w:style w:type="paragraph" w:customStyle="1" w:styleId="CEI-Tgrfico">
    <w:name w:val="CEI-T gráfico"/>
    <w:basedOn w:val="FJP-Tab-T"/>
    <w:link w:val="CEI-TgrficoChar"/>
    <w:rsid w:val="00C858EF"/>
    <w:pPr>
      <w:ind w:left="964" w:hanging="964"/>
    </w:pPr>
  </w:style>
  <w:style w:type="character" w:customStyle="1" w:styleId="CEI-TgrficoChar">
    <w:name w:val="CEI-T gráfico Char"/>
    <w:basedOn w:val="FJP-Tab-TChar"/>
    <w:link w:val="CEI-Tgrfico"/>
    <w:rsid w:val="00C858EF"/>
    <w:rPr>
      <w:rFonts w:ascii="Calibri" w:eastAsia="Times New Roman" w:hAnsi="Calibri" w:cs="Times New Roman"/>
      <w:szCs w:val="14"/>
      <w:lang w:eastAsia="pt-BR"/>
    </w:rPr>
  </w:style>
  <w:style w:type="paragraph" w:customStyle="1" w:styleId="B-TextoTtulo1">
    <w:name w:val="B-Texto Título 1"/>
    <w:basedOn w:val="NormalWeb"/>
    <w:link w:val="B-TextoTtulo1Char"/>
    <w:rsid w:val="00C858EF"/>
    <w:pPr>
      <w:spacing w:before="840" w:after="360"/>
    </w:pPr>
    <w:rPr>
      <w:b/>
    </w:rPr>
  </w:style>
  <w:style w:type="character" w:customStyle="1" w:styleId="B-TextoTtulo1Char">
    <w:name w:val="B-Texto Título 1 Char"/>
    <w:basedOn w:val="NormalWebChar"/>
    <w:link w:val="B-TextoTtulo1"/>
    <w:rsid w:val="00C858EF"/>
    <w:rPr>
      <w:rFonts w:ascii="Times New Roman" w:eastAsia="Times New Roman" w:hAnsi="Times New Roman" w:cs="Times New Roman"/>
      <w:b/>
      <w:sz w:val="24"/>
      <w:szCs w:val="24"/>
      <w:lang w:eastAsia="pt-BR"/>
    </w:rPr>
  </w:style>
  <w:style w:type="table" w:customStyle="1" w:styleId="SombreamentoClaro-nfase14">
    <w:name w:val="Sombreamento Claro - Ênfase 14"/>
    <w:basedOn w:val="Tabelanormal"/>
    <w:uiPriority w:val="60"/>
    <w:rsid w:val="00C858EF"/>
    <w:pPr>
      <w:spacing w:after="0" w:line="240" w:lineRule="auto"/>
    </w:pPr>
    <w:rPr>
      <w:rFonts w:ascii="Times New Roman" w:eastAsia="Times New Roman" w:hAnsi="Times New Roman" w:cs="Times New Roman"/>
      <w:color w:val="2E74B5" w:themeColor="accent1" w:themeShade="BF"/>
      <w:sz w:val="20"/>
      <w:szCs w:val="20"/>
      <w:lang w:eastAsia="pt-B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SombreamentoClaro-nfase15">
    <w:name w:val="Sombreamento Claro - Ênfase 15"/>
    <w:basedOn w:val="Tabelanormal"/>
    <w:uiPriority w:val="60"/>
    <w:rsid w:val="00C858EF"/>
    <w:pPr>
      <w:spacing w:after="0" w:line="240" w:lineRule="auto"/>
    </w:pPr>
    <w:rPr>
      <w:rFonts w:ascii="Times New Roman" w:eastAsia="Times New Roman" w:hAnsi="Times New Roman" w:cs="Times New Roman"/>
      <w:color w:val="2E74B5" w:themeColor="accent1" w:themeShade="BF"/>
      <w:sz w:val="20"/>
      <w:szCs w:val="20"/>
      <w:lang w:eastAsia="pt-BR"/>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Autospacing="0" w:afterLines="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SombreamentoClaro-nfase16">
    <w:name w:val="Sombreamento Claro - Ênfase 16"/>
    <w:basedOn w:val="Tabelanormal"/>
    <w:uiPriority w:val="60"/>
    <w:rsid w:val="00C858EF"/>
    <w:pPr>
      <w:spacing w:after="0" w:line="240" w:lineRule="auto"/>
    </w:pPr>
    <w:rPr>
      <w:rFonts w:ascii="Times New Roman" w:eastAsia="Times New Roman" w:hAnsi="Times New Roman" w:cs="Times New Roman"/>
      <w:color w:val="2E74B5" w:themeColor="accent1" w:themeShade="BF"/>
      <w:sz w:val="20"/>
      <w:szCs w:val="20"/>
      <w:lang w:eastAsia="pt-BR"/>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Autospacing="0" w:afterLines="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SombreamentoClaro-nfase17">
    <w:name w:val="Sombreamento Claro - Ênfase 17"/>
    <w:basedOn w:val="Tabelanormal"/>
    <w:uiPriority w:val="60"/>
    <w:rsid w:val="00C858EF"/>
    <w:pPr>
      <w:spacing w:after="0" w:line="240" w:lineRule="auto"/>
    </w:pPr>
    <w:rPr>
      <w:rFonts w:ascii="Times New Roman" w:eastAsia="Times New Roman" w:hAnsi="Times New Roman" w:cs="Times New Roman"/>
      <w:color w:val="2E74B5" w:themeColor="accent1" w:themeShade="BF"/>
      <w:sz w:val="20"/>
      <w:szCs w:val="20"/>
      <w:lang w:eastAsia="pt-BR"/>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Autospacing="0" w:afterLines="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1">
    <w:name w:val="Light Shading Accent 1"/>
    <w:basedOn w:val="Tabelanormal"/>
    <w:uiPriority w:val="60"/>
    <w:rsid w:val="00C858EF"/>
    <w:pPr>
      <w:spacing w:after="0" w:line="240" w:lineRule="auto"/>
    </w:pPr>
    <w:rPr>
      <w:rFonts w:ascii="Times New Roman" w:eastAsia="Times New Roman" w:hAnsi="Times New Roman" w:cs="Times New Roman"/>
      <w:color w:val="2E74B5" w:themeColor="accent1" w:themeShade="BF"/>
      <w:sz w:val="20"/>
      <w:szCs w:val="20"/>
      <w:lang w:eastAsia="pt-BR"/>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Autospacing="0" w:afterLines="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Fontepargpadro"/>
    <w:rsid w:val="00C858EF"/>
  </w:style>
  <w:style w:type="paragraph" w:styleId="Ttulo">
    <w:name w:val="Title"/>
    <w:aliases w:val="Fonte,Texto"/>
    <w:basedOn w:val="Normal"/>
    <w:next w:val="Normal"/>
    <w:link w:val="TtuloChar"/>
    <w:rsid w:val="00C858EF"/>
    <w:pPr>
      <w:ind w:left="567" w:hanging="567"/>
      <w:jc w:val="both"/>
    </w:pPr>
    <w:rPr>
      <w:rFonts w:asciiTheme="minorHAnsi" w:eastAsiaTheme="minorHAnsi" w:hAnsiTheme="minorHAnsi" w:cstheme="minorHAnsi"/>
      <w:sz w:val="20"/>
      <w:szCs w:val="22"/>
      <w:lang w:eastAsia="en-US"/>
    </w:rPr>
  </w:style>
  <w:style w:type="character" w:customStyle="1" w:styleId="TtuloChar">
    <w:name w:val="Título Char"/>
    <w:aliases w:val="Fonte Char,Texto Char"/>
    <w:basedOn w:val="Fontepargpadro"/>
    <w:link w:val="Ttulo"/>
    <w:rsid w:val="00C858EF"/>
    <w:rPr>
      <w:rFonts w:cstheme="minorHAnsi"/>
      <w:sz w:val="20"/>
    </w:rPr>
  </w:style>
  <w:style w:type="paragraph" w:styleId="SemEspaamento">
    <w:name w:val="No Spacing"/>
    <w:aliases w:val="Gráf.,Tabela"/>
    <w:basedOn w:val="Normal"/>
    <w:link w:val="SemEspaamentoChar"/>
    <w:uiPriority w:val="1"/>
    <w:rsid w:val="00C858EF"/>
    <w:pPr>
      <w:ind w:left="1134" w:hanging="1134"/>
      <w:jc w:val="both"/>
    </w:pPr>
    <w:rPr>
      <w:rFonts w:asciiTheme="minorHAnsi" w:eastAsiaTheme="minorHAnsi" w:hAnsiTheme="minorHAnsi" w:cstheme="minorHAnsi"/>
      <w:szCs w:val="22"/>
      <w:lang w:eastAsia="en-US"/>
    </w:rPr>
  </w:style>
  <w:style w:type="paragraph" w:customStyle="1" w:styleId="TRUT1a">
    <w:name w:val="TRU T1a"/>
    <w:basedOn w:val="Normal"/>
    <w:link w:val="TRUT1aChar"/>
    <w:rsid w:val="00C858EF"/>
    <w:pPr>
      <w:spacing w:before="720" w:after="720" w:line="360" w:lineRule="auto"/>
      <w:jc w:val="center"/>
    </w:pPr>
    <w:rPr>
      <w:rFonts w:eastAsia="Calibri" w:cs="Calibri"/>
      <w:b/>
      <w:sz w:val="28"/>
      <w:lang w:eastAsia="en-US"/>
    </w:rPr>
  </w:style>
  <w:style w:type="character" w:customStyle="1" w:styleId="TRUT1aChar">
    <w:name w:val="TRU T1a Char"/>
    <w:basedOn w:val="Fontepargpadro"/>
    <w:link w:val="TRUT1a"/>
    <w:rsid w:val="00C858EF"/>
    <w:rPr>
      <w:rFonts w:ascii="Times New Roman" w:eastAsia="Calibri" w:hAnsi="Times New Roman" w:cs="Calibri"/>
      <w:b/>
      <w:sz w:val="28"/>
      <w:szCs w:val="24"/>
    </w:rPr>
  </w:style>
  <w:style w:type="paragraph" w:customStyle="1" w:styleId="Grfico-Tabela">
    <w:name w:val="Gráfico-Tabela"/>
    <w:basedOn w:val="SemEspaamento"/>
    <w:link w:val="Grfico-TabelaChar"/>
    <w:rsid w:val="00C858EF"/>
    <w:pPr>
      <w:spacing w:before="240" w:after="120"/>
      <w:jc w:val="left"/>
    </w:pPr>
    <w:rPr>
      <w:rFonts w:ascii="Times New Roman" w:hAnsi="Times New Roman" w:cs="Times New Roman"/>
    </w:rPr>
  </w:style>
  <w:style w:type="character" w:customStyle="1" w:styleId="Grfico-TabelaChar">
    <w:name w:val="Gráfico-Tabela Char"/>
    <w:basedOn w:val="Fontepargpadro"/>
    <w:link w:val="Grfico-Tabela"/>
    <w:rsid w:val="00C858EF"/>
    <w:rPr>
      <w:rFonts w:ascii="Times New Roman" w:hAnsi="Times New Roman" w:cs="Times New Roman"/>
      <w:sz w:val="24"/>
    </w:rPr>
  </w:style>
  <w:style w:type="paragraph" w:customStyle="1" w:styleId="Ttulo002">
    <w:name w:val="Título 002"/>
    <w:basedOn w:val="Normal"/>
    <w:link w:val="Ttulo002Char"/>
    <w:rsid w:val="00C858EF"/>
    <w:pPr>
      <w:spacing w:before="840" w:after="600" w:line="360" w:lineRule="auto"/>
      <w:outlineLvl w:val="0"/>
    </w:pPr>
    <w:rPr>
      <w:rFonts w:eastAsiaTheme="minorHAnsi"/>
      <w:b/>
      <w:color w:val="4F7A87"/>
      <w:sz w:val="28"/>
      <w:szCs w:val="28"/>
      <w:lang w:eastAsia="en-US"/>
    </w:rPr>
  </w:style>
  <w:style w:type="character" w:customStyle="1" w:styleId="Ttulo002Char">
    <w:name w:val="Título 002 Char"/>
    <w:basedOn w:val="Fontepargpadro"/>
    <w:link w:val="Ttulo002"/>
    <w:rsid w:val="00C858EF"/>
    <w:rPr>
      <w:rFonts w:ascii="Times New Roman" w:hAnsi="Times New Roman" w:cs="Times New Roman"/>
      <w:b/>
      <w:color w:val="4F7A87"/>
      <w:sz w:val="28"/>
      <w:szCs w:val="28"/>
    </w:rPr>
  </w:style>
  <w:style w:type="character" w:customStyle="1" w:styleId="SemEspaamentoChar">
    <w:name w:val="Sem Espaçamento Char"/>
    <w:aliases w:val="Gráf. Char,Tabela Char"/>
    <w:basedOn w:val="Fontepargpadro"/>
    <w:link w:val="SemEspaamento"/>
    <w:uiPriority w:val="1"/>
    <w:rsid w:val="00C858EF"/>
    <w:rPr>
      <w:rFonts w:cstheme="minorHAnsi"/>
      <w:sz w:val="24"/>
    </w:rPr>
  </w:style>
  <w:style w:type="paragraph" w:customStyle="1" w:styleId="Imagem">
    <w:name w:val="Imagem"/>
    <w:basedOn w:val="Ttulo"/>
    <w:link w:val="ImagemChar"/>
    <w:rsid w:val="00C858EF"/>
    <w:pPr>
      <w:ind w:left="0" w:firstLine="0"/>
      <w:jc w:val="left"/>
    </w:pPr>
    <w:rPr>
      <w:noProof/>
      <w:sz w:val="24"/>
      <w:szCs w:val="24"/>
    </w:rPr>
  </w:style>
  <w:style w:type="character" w:customStyle="1" w:styleId="ImagemChar">
    <w:name w:val="Imagem Char"/>
    <w:basedOn w:val="TtuloChar"/>
    <w:link w:val="Imagem"/>
    <w:rsid w:val="00C858EF"/>
    <w:rPr>
      <w:rFonts w:cstheme="minorHAnsi"/>
      <w:noProof/>
      <w:sz w:val="24"/>
      <w:szCs w:val="24"/>
    </w:rPr>
  </w:style>
  <w:style w:type="table" w:styleId="SombreamentoClaro-nfase5">
    <w:name w:val="Light Shading Accent 5"/>
    <w:basedOn w:val="Tabelanormal"/>
    <w:uiPriority w:val="60"/>
    <w:rsid w:val="00C858EF"/>
    <w:pPr>
      <w:spacing w:after="0" w:line="240" w:lineRule="auto"/>
      <w:jc w:val="both"/>
    </w:pPr>
    <w:rPr>
      <w:rFonts w:ascii="Times New Roman" w:hAnsi="Times New Roman"/>
      <w:color w:val="2F5496" w:themeColor="accent5" w:themeShade="BF"/>
      <w:sz w:val="24"/>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Tab-grf">
    <w:name w:val="Tab-gráf"/>
    <w:basedOn w:val="ListadeGrficos"/>
    <w:link w:val="Tab-grfChar"/>
    <w:rsid w:val="00C858EF"/>
    <w:pPr>
      <w:spacing w:before="240" w:after="120" w:line="240" w:lineRule="auto"/>
      <w:ind w:left="993" w:hanging="993"/>
      <w:jc w:val="left"/>
    </w:pPr>
    <w:rPr>
      <w:sz w:val="24"/>
      <w:szCs w:val="14"/>
    </w:rPr>
  </w:style>
  <w:style w:type="character" w:customStyle="1" w:styleId="Tab-grfChar">
    <w:name w:val="Tab-gráf Char"/>
    <w:basedOn w:val="ListadeGrficosChar"/>
    <w:link w:val="Tab-grf"/>
    <w:rsid w:val="00C858EF"/>
    <w:rPr>
      <w:rFonts w:ascii="Trebuchet MS" w:eastAsia="Times New Roman" w:hAnsi="Trebuchet MS" w:cs="Arial"/>
      <w:color w:val="000000"/>
      <w:sz w:val="24"/>
      <w:szCs w:val="14"/>
      <w:lang w:eastAsia="pt-BR"/>
    </w:rPr>
  </w:style>
  <w:style w:type="paragraph" w:styleId="Pr-formataoHTML">
    <w:name w:val="HTML Preformatted"/>
    <w:basedOn w:val="Normal"/>
    <w:link w:val="Pr-formataoHTMLChar"/>
    <w:uiPriority w:val="99"/>
    <w:unhideWhenUsed/>
    <w:rsid w:val="00C8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uto"/>
      <w:ind w:firstLine="1418"/>
      <w:jc w:val="both"/>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858EF"/>
    <w:rPr>
      <w:rFonts w:ascii="Courier New" w:eastAsia="Times New Roman" w:hAnsi="Courier New" w:cs="Courier New"/>
      <w:sz w:val="20"/>
      <w:szCs w:val="20"/>
      <w:lang w:eastAsia="pt-BR"/>
    </w:rPr>
  </w:style>
  <w:style w:type="paragraph" w:customStyle="1" w:styleId="Estilo3">
    <w:name w:val="Estilo3"/>
    <w:basedOn w:val="Normal"/>
    <w:rsid w:val="00C858EF"/>
    <w:pPr>
      <w:spacing w:before="180" w:after="180" w:line="360" w:lineRule="auto"/>
      <w:ind w:firstLine="1418"/>
      <w:jc w:val="both"/>
    </w:pPr>
    <w:rPr>
      <w:color w:val="C00000"/>
    </w:rPr>
  </w:style>
  <w:style w:type="paragraph" w:customStyle="1" w:styleId="Estilo4">
    <w:name w:val="Estilo4"/>
    <w:basedOn w:val="Estilo3"/>
    <w:autoRedefine/>
    <w:rsid w:val="00C858EF"/>
  </w:style>
  <w:style w:type="paragraph" w:customStyle="1" w:styleId="Resumo">
    <w:name w:val="Resumo"/>
    <w:basedOn w:val="FJP-CorpoTexto"/>
    <w:rsid w:val="00C858EF"/>
  </w:style>
  <w:style w:type="paragraph" w:customStyle="1" w:styleId="Nota">
    <w:name w:val="Nota"/>
    <w:basedOn w:val="Textodenotaderodap"/>
    <w:link w:val="NotaChar"/>
    <w:rsid w:val="00C858EF"/>
    <w:pPr>
      <w:jc w:val="both"/>
    </w:pPr>
    <w:rPr>
      <w:sz w:val="18"/>
      <w:szCs w:val="18"/>
    </w:rPr>
  </w:style>
  <w:style w:type="paragraph" w:customStyle="1" w:styleId="Fonte1">
    <w:name w:val="Fonte1"/>
    <w:basedOn w:val="Normal"/>
    <w:rsid w:val="00C858EF"/>
    <w:pPr>
      <w:spacing w:after="360"/>
      <w:ind w:left="567" w:hanging="567"/>
    </w:pPr>
    <w:rPr>
      <w:sz w:val="18"/>
    </w:rPr>
  </w:style>
  <w:style w:type="paragraph" w:customStyle="1" w:styleId="Grf-espao">
    <w:name w:val="Gráf-espaço"/>
    <w:basedOn w:val="Normal"/>
    <w:rsid w:val="00C858EF"/>
    <w:pPr>
      <w:jc w:val="both"/>
    </w:pPr>
    <w:rPr>
      <w:noProof/>
    </w:rPr>
  </w:style>
  <w:style w:type="paragraph" w:customStyle="1" w:styleId="Quadro">
    <w:name w:val="Quadro"/>
    <w:basedOn w:val="Normal"/>
    <w:rsid w:val="00C858EF"/>
    <w:pPr>
      <w:spacing w:line="360" w:lineRule="auto"/>
      <w:jc w:val="both"/>
    </w:pPr>
  </w:style>
  <w:style w:type="table" w:styleId="SombreamentoMdio2-nfase6">
    <w:name w:val="Medium Shading 2 Accent 6"/>
    <w:basedOn w:val="Tabelanormal"/>
    <w:uiPriority w:val="64"/>
    <w:rsid w:val="00C85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a5">
    <w:name w:val="Pa5"/>
    <w:basedOn w:val="Default"/>
    <w:next w:val="Default"/>
    <w:uiPriority w:val="99"/>
    <w:rsid w:val="00C858EF"/>
    <w:pPr>
      <w:spacing w:line="241" w:lineRule="atLeast"/>
    </w:pPr>
    <w:rPr>
      <w:rFonts w:ascii="Calibri" w:eastAsiaTheme="minorHAnsi" w:hAnsi="Calibri" w:cstheme="minorBidi"/>
      <w:color w:val="auto"/>
      <w:lang w:eastAsia="en-US"/>
    </w:rPr>
  </w:style>
  <w:style w:type="character" w:customStyle="1" w:styleId="A6">
    <w:name w:val="A6"/>
    <w:uiPriority w:val="99"/>
    <w:rsid w:val="00C858EF"/>
    <w:rPr>
      <w:rFonts w:cs="Calibri"/>
      <w:color w:val="000000"/>
      <w:sz w:val="20"/>
      <w:szCs w:val="20"/>
    </w:rPr>
  </w:style>
  <w:style w:type="character" w:customStyle="1" w:styleId="NotaChar">
    <w:name w:val="Nota Char"/>
    <w:basedOn w:val="Fontepargpadro"/>
    <w:link w:val="Nota"/>
    <w:rsid w:val="00C858EF"/>
    <w:rPr>
      <w:rFonts w:ascii="Times New Roman" w:eastAsia="Times New Roman" w:hAnsi="Times New Roman" w:cs="Times New Roman"/>
      <w:sz w:val="18"/>
      <w:szCs w:val="18"/>
      <w:lang w:eastAsia="pt-BR"/>
    </w:rPr>
  </w:style>
  <w:style w:type="character" w:styleId="nfaseSutil">
    <w:name w:val="Subtle Emphasis"/>
    <w:basedOn w:val="Fontepargpadro"/>
    <w:uiPriority w:val="19"/>
    <w:rsid w:val="00C858EF"/>
    <w:rPr>
      <w:i/>
      <w:iCs/>
      <w:color w:val="7F7F7F" w:themeColor="text1" w:themeTint="80"/>
    </w:rPr>
  </w:style>
  <w:style w:type="table" w:customStyle="1" w:styleId="TabeladeLista3-nfase51">
    <w:name w:val="Tabela de Lista 3 - Ênfase 51"/>
    <w:basedOn w:val="Tabelanormal"/>
    <w:uiPriority w:val="48"/>
    <w:rsid w:val="00C858EF"/>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eladeGrade4-nfase51">
    <w:name w:val="Tabela de Grade 4 - Ênfase 51"/>
    <w:basedOn w:val="Tabelanormal"/>
    <w:uiPriority w:val="49"/>
    <w:rsid w:val="00C858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Semlista1">
    <w:name w:val="Sem lista1"/>
    <w:next w:val="Semlista"/>
    <w:uiPriority w:val="99"/>
    <w:semiHidden/>
    <w:unhideWhenUsed/>
    <w:rsid w:val="00C858EF"/>
  </w:style>
  <w:style w:type="numbering" w:customStyle="1" w:styleId="Semlista2">
    <w:name w:val="Sem lista2"/>
    <w:next w:val="Semlista"/>
    <w:uiPriority w:val="99"/>
    <w:semiHidden/>
    <w:unhideWhenUsed/>
    <w:rsid w:val="00C858EF"/>
  </w:style>
  <w:style w:type="table" w:customStyle="1" w:styleId="Tabelacomgrade1">
    <w:name w:val="Tabela com grade1"/>
    <w:basedOn w:val="Tabelanormal"/>
    <w:next w:val="Tabelacomgrade"/>
    <w:uiPriority w:val="59"/>
    <w:rsid w:val="00C85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Clara-nfase5">
    <w:name w:val="Light Grid Accent 5"/>
    <w:basedOn w:val="Tabelanormal"/>
    <w:uiPriority w:val="62"/>
    <w:rsid w:val="00C858EF"/>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staClara-nfase5">
    <w:name w:val="Light List Accent 5"/>
    <w:aliases w:val="Moda - quadro"/>
    <w:basedOn w:val="Tabelanormal"/>
    <w:uiPriority w:val="61"/>
    <w:rsid w:val="00C858EF"/>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cPr>
      <w:shd w:val="clear" w:color="auto" w:fill="auto"/>
    </w:tc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SombreamentoMdio1-nfase5">
    <w:name w:val="Medium Shading 1 Accent 5"/>
    <w:basedOn w:val="Tabelanormal"/>
    <w:uiPriority w:val="63"/>
    <w:rsid w:val="00C858EF"/>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2-nfase5">
    <w:name w:val="Medium Shading 2 Accent 5"/>
    <w:basedOn w:val="Tabelanormal"/>
    <w:uiPriority w:val="64"/>
    <w:rsid w:val="00C85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numbering" w:customStyle="1" w:styleId="Semlista3">
    <w:name w:val="Sem lista3"/>
    <w:next w:val="Semlista"/>
    <w:uiPriority w:val="99"/>
    <w:semiHidden/>
    <w:unhideWhenUsed/>
    <w:rsid w:val="00C858EF"/>
  </w:style>
  <w:style w:type="character" w:customStyle="1" w:styleId="A3">
    <w:name w:val="A3"/>
    <w:uiPriority w:val="99"/>
    <w:rsid w:val="00C858EF"/>
    <w:rPr>
      <w:color w:val="000000"/>
      <w:sz w:val="20"/>
      <w:szCs w:val="20"/>
    </w:rPr>
  </w:style>
  <w:style w:type="table" w:customStyle="1" w:styleId="Tabelacomgrade2">
    <w:name w:val="Tabela com grade2"/>
    <w:basedOn w:val="Tabelanormal"/>
    <w:next w:val="Tabelacomgrade"/>
    <w:uiPriority w:val="59"/>
    <w:rsid w:val="00C85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4">
    <w:name w:val="Sem lista4"/>
    <w:next w:val="Semlista"/>
    <w:uiPriority w:val="99"/>
    <w:semiHidden/>
    <w:unhideWhenUsed/>
    <w:rsid w:val="00C858EF"/>
  </w:style>
  <w:style w:type="numbering" w:customStyle="1" w:styleId="Semlista5">
    <w:name w:val="Sem lista5"/>
    <w:next w:val="Semlista"/>
    <w:uiPriority w:val="99"/>
    <w:semiHidden/>
    <w:unhideWhenUsed/>
    <w:rsid w:val="00C858EF"/>
  </w:style>
  <w:style w:type="table" w:customStyle="1" w:styleId="Tabelacomgrade4">
    <w:name w:val="Tabela com grade4"/>
    <w:basedOn w:val="Tabelanormal"/>
    <w:next w:val="Tabelacomgrade"/>
    <w:uiPriority w:val="59"/>
    <w:rsid w:val="00C858E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C858E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6">
    <w:name w:val="Sem lista6"/>
    <w:next w:val="Semlista"/>
    <w:uiPriority w:val="99"/>
    <w:semiHidden/>
    <w:unhideWhenUsed/>
    <w:rsid w:val="00C858EF"/>
  </w:style>
  <w:style w:type="paragraph" w:customStyle="1" w:styleId="Alneattulo1">
    <w:name w:val="Alínea título1"/>
    <w:basedOn w:val="Normal"/>
    <w:next w:val="Normal"/>
    <w:uiPriority w:val="9"/>
    <w:unhideWhenUsed/>
    <w:rsid w:val="00C858EF"/>
    <w:pPr>
      <w:keepNext/>
      <w:keepLines/>
      <w:numPr>
        <w:numId w:val="23"/>
      </w:numPr>
      <w:tabs>
        <w:tab w:val="left" w:pos="284"/>
      </w:tabs>
      <w:spacing w:before="120" w:after="120" w:line="360" w:lineRule="auto"/>
      <w:ind w:left="284" w:hanging="284"/>
      <w:jc w:val="both"/>
      <w:outlineLvl w:val="6"/>
    </w:pPr>
    <w:rPr>
      <w:iCs/>
      <w:szCs w:val="22"/>
      <w:lang w:eastAsia="en-US"/>
    </w:rPr>
  </w:style>
  <w:style w:type="paragraph" w:customStyle="1" w:styleId="Ttulo81">
    <w:name w:val="Título 81"/>
    <w:basedOn w:val="Normal"/>
    <w:next w:val="Normal"/>
    <w:uiPriority w:val="9"/>
    <w:unhideWhenUsed/>
    <w:rsid w:val="00C858EF"/>
    <w:pPr>
      <w:keepNext/>
      <w:keepLines/>
      <w:spacing w:before="200"/>
      <w:ind w:left="4320" w:hanging="1440"/>
      <w:outlineLvl w:val="7"/>
    </w:pPr>
    <w:rPr>
      <w:rFonts w:ascii="Cambria" w:hAnsi="Cambria"/>
      <w:color w:val="404040"/>
      <w:sz w:val="20"/>
      <w:szCs w:val="20"/>
      <w:lang w:eastAsia="en-US"/>
    </w:rPr>
  </w:style>
  <w:style w:type="paragraph" w:customStyle="1" w:styleId="Ttulo91">
    <w:name w:val="Título 91"/>
    <w:basedOn w:val="Normal"/>
    <w:next w:val="Normal"/>
    <w:uiPriority w:val="9"/>
    <w:unhideWhenUsed/>
    <w:rsid w:val="00C858EF"/>
    <w:pPr>
      <w:keepNext/>
      <w:keepLines/>
      <w:spacing w:before="200"/>
      <w:ind w:left="5040" w:hanging="1800"/>
      <w:outlineLvl w:val="8"/>
    </w:pPr>
    <w:rPr>
      <w:rFonts w:ascii="Cambria" w:hAnsi="Cambria"/>
      <w:i/>
      <w:iCs/>
      <w:color w:val="404040"/>
      <w:sz w:val="20"/>
      <w:szCs w:val="20"/>
      <w:lang w:eastAsia="en-US"/>
    </w:rPr>
  </w:style>
  <w:style w:type="numbering" w:customStyle="1" w:styleId="Semlista7">
    <w:name w:val="Sem lista7"/>
    <w:next w:val="Semlista"/>
    <w:uiPriority w:val="99"/>
    <w:semiHidden/>
    <w:unhideWhenUsed/>
    <w:rsid w:val="00C858EF"/>
  </w:style>
  <w:style w:type="paragraph" w:styleId="Citao">
    <w:name w:val="Quote"/>
    <w:basedOn w:val="Normal"/>
    <w:next w:val="Normal"/>
    <w:link w:val="CitaoChar"/>
    <w:uiPriority w:val="29"/>
    <w:rsid w:val="00C858EF"/>
    <w:pPr>
      <w:ind w:left="2268"/>
      <w:jc w:val="both"/>
    </w:pPr>
    <w:rPr>
      <w:rFonts w:eastAsiaTheme="minorHAnsi"/>
      <w:iCs/>
      <w:sz w:val="22"/>
      <w:szCs w:val="22"/>
      <w:lang w:eastAsia="en-US"/>
    </w:rPr>
  </w:style>
  <w:style w:type="character" w:customStyle="1" w:styleId="CitaoChar">
    <w:name w:val="Citação Char"/>
    <w:basedOn w:val="Fontepargpadro"/>
    <w:link w:val="Citao"/>
    <w:uiPriority w:val="29"/>
    <w:rsid w:val="00C858EF"/>
    <w:rPr>
      <w:rFonts w:ascii="Times New Roman" w:hAnsi="Times New Roman" w:cs="Times New Roman"/>
      <w:iCs/>
    </w:rPr>
  </w:style>
  <w:style w:type="table" w:customStyle="1" w:styleId="Tabelacomgrade6">
    <w:name w:val="Tabela com grade6"/>
    <w:basedOn w:val="Tabelanormal"/>
    <w:next w:val="Tabelacomgrade"/>
    <w:uiPriority w:val="59"/>
    <w:rsid w:val="00C85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har1">
    <w:name w:val="Título 7 Char1"/>
    <w:basedOn w:val="Fontepargpadro"/>
    <w:uiPriority w:val="9"/>
    <w:semiHidden/>
    <w:rsid w:val="00C858EF"/>
    <w:rPr>
      <w:rFonts w:asciiTheme="majorHAnsi" w:eastAsiaTheme="majorEastAsia" w:hAnsiTheme="majorHAnsi" w:cstheme="majorBidi"/>
      <w:i/>
      <w:iCs/>
      <w:color w:val="404040" w:themeColor="text1" w:themeTint="BF"/>
      <w:sz w:val="24"/>
      <w:szCs w:val="24"/>
    </w:rPr>
  </w:style>
  <w:style w:type="character" w:customStyle="1" w:styleId="Ttulo8Char1">
    <w:name w:val="Título 8 Char1"/>
    <w:basedOn w:val="Fontepargpadro"/>
    <w:uiPriority w:val="9"/>
    <w:semiHidden/>
    <w:rsid w:val="00C858EF"/>
    <w:rPr>
      <w:rFonts w:asciiTheme="majorHAnsi" w:eastAsiaTheme="majorEastAsia" w:hAnsiTheme="majorHAnsi" w:cstheme="majorBidi"/>
      <w:color w:val="404040" w:themeColor="text1" w:themeTint="BF"/>
      <w:sz w:val="20"/>
      <w:szCs w:val="20"/>
    </w:rPr>
  </w:style>
  <w:style w:type="character" w:customStyle="1" w:styleId="Ttulo9Char1">
    <w:name w:val="Título 9 Char1"/>
    <w:basedOn w:val="Fontepargpadro"/>
    <w:uiPriority w:val="9"/>
    <w:semiHidden/>
    <w:rsid w:val="00C858EF"/>
    <w:rPr>
      <w:rFonts w:asciiTheme="majorHAnsi" w:eastAsiaTheme="majorEastAsia" w:hAnsiTheme="majorHAnsi" w:cstheme="majorBidi"/>
      <w:i/>
      <w:iCs/>
      <w:color w:val="404040" w:themeColor="text1" w:themeTint="BF"/>
      <w:sz w:val="20"/>
      <w:szCs w:val="20"/>
    </w:rPr>
  </w:style>
  <w:style w:type="numbering" w:customStyle="1" w:styleId="Semlista8">
    <w:name w:val="Sem lista8"/>
    <w:next w:val="Semlista"/>
    <w:uiPriority w:val="99"/>
    <w:semiHidden/>
    <w:unhideWhenUsed/>
    <w:rsid w:val="00C858EF"/>
  </w:style>
  <w:style w:type="table" w:customStyle="1" w:styleId="Tabelacomgrade7">
    <w:name w:val="Tabela com grade7"/>
    <w:basedOn w:val="Tabelanormal"/>
    <w:next w:val="Tabelacomgrade"/>
    <w:uiPriority w:val="59"/>
    <w:rsid w:val="00C85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Mdio2-nfase61">
    <w:name w:val="Sombreamento Médio 2 - Ênfase 61"/>
    <w:basedOn w:val="Tabelanormal"/>
    <w:next w:val="SombreamentoMdio2-nfase6"/>
    <w:uiPriority w:val="64"/>
    <w:rsid w:val="00C85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RU-CorpoTexto">
    <w:name w:val="TRU-Corpo Texto"/>
    <w:basedOn w:val="NormalWeb"/>
    <w:link w:val="TRU-CorpoTextoChar"/>
    <w:rsid w:val="00C858EF"/>
    <w:pPr>
      <w:spacing w:before="180" w:after="180" w:line="360" w:lineRule="auto"/>
      <w:ind w:firstLine="1418"/>
      <w:jc w:val="both"/>
    </w:pPr>
    <w:rPr>
      <w:szCs w:val="20"/>
    </w:rPr>
  </w:style>
  <w:style w:type="character" w:customStyle="1" w:styleId="TRU-CorpoTextoChar">
    <w:name w:val="TRU-Corpo Texto Char"/>
    <w:basedOn w:val="Fontepargpadro"/>
    <w:link w:val="TRU-CorpoTexto"/>
    <w:rsid w:val="00C858EF"/>
    <w:rPr>
      <w:rFonts w:ascii="Times New Roman" w:eastAsia="Times New Roman" w:hAnsi="Times New Roman" w:cs="Times New Roman"/>
      <w:sz w:val="24"/>
      <w:szCs w:val="20"/>
      <w:lang w:eastAsia="pt-BR"/>
    </w:rPr>
  </w:style>
  <w:style w:type="table" w:customStyle="1" w:styleId="TabeladeLista3-nfase511">
    <w:name w:val="Tabela de Lista 3 - Ênfase 511"/>
    <w:basedOn w:val="Tabelanormal"/>
    <w:uiPriority w:val="48"/>
    <w:rsid w:val="00C858EF"/>
    <w:pPr>
      <w:spacing w:after="0" w:line="240" w:lineRule="auto"/>
    </w:p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TabeladeGrade4-nfase511">
    <w:name w:val="Tabela de Grade 4 - Ênfase 511"/>
    <w:basedOn w:val="Tabelanormal"/>
    <w:uiPriority w:val="49"/>
    <w:rsid w:val="00C858EF"/>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RUTn2">
    <w:name w:val="TRU Tn2"/>
    <w:basedOn w:val="Normal"/>
    <w:rsid w:val="00C858EF"/>
    <w:pPr>
      <w:spacing w:before="960" w:after="480"/>
    </w:pPr>
    <w:rPr>
      <w:rFonts w:eastAsia="Calibri"/>
      <w:b/>
      <w:lang w:eastAsia="en-US"/>
    </w:rPr>
  </w:style>
  <w:style w:type="paragraph" w:customStyle="1" w:styleId="TRUTn3">
    <w:name w:val="TRU Tn3"/>
    <w:basedOn w:val="Normal"/>
    <w:link w:val="TRUTn3Char"/>
    <w:rsid w:val="00C858EF"/>
    <w:pPr>
      <w:spacing w:before="600" w:after="360"/>
      <w:jc w:val="both"/>
    </w:pPr>
    <w:rPr>
      <w:rFonts w:eastAsia="Calibri"/>
      <w:b/>
      <w:szCs w:val="22"/>
      <w:lang w:eastAsia="en-US"/>
    </w:rPr>
  </w:style>
  <w:style w:type="character" w:customStyle="1" w:styleId="TRUTn3Char">
    <w:name w:val="TRU Tn3 Char"/>
    <w:basedOn w:val="Fontepargpadro"/>
    <w:link w:val="TRUTn3"/>
    <w:rsid w:val="00C858EF"/>
    <w:rPr>
      <w:rFonts w:ascii="Times New Roman" w:eastAsia="Calibri" w:hAnsi="Times New Roman" w:cs="Times New Roman"/>
      <w:b/>
      <w:sz w:val="24"/>
    </w:rPr>
  </w:style>
  <w:style w:type="numbering" w:customStyle="1" w:styleId="Semlista11">
    <w:name w:val="Sem lista11"/>
    <w:next w:val="Semlista"/>
    <w:uiPriority w:val="99"/>
    <w:semiHidden/>
    <w:unhideWhenUsed/>
    <w:rsid w:val="00C858EF"/>
  </w:style>
  <w:style w:type="numbering" w:customStyle="1" w:styleId="Semlista21">
    <w:name w:val="Sem lista21"/>
    <w:next w:val="Semlista"/>
    <w:uiPriority w:val="99"/>
    <w:semiHidden/>
    <w:unhideWhenUsed/>
    <w:rsid w:val="00C858EF"/>
  </w:style>
  <w:style w:type="table" w:customStyle="1" w:styleId="Estilo11">
    <w:name w:val="Estilo11"/>
    <w:basedOn w:val="Tabelanormal"/>
    <w:uiPriority w:val="99"/>
    <w:rsid w:val="00C858EF"/>
    <w:pPr>
      <w:spacing w:after="0" w:line="240" w:lineRule="auto"/>
    </w:pPr>
    <w:tblPr/>
    <w:tcPr>
      <w:shd w:val="clear" w:color="auto" w:fill="4BACC6"/>
    </w:tcPr>
  </w:style>
  <w:style w:type="table" w:customStyle="1" w:styleId="Tabelacomgrade11">
    <w:name w:val="Tabela com grade11"/>
    <w:basedOn w:val="Tabelanormal"/>
    <w:next w:val="Tabelacomgrade"/>
    <w:uiPriority w:val="59"/>
    <w:rsid w:val="00C85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eClara-nfase51">
    <w:name w:val="Grade Clara - Ênfase 51"/>
    <w:basedOn w:val="Tabelanormal"/>
    <w:next w:val="GradeClara-nfase5"/>
    <w:uiPriority w:val="62"/>
    <w:rsid w:val="00C858EF"/>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oda-quadro1">
    <w:name w:val="Moda - quadro1"/>
    <w:basedOn w:val="Tabelanormal"/>
    <w:next w:val="ListaClara-nfase5"/>
    <w:uiPriority w:val="61"/>
    <w:rsid w:val="00C858EF"/>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cPr>
      <w:shd w:val="clear" w:color="auto" w:fill="auto"/>
    </w:tc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SombreamentoMdio1-nfase51">
    <w:name w:val="Sombreamento Médio 1 - Ênfase 51"/>
    <w:basedOn w:val="Tabelanormal"/>
    <w:next w:val="SombreamentoMdio1-nfase5"/>
    <w:uiPriority w:val="63"/>
    <w:rsid w:val="00C858EF"/>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SombreamentoMdio2-nfase51">
    <w:name w:val="Sombreamento Médio 2 - Ênfase 51"/>
    <w:basedOn w:val="Tabelanormal"/>
    <w:next w:val="SombreamentoMdio2-nfase5"/>
    <w:uiPriority w:val="64"/>
    <w:rsid w:val="00C85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emlista31">
    <w:name w:val="Sem lista31"/>
    <w:next w:val="Semlista"/>
    <w:uiPriority w:val="99"/>
    <w:semiHidden/>
    <w:unhideWhenUsed/>
    <w:rsid w:val="00C858EF"/>
  </w:style>
  <w:style w:type="table" w:customStyle="1" w:styleId="Tabelacomgrade21">
    <w:name w:val="Tabela com grade21"/>
    <w:basedOn w:val="Tabelanormal"/>
    <w:next w:val="Tabelacomgrade"/>
    <w:uiPriority w:val="59"/>
    <w:rsid w:val="00C85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1">
    <w:name w:val="Tabela com grade31"/>
    <w:basedOn w:val="Tabelanormal"/>
    <w:next w:val="Tabelacomgrade"/>
    <w:uiPriority w:val="59"/>
    <w:rsid w:val="00C85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41">
    <w:name w:val="Sem lista41"/>
    <w:next w:val="Semlista"/>
    <w:uiPriority w:val="99"/>
    <w:semiHidden/>
    <w:unhideWhenUsed/>
    <w:rsid w:val="00C858EF"/>
  </w:style>
  <w:style w:type="numbering" w:customStyle="1" w:styleId="Semlista51">
    <w:name w:val="Sem lista51"/>
    <w:next w:val="Semlista"/>
    <w:uiPriority w:val="99"/>
    <w:semiHidden/>
    <w:unhideWhenUsed/>
    <w:rsid w:val="00C858EF"/>
  </w:style>
  <w:style w:type="numbering" w:customStyle="1" w:styleId="Semlista61">
    <w:name w:val="Sem lista61"/>
    <w:next w:val="Semlista"/>
    <w:uiPriority w:val="99"/>
    <w:semiHidden/>
    <w:unhideWhenUsed/>
    <w:rsid w:val="00C858EF"/>
  </w:style>
  <w:style w:type="table" w:customStyle="1" w:styleId="Tabelacomgrade41">
    <w:name w:val="Tabela com grade41"/>
    <w:basedOn w:val="Tabelanormal"/>
    <w:next w:val="Tabelacomgrade"/>
    <w:uiPriority w:val="59"/>
    <w:rsid w:val="00C858E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basedOn w:val="Fontepargpadro"/>
    <w:link w:val="PargrafodaLista"/>
    <w:uiPriority w:val="34"/>
    <w:locked/>
    <w:rsid w:val="00C858EF"/>
    <w:rPr>
      <w:rFonts w:ascii="Times New Roman" w:eastAsia="Times New Roman" w:hAnsi="Times New Roman" w:cs="Times New Roman"/>
      <w:sz w:val="24"/>
      <w:szCs w:val="24"/>
      <w:lang w:eastAsia="pt-BR"/>
    </w:rPr>
  </w:style>
  <w:style w:type="paragraph" w:customStyle="1" w:styleId="TableParagraph">
    <w:name w:val="Table Paragraph"/>
    <w:basedOn w:val="Normal"/>
    <w:uiPriority w:val="1"/>
    <w:rsid w:val="00C858EF"/>
    <w:pPr>
      <w:widowControl w:val="0"/>
      <w:ind w:left="106"/>
    </w:pPr>
    <w:rPr>
      <w:sz w:val="22"/>
      <w:szCs w:val="22"/>
      <w:lang w:val="en-US" w:eastAsia="en-US"/>
    </w:rPr>
  </w:style>
  <w:style w:type="paragraph" w:styleId="Reviso">
    <w:name w:val="Revision"/>
    <w:hidden/>
    <w:uiPriority w:val="99"/>
    <w:semiHidden/>
    <w:rsid w:val="00C858EF"/>
    <w:pPr>
      <w:spacing w:after="0" w:line="240" w:lineRule="auto"/>
    </w:pPr>
    <w:rPr>
      <w:rFonts w:ascii="Times New Roman" w:hAnsi="Times New Roman" w:cs="Times New Roman"/>
      <w:sz w:val="24"/>
      <w:szCs w:val="24"/>
    </w:rPr>
  </w:style>
  <w:style w:type="character" w:customStyle="1" w:styleId="Meno1">
    <w:name w:val="Menção1"/>
    <w:basedOn w:val="Fontepargpadro"/>
    <w:uiPriority w:val="99"/>
    <w:semiHidden/>
    <w:unhideWhenUsed/>
    <w:rsid w:val="00C858EF"/>
    <w:rPr>
      <w:color w:val="2B579A"/>
      <w:shd w:val="clear" w:color="auto" w:fill="E6E6E6"/>
    </w:rPr>
  </w:style>
  <w:style w:type="paragraph" w:customStyle="1" w:styleId="xl75">
    <w:name w:val="xl75"/>
    <w:basedOn w:val="Normal"/>
    <w:rsid w:val="00C858EF"/>
    <w:pPr>
      <w:pBdr>
        <w:bottom w:val="single" w:sz="4" w:space="0" w:color="auto"/>
      </w:pBdr>
      <w:spacing w:before="100" w:beforeAutospacing="1" w:after="100" w:afterAutospacing="1"/>
      <w:textAlignment w:val="center"/>
    </w:pPr>
    <w:rPr>
      <w:rFonts w:ascii="Calibri" w:hAnsi="Calibri"/>
      <w:b/>
      <w:bCs/>
      <w:sz w:val="14"/>
      <w:szCs w:val="14"/>
    </w:rPr>
  </w:style>
  <w:style w:type="paragraph" w:customStyle="1" w:styleId="xl76">
    <w:name w:val="xl76"/>
    <w:basedOn w:val="Normal"/>
    <w:rsid w:val="00C858EF"/>
    <w:pPr>
      <w:pBdr>
        <w:top w:val="single" w:sz="4" w:space="0" w:color="auto"/>
        <w:left w:val="single" w:sz="4" w:space="0" w:color="auto"/>
        <w:bottom w:val="single" w:sz="4" w:space="0" w:color="auto"/>
      </w:pBdr>
      <w:spacing w:before="100" w:beforeAutospacing="1" w:after="100" w:afterAutospacing="1"/>
      <w:textAlignment w:val="center"/>
    </w:pPr>
    <w:rPr>
      <w:rFonts w:ascii="Calibri" w:hAnsi="Calibri"/>
      <w:b/>
      <w:bCs/>
      <w:sz w:val="14"/>
      <w:szCs w:val="14"/>
    </w:rPr>
  </w:style>
  <w:style w:type="paragraph" w:customStyle="1" w:styleId="xl77">
    <w:name w:val="xl77"/>
    <w:basedOn w:val="Normal"/>
    <w:rsid w:val="00C858EF"/>
    <w:pPr>
      <w:pBdr>
        <w:top w:val="single" w:sz="4" w:space="0" w:color="auto"/>
        <w:bottom w:val="single" w:sz="4" w:space="0" w:color="auto"/>
      </w:pBdr>
      <w:spacing w:before="100" w:beforeAutospacing="1" w:after="100" w:afterAutospacing="1"/>
      <w:textAlignment w:val="center"/>
    </w:pPr>
    <w:rPr>
      <w:rFonts w:ascii="Calibri" w:hAnsi="Calibri"/>
      <w:b/>
      <w:bCs/>
      <w:sz w:val="14"/>
      <w:szCs w:val="14"/>
    </w:rPr>
  </w:style>
  <w:style w:type="paragraph" w:customStyle="1" w:styleId="xl78">
    <w:name w:val="xl78"/>
    <w:basedOn w:val="Normal"/>
    <w:rsid w:val="00C858EF"/>
    <w:pPr>
      <w:pBdr>
        <w:top w:val="single" w:sz="4" w:space="0" w:color="auto"/>
        <w:bottom w:val="single" w:sz="4" w:space="0" w:color="auto"/>
      </w:pBdr>
      <w:spacing w:before="100" w:beforeAutospacing="1" w:after="100" w:afterAutospacing="1"/>
    </w:pPr>
    <w:rPr>
      <w:rFonts w:ascii="Arial" w:hAnsi="Arial" w:cs="Arial"/>
      <w:sz w:val="14"/>
      <w:szCs w:val="14"/>
    </w:rPr>
  </w:style>
  <w:style w:type="paragraph" w:customStyle="1" w:styleId="xl79">
    <w:name w:val="xl79"/>
    <w:basedOn w:val="Normal"/>
    <w:rsid w:val="00C858EF"/>
    <w:pPr>
      <w:pBdr>
        <w:top w:val="single" w:sz="4" w:space="0" w:color="auto"/>
        <w:bottom w:val="single" w:sz="4" w:space="0" w:color="auto"/>
        <w:right w:val="single" w:sz="4" w:space="0" w:color="auto"/>
      </w:pBdr>
      <w:spacing w:before="100" w:beforeAutospacing="1" w:after="100" w:afterAutospacing="1"/>
    </w:pPr>
    <w:rPr>
      <w:rFonts w:ascii="Arial" w:hAnsi="Arial" w:cs="Arial"/>
      <w:sz w:val="14"/>
      <w:szCs w:val="14"/>
    </w:rPr>
  </w:style>
  <w:style w:type="paragraph" w:customStyle="1" w:styleId="xl80">
    <w:name w:val="xl80"/>
    <w:basedOn w:val="Normal"/>
    <w:rsid w:val="00C858EF"/>
    <w:pPr>
      <w:pBdr>
        <w:top w:val="single" w:sz="4" w:space="0" w:color="auto"/>
        <w:right w:val="single" w:sz="4" w:space="0" w:color="auto"/>
      </w:pBdr>
      <w:spacing w:before="100" w:beforeAutospacing="1" w:after="100" w:afterAutospacing="1"/>
      <w:jc w:val="center"/>
      <w:textAlignment w:val="center"/>
    </w:pPr>
    <w:rPr>
      <w:rFonts w:ascii="Calibri" w:hAnsi="Calibri"/>
      <w:b/>
      <w:bCs/>
      <w:sz w:val="14"/>
      <w:szCs w:val="14"/>
    </w:rPr>
  </w:style>
  <w:style w:type="paragraph" w:customStyle="1" w:styleId="xl81">
    <w:name w:val="xl81"/>
    <w:basedOn w:val="Normal"/>
    <w:rsid w:val="00C858EF"/>
    <w:pPr>
      <w:pBdr>
        <w:top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Calibri" w:hAnsi="Calibri"/>
      <w:b/>
      <w:bCs/>
      <w:sz w:val="14"/>
      <w:szCs w:val="14"/>
    </w:rPr>
  </w:style>
  <w:style w:type="paragraph" w:customStyle="1" w:styleId="xl82">
    <w:name w:val="xl82"/>
    <w:basedOn w:val="Normal"/>
    <w:rsid w:val="00C858EF"/>
    <w:pPr>
      <w:pBdr>
        <w:top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Calibri" w:hAnsi="Calibri"/>
      <w:b/>
      <w:bCs/>
      <w:sz w:val="14"/>
      <w:szCs w:val="14"/>
    </w:rPr>
  </w:style>
  <w:style w:type="paragraph" w:customStyle="1" w:styleId="xl83">
    <w:name w:val="xl83"/>
    <w:basedOn w:val="Normal"/>
    <w:rsid w:val="00C858EF"/>
    <w:pPr>
      <w:pBdr>
        <w:top w:val="single" w:sz="4" w:space="0" w:color="auto"/>
        <w:bottom w:val="single" w:sz="4" w:space="0" w:color="auto"/>
        <w:right w:val="single" w:sz="4" w:space="0" w:color="auto"/>
      </w:pBdr>
      <w:shd w:val="clear" w:color="000000" w:fill="FFFFFF"/>
      <w:spacing w:before="100" w:beforeAutospacing="1" w:after="100" w:afterAutospacing="1"/>
      <w:ind w:firstLineChars="100" w:firstLine="100"/>
      <w:textAlignment w:val="center"/>
    </w:pPr>
    <w:rPr>
      <w:rFonts w:ascii="Calibri" w:hAnsi="Calibri"/>
      <w:b/>
      <w:bCs/>
      <w:sz w:val="14"/>
      <w:szCs w:val="14"/>
    </w:rPr>
  </w:style>
  <w:style w:type="paragraph" w:customStyle="1" w:styleId="xl84">
    <w:name w:val="xl84"/>
    <w:basedOn w:val="Normal"/>
    <w:rsid w:val="00C858EF"/>
    <w:pPr>
      <w:pBdr>
        <w:top w:val="single" w:sz="4" w:space="0" w:color="auto"/>
        <w:bottom w:val="single" w:sz="4" w:space="0" w:color="auto"/>
        <w:right w:val="single" w:sz="4" w:space="0" w:color="auto"/>
      </w:pBdr>
      <w:shd w:val="clear" w:color="000000" w:fill="FFFFFF"/>
      <w:spacing w:before="100" w:beforeAutospacing="1" w:after="100" w:afterAutospacing="1"/>
      <w:ind w:firstLineChars="200" w:firstLine="200"/>
      <w:textAlignment w:val="center"/>
    </w:pPr>
    <w:rPr>
      <w:rFonts w:ascii="Calibri" w:hAnsi="Calibri"/>
      <w:b/>
      <w:bCs/>
      <w:sz w:val="14"/>
      <w:szCs w:val="14"/>
    </w:rPr>
  </w:style>
  <w:style w:type="paragraph" w:customStyle="1" w:styleId="xl85">
    <w:name w:val="xl85"/>
    <w:basedOn w:val="Normal"/>
    <w:rsid w:val="00C858EF"/>
    <w:pPr>
      <w:pBdr>
        <w:top w:val="single" w:sz="4" w:space="0" w:color="auto"/>
        <w:bottom w:val="single" w:sz="4" w:space="0" w:color="auto"/>
        <w:right w:val="single" w:sz="4" w:space="0" w:color="auto"/>
      </w:pBdr>
      <w:shd w:val="clear" w:color="000000" w:fill="FFFFFF"/>
      <w:spacing w:before="100" w:beforeAutospacing="1" w:after="100" w:afterAutospacing="1"/>
      <w:ind w:firstLineChars="200" w:firstLine="200"/>
      <w:textAlignment w:val="center"/>
    </w:pPr>
    <w:rPr>
      <w:rFonts w:ascii="Calibri" w:hAnsi="Calibri"/>
      <w:b/>
      <w:bCs/>
      <w:sz w:val="14"/>
      <w:szCs w:val="14"/>
    </w:rPr>
  </w:style>
  <w:style w:type="paragraph" w:customStyle="1" w:styleId="xl86">
    <w:name w:val="xl86"/>
    <w:basedOn w:val="Normal"/>
    <w:rsid w:val="00C858EF"/>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Calibri" w:hAnsi="Calibri"/>
      <w:b/>
      <w:bCs/>
      <w:sz w:val="14"/>
      <w:szCs w:val="14"/>
    </w:rPr>
  </w:style>
  <w:style w:type="paragraph" w:customStyle="1" w:styleId="FJP-Quad">
    <w:name w:val="FJP-Quad"/>
    <w:basedOn w:val="FJP-Tab-T"/>
    <w:link w:val="FJP-QuadChar"/>
    <w:qFormat/>
    <w:rsid w:val="00C858EF"/>
    <w:pPr>
      <w:contextualSpacing/>
    </w:pPr>
    <w:rPr>
      <w:rFonts w:cs="Calibri"/>
    </w:rPr>
  </w:style>
  <w:style w:type="character" w:customStyle="1" w:styleId="FJP-QuadChar">
    <w:name w:val="FJP-Quad Char"/>
    <w:basedOn w:val="FJP-Tab-TChar"/>
    <w:link w:val="FJP-Quad"/>
    <w:rsid w:val="00C858EF"/>
    <w:rPr>
      <w:rFonts w:ascii="Calibri" w:eastAsia="Times New Roman" w:hAnsi="Calibri" w:cs="Calibri"/>
      <w:szCs w:val="14"/>
      <w:lang w:eastAsia="pt-BR"/>
    </w:rPr>
  </w:style>
  <w:style w:type="paragraph" w:customStyle="1" w:styleId="CEI-Fig">
    <w:name w:val="CEI-Fig"/>
    <w:basedOn w:val="FJP-Quad"/>
    <w:rsid w:val="00C858EF"/>
  </w:style>
  <w:style w:type="paragraph" w:customStyle="1" w:styleId="CEI-Ttulo1">
    <w:name w:val="CEI-Título 1"/>
    <w:basedOn w:val="NormalWeb"/>
    <w:link w:val="CEI-Ttulo1Char"/>
    <w:rsid w:val="00C858EF"/>
    <w:pPr>
      <w:spacing w:before="840" w:after="360"/>
      <w:jc w:val="center"/>
    </w:pPr>
  </w:style>
  <w:style w:type="character" w:customStyle="1" w:styleId="CEI-Ttulo1Char">
    <w:name w:val="CEI-Título 1 Char"/>
    <w:basedOn w:val="NormalWebChar"/>
    <w:link w:val="CEI-Ttulo1"/>
    <w:rsid w:val="00C858EF"/>
    <w:rPr>
      <w:rFonts w:ascii="Times New Roman" w:eastAsia="Times New Roman" w:hAnsi="Times New Roman" w:cs="Times New Roman"/>
      <w:sz w:val="24"/>
      <w:szCs w:val="24"/>
      <w:lang w:eastAsia="pt-BR"/>
    </w:rPr>
  </w:style>
  <w:style w:type="paragraph" w:customStyle="1" w:styleId="CEI-Titulo2">
    <w:name w:val="CEI-Titulo 2"/>
    <w:basedOn w:val="CEI-Ttulo1"/>
    <w:link w:val="CEI-Titulo2Char"/>
    <w:rsid w:val="00C858EF"/>
    <w:pPr>
      <w:pBdr>
        <w:top w:val="single" w:sz="6" w:space="8" w:color="C00000"/>
      </w:pBdr>
      <w:jc w:val="left"/>
    </w:pPr>
    <w:rPr>
      <w:rFonts w:ascii="Calibri" w:hAnsi="Calibri"/>
      <w:b/>
    </w:rPr>
  </w:style>
  <w:style w:type="character" w:customStyle="1" w:styleId="CEI-Titulo2Char">
    <w:name w:val="CEI-Titulo 2 Char"/>
    <w:basedOn w:val="CEI-Ttulo1Char"/>
    <w:link w:val="CEI-Titulo2"/>
    <w:rsid w:val="00C858EF"/>
    <w:rPr>
      <w:rFonts w:ascii="Calibri" w:eastAsia="Times New Roman" w:hAnsi="Calibri" w:cs="Times New Roman"/>
      <w:b/>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711656">
      <w:bodyDiv w:val="1"/>
      <w:marLeft w:val="0"/>
      <w:marRight w:val="0"/>
      <w:marTop w:val="0"/>
      <w:marBottom w:val="0"/>
      <w:divBdr>
        <w:top w:val="none" w:sz="0" w:space="0" w:color="auto"/>
        <w:left w:val="none" w:sz="0" w:space="0" w:color="auto"/>
        <w:bottom w:val="none" w:sz="0" w:space="0" w:color="auto"/>
        <w:right w:val="none" w:sz="0" w:space="0" w:color="auto"/>
      </w:divBdr>
    </w:div>
    <w:div w:id="1458645437">
      <w:bodyDiv w:val="1"/>
      <w:marLeft w:val="0"/>
      <w:marRight w:val="0"/>
      <w:marTop w:val="0"/>
      <w:marBottom w:val="0"/>
      <w:divBdr>
        <w:top w:val="none" w:sz="0" w:space="0" w:color="auto"/>
        <w:left w:val="none" w:sz="0" w:space="0" w:color="auto"/>
        <w:bottom w:val="none" w:sz="0" w:space="0" w:color="auto"/>
        <w:right w:val="none" w:sz="0" w:space="0" w:color="auto"/>
      </w:divBdr>
    </w:div>
    <w:div w:id="1697852465">
      <w:bodyDiv w:val="1"/>
      <w:marLeft w:val="0"/>
      <w:marRight w:val="0"/>
      <w:marTop w:val="0"/>
      <w:marBottom w:val="0"/>
      <w:divBdr>
        <w:top w:val="none" w:sz="0" w:space="0" w:color="auto"/>
        <w:left w:val="none" w:sz="0" w:space="0" w:color="auto"/>
        <w:bottom w:val="none" w:sz="0" w:space="0" w:color="auto"/>
        <w:right w:val="none" w:sz="0" w:space="0" w:color="auto"/>
      </w:divBdr>
    </w:div>
    <w:div w:id="1718242241">
      <w:bodyDiv w:val="1"/>
      <w:marLeft w:val="0"/>
      <w:marRight w:val="0"/>
      <w:marTop w:val="0"/>
      <w:marBottom w:val="0"/>
      <w:divBdr>
        <w:top w:val="none" w:sz="0" w:space="0" w:color="auto"/>
        <w:left w:val="none" w:sz="0" w:space="0" w:color="auto"/>
        <w:bottom w:val="none" w:sz="0" w:space="0" w:color="auto"/>
        <w:right w:val="none" w:sz="0" w:space="0" w:color="auto"/>
      </w:divBdr>
    </w:div>
    <w:div w:id="1811550842">
      <w:bodyDiv w:val="1"/>
      <w:marLeft w:val="0"/>
      <w:marRight w:val="0"/>
      <w:marTop w:val="0"/>
      <w:marBottom w:val="0"/>
      <w:divBdr>
        <w:top w:val="none" w:sz="0" w:space="0" w:color="auto"/>
        <w:left w:val="none" w:sz="0" w:space="0" w:color="auto"/>
        <w:bottom w:val="none" w:sz="0" w:space="0" w:color="auto"/>
        <w:right w:val="none" w:sz="0" w:space="0" w:color="auto"/>
      </w:divBdr>
    </w:div>
    <w:div w:id="181648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11641420\Desktop\relat&#243;rio%20TCE\dados%20fiscais\dados%20fisca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11641420\Desktop\relat&#243;rio%20TCE\dados%20fiscais\dados%20fisca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tab_rec_cres!$B$36</c:f>
              <c:strCache>
                <c:ptCount val="1"/>
                <c:pt idx="0">
                  <c:v>Receita tributaria</c:v>
                </c:pt>
              </c:strCache>
            </c:strRef>
          </c:tx>
          <c:spPr>
            <a:ln w="28575" cap="rnd">
              <a:solidFill>
                <a:schemeClr val="accent1"/>
              </a:solidFill>
              <a:round/>
            </a:ln>
            <a:effectLst/>
          </c:spPr>
          <c:marker>
            <c:symbol val="none"/>
          </c:marker>
          <c:cat>
            <c:numRef>
              <c:f>tab_rec_cres!$D$34:$R$34</c:f>
              <c:numCache>
                <c:formatCode>General</c:formatCode>
                <c:ptCount val="15"/>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numCache>
            </c:numRef>
          </c:cat>
          <c:val>
            <c:numRef>
              <c:f>tab_rec_cres!$D$36:$R$36</c:f>
              <c:numCache>
                <c:formatCode>0.00%</c:formatCode>
                <c:ptCount val="15"/>
                <c:pt idx="0">
                  <c:v>0.14436994874648601</c:v>
                </c:pt>
                <c:pt idx="1">
                  <c:v>0.19198583658056301</c:v>
                </c:pt>
                <c:pt idx="2">
                  <c:v>0.17267291565496201</c:v>
                </c:pt>
                <c:pt idx="3">
                  <c:v>0.118016817489174</c:v>
                </c:pt>
                <c:pt idx="4">
                  <c:v>0.136279100118087</c:v>
                </c:pt>
                <c:pt idx="5">
                  <c:v>0.19318688763436201</c:v>
                </c:pt>
                <c:pt idx="6">
                  <c:v>-8.8638891979656593E-3</c:v>
                </c:pt>
                <c:pt idx="7">
                  <c:v>0.18450169234272801</c:v>
                </c:pt>
                <c:pt idx="8">
                  <c:v>0.10314812699946301</c:v>
                </c:pt>
                <c:pt idx="9">
                  <c:v>0.109009065356912</c:v>
                </c:pt>
                <c:pt idx="10">
                  <c:v>0.11959987538233301</c:v>
                </c:pt>
                <c:pt idx="11">
                  <c:v>8.2620279546095104E-2</c:v>
                </c:pt>
                <c:pt idx="12">
                  <c:v>1.9806311831867401E-2</c:v>
                </c:pt>
                <c:pt idx="13">
                  <c:v>0.103516096298909</c:v>
                </c:pt>
                <c:pt idx="14">
                  <c:v>9.5295367749634902E-2</c:v>
                </c:pt>
              </c:numCache>
            </c:numRef>
          </c:val>
          <c:smooth val="0"/>
          <c:extLst>
            <c:ext xmlns:c16="http://schemas.microsoft.com/office/drawing/2014/chart" uri="{C3380CC4-5D6E-409C-BE32-E72D297353CC}">
              <c16:uniqueId val="{00000000-4AA6-4275-BDAE-4E5364203E7D}"/>
            </c:ext>
          </c:extLst>
        </c:ser>
        <c:ser>
          <c:idx val="1"/>
          <c:order val="1"/>
          <c:tx>
            <c:strRef>
              <c:f>tab_rec_cres!$B$60</c:f>
              <c:strCache>
                <c:ptCount val="1"/>
                <c:pt idx="0">
                  <c:v>PIB</c:v>
                </c:pt>
              </c:strCache>
            </c:strRef>
          </c:tx>
          <c:spPr>
            <a:ln w="28575" cap="rnd">
              <a:solidFill>
                <a:srgbClr val="A50021"/>
              </a:solidFill>
              <a:round/>
            </a:ln>
            <a:effectLst/>
          </c:spPr>
          <c:marker>
            <c:symbol val="none"/>
          </c:marker>
          <c:cat>
            <c:numRef>
              <c:f>tab_rec_cres!$D$34:$R$34</c:f>
              <c:numCache>
                <c:formatCode>General</c:formatCode>
                <c:ptCount val="15"/>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numCache>
            </c:numRef>
          </c:cat>
          <c:val>
            <c:numRef>
              <c:f>tab_rec_cres!$D$60:$R$60</c:f>
              <c:numCache>
                <c:formatCode>0.00%</c:formatCode>
                <c:ptCount val="15"/>
                <c:pt idx="0">
                  <c:v>0.162149226320319</c:v>
                </c:pt>
                <c:pt idx="1">
                  <c:v>0.191982897512502</c:v>
                </c:pt>
                <c:pt idx="2">
                  <c:v>9.5964462096493702E-2</c:v>
                </c:pt>
                <c:pt idx="3">
                  <c:v>0.12897929250891299</c:v>
                </c:pt>
                <c:pt idx="4">
                  <c:v>0.130234883961868</c:v>
                </c:pt>
                <c:pt idx="5">
                  <c:v>0.15914935299854399</c:v>
                </c:pt>
                <c:pt idx="6">
                  <c:v>3.17156749362641E-2</c:v>
                </c:pt>
                <c:pt idx="7">
                  <c:v>0.22153742415438099</c:v>
                </c:pt>
                <c:pt idx="8">
                  <c:v>0.139555685567092</c:v>
                </c:pt>
                <c:pt idx="9">
                  <c:v>0.10536251373069901</c:v>
                </c:pt>
                <c:pt idx="10">
                  <c:v>0.103377454564251</c:v>
                </c:pt>
                <c:pt idx="11">
                  <c:v>5.86655603389796E-2</c:v>
                </c:pt>
                <c:pt idx="12">
                  <c:v>5.2113787528618198E-3</c:v>
                </c:pt>
                <c:pt idx="13">
                  <c:v>5.96919417325079E-2</c:v>
                </c:pt>
                <c:pt idx="14">
                  <c:v>4.2401627505984398E-2</c:v>
                </c:pt>
              </c:numCache>
            </c:numRef>
          </c:val>
          <c:smooth val="0"/>
          <c:extLst>
            <c:ext xmlns:c16="http://schemas.microsoft.com/office/drawing/2014/chart" uri="{C3380CC4-5D6E-409C-BE32-E72D297353CC}">
              <c16:uniqueId val="{00000001-4AA6-4275-BDAE-4E5364203E7D}"/>
            </c:ext>
          </c:extLst>
        </c:ser>
        <c:dLbls>
          <c:showLegendKey val="0"/>
          <c:showVal val="0"/>
          <c:showCatName val="0"/>
          <c:showSerName val="0"/>
          <c:showPercent val="0"/>
          <c:showBubbleSize val="0"/>
        </c:dLbls>
        <c:smooth val="0"/>
        <c:axId val="-1144243104"/>
        <c:axId val="-1219356464"/>
      </c:lineChart>
      <c:catAx>
        <c:axId val="-1144243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a:lstStyle/>
          <a:p>
            <a:pPr>
              <a:defRPr/>
            </a:pPr>
            <a:endParaRPr lang="pt-BR"/>
          </a:p>
        </c:txPr>
        <c:crossAx val="-1219356464"/>
        <c:crosses val="autoZero"/>
        <c:auto val="1"/>
        <c:lblAlgn val="ctr"/>
        <c:lblOffset val="100"/>
        <c:noMultiLvlLbl val="0"/>
      </c:catAx>
      <c:valAx>
        <c:axId val="-12193564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vert="horz"/>
          <a:lstStyle/>
          <a:p>
            <a:pPr>
              <a:defRPr/>
            </a:pPr>
            <a:endParaRPr lang="pt-BR"/>
          </a:p>
        </c:txPr>
        <c:crossAx val="-1144243104"/>
        <c:crosses val="autoZero"/>
        <c:crossBetween val="between"/>
      </c:valAx>
    </c:plotArea>
    <c:legend>
      <c:legendPos val="b"/>
      <c:overlay val="0"/>
      <c:spPr>
        <a:noFill/>
        <a:ln>
          <a:noFill/>
        </a:ln>
        <a:effectLst/>
      </c:spPr>
      <c:txPr>
        <a:bodyPr rot="0" vert="horz"/>
        <a:lstStyle/>
        <a:p>
          <a:pPr>
            <a:defRPr/>
          </a:pPr>
          <a:endParaRPr lang="pt-BR"/>
        </a:p>
      </c:txPr>
    </c:legend>
    <c:plotVisOnly val="1"/>
    <c:dispBlanksAs val="gap"/>
    <c:showDLblsOverMax val="0"/>
  </c:chart>
  <c:spPr>
    <a:ln>
      <a:noFill/>
    </a:ln>
  </c:spPr>
  <c:txPr>
    <a:bodyPr/>
    <a:lstStyle/>
    <a:p>
      <a:pPr>
        <a:defRPr sz="800"/>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graf.recei_invest!$C$24</c:f>
              <c:strCache>
                <c:ptCount val="1"/>
                <c:pt idx="0">
                  <c:v>Receitas</c:v>
                </c:pt>
              </c:strCache>
            </c:strRef>
          </c:tx>
          <c:spPr>
            <a:ln w="28575" cap="rnd">
              <a:solidFill>
                <a:schemeClr val="accent5"/>
              </a:solidFill>
              <a:round/>
            </a:ln>
            <a:effectLst/>
          </c:spPr>
          <c:marker>
            <c:symbol val="none"/>
          </c:marker>
          <c:cat>
            <c:numRef>
              <c:f>graf.recei_invest!$B$25:$B$40</c:f>
              <c:numCache>
                <c:formatCode>General</c:formatCode>
                <c:ptCount val="16"/>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numCache>
            </c:numRef>
          </c:cat>
          <c:val>
            <c:numRef>
              <c:f>graf.recei_invest!$C$25:$C$40</c:f>
              <c:numCache>
                <c:formatCode>General</c:formatCode>
                <c:ptCount val="16"/>
                <c:pt idx="0">
                  <c:v>18.52129872395</c:v>
                </c:pt>
                <c:pt idx="1">
                  <c:v>19.91446452671001</c:v>
                </c:pt>
                <c:pt idx="2">
                  <c:v>21.817258709370009</c:v>
                </c:pt>
                <c:pt idx="3">
                  <c:v>25.51372417028</c:v>
                </c:pt>
                <c:pt idx="4">
                  <c:v>29.099915698149999</c:v>
                </c:pt>
                <c:pt idx="5">
                  <c:v>32.633250437720001</c:v>
                </c:pt>
                <c:pt idx="6">
                  <c:v>39.92333375602</c:v>
                </c:pt>
                <c:pt idx="7">
                  <c:v>40.562697633329996</c:v>
                </c:pt>
                <c:pt idx="8">
                  <c:v>46.617953365770013</c:v>
                </c:pt>
                <c:pt idx="9">
                  <c:v>54.844453661489993</c:v>
                </c:pt>
                <c:pt idx="10">
                  <c:v>65.248608349170027</c:v>
                </c:pt>
                <c:pt idx="11">
                  <c:v>70.95844641759993</c:v>
                </c:pt>
                <c:pt idx="12">
                  <c:v>73.347436267160006</c:v>
                </c:pt>
                <c:pt idx="13">
                  <c:v>76.154853985510002</c:v>
                </c:pt>
                <c:pt idx="14">
                  <c:v>83.965708705679972</c:v>
                </c:pt>
                <c:pt idx="15">
                  <c:v>88.623909094559934</c:v>
                </c:pt>
              </c:numCache>
            </c:numRef>
          </c:val>
          <c:smooth val="0"/>
          <c:extLst>
            <c:ext xmlns:c16="http://schemas.microsoft.com/office/drawing/2014/chart" uri="{C3380CC4-5D6E-409C-BE32-E72D297353CC}">
              <c16:uniqueId val="{00000000-25F4-4859-BC67-C9F6A4E4410B}"/>
            </c:ext>
          </c:extLst>
        </c:ser>
        <c:dLbls>
          <c:showLegendKey val="0"/>
          <c:showVal val="0"/>
          <c:showCatName val="0"/>
          <c:showSerName val="0"/>
          <c:showPercent val="0"/>
          <c:showBubbleSize val="0"/>
        </c:dLbls>
        <c:marker val="1"/>
        <c:smooth val="0"/>
        <c:axId val="-1222923872"/>
        <c:axId val="-1223057744"/>
      </c:lineChart>
      <c:lineChart>
        <c:grouping val="standard"/>
        <c:varyColors val="0"/>
        <c:ser>
          <c:idx val="1"/>
          <c:order val="1"/>
          <c:tx>
            <c:strRef>
              <c:f>graf.recei_invest!$D$24</c:f>
              <c:strCache>
                <c:ptCount val="1"/>
                <c:pt idx="0">
                  <c:v>Investimentos</c:v>
                </c:pt>
              </c:strCache>
            </c:strRef>
          </c:tx>
          <c:spPr>
            <a:ln w="28575" cap="rnd">
              <a:solidFill>
                <a:srgbClr val="C00000"/>
              </a:solidFill>
              <a:round/>
            </a:ln>
            <a:effectLst/>
          </c:spPr>
          <c:marker>
            <c:symbol val="none"/>
          </c:marker>
          <c:cat>
            <c:numRef>
              <c:f>graf.recei_invest!$B$25:$B$40</c:f>
              <c:numCache>
                <c:formatCode>General</c:formatCode>
                <c:ptCount val="16"/>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numCache>
            </c:numRef>
          </c:cat>
          <c:val>
            <c:numRef>
              <c:f>graf.recei_invest!$D$25:$D$40</c:f>
              <c:numCache>
                <c:formatCode>General</c:formatCode>
                <c:ptCount val="16"/>
                <c:pt idx="0">
                  <c:v>0.77543672347000003</c:v>
                </c:pt>
                <c:pt idx="1">
                  <c:v>0.60094472843000002</c:v>
                </c:pt>
                <c:pt idx="2">
                  <c:v>1.10966323751</c:v>
                </c:pt>
                <c:pt idx="3">
                  <c:v>2.0245701024399998</c:v>
                </c:pt>
                <c:pt idx="4">
                  <c:v>2.7129280072599991</c:v>
                </c:pt>
                <c:pt idx="5">
                  <c:v>2.8207047735600002</c:v>
                </c:pt>
                <c:pt idx="6">
                  <c:v>3.7256660877400001</c:v>
                </c:pt>
                <c:pt idx="7">
                  <c:v>3.5853878291600001</c:v>
                </c:pt>
                <c:pt idx="8">
                  <c:v>3.9935664870799998</c:v>
                </c:pt>
                <c:pt idx="9">
                  <c:v>3.30023099849</c:v>
                </c:pt>
                <c:pt idx="10">
                  <c:v>3.1764034584299998</c:v>
                </c:pt>
                <c:pt idx="11">
                  <c:v>4.2750758443399972</c:v>
                </c:pt>
                <c:pt idx="12">
                  <c:v>4.1683864256199996</c:v>
                </c:pt>
                <c:pt idx="13">
                  <c:v>3.186562514599999</c:v>
                </c:pt>
                <c:pt idx="14">
                  <c:v>2.7693091386100011</c:v>
                </c:pt>
                <c:pt idx="15">
                  <c:v>3.28615150647</c:v>
                </c:pt>
              </c:numCache>
            </c:numRef>
          </c:val>
          <c:smooth val="0"/>
          <c:extLst>
            <c:ext xmlns:c16="http://schemas.microsoft.com/office/drawing/2014/chart" uri="{C3380CC4-5D6E-409C-BE32-E72D297353CC}">
              <c16:uniqueId val="{00000001-25F4-4859-BC67-C9F6A4E4410B}"/>
            </c:ext>
          </c:extLst>
        </c:ser>
        <c:dLbls>
          <c:showLegendKey val="0"/>
          <c:showVal val="0"/>
          <c:showCatName val="0"/>
          <c:showSerName val="0"/>
          <c:showPercent val="0"/>
          <c:showBubbleSize val="0"/>
        </c:dLbls>
        <c:marker val="1"/>
        <c:smooth val="0"/>
        <c:axId val="-1222724896"/>
        <c:axId val="-1222727216"/>
      </c:lineChart>
      <c:catAx>
        <c:axId val="-12229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a:lstStyle/>
          <a:p>
            <a:pPr>
              <a:defRPr/>
            </a:pPr>
            <a:endParaRPr lang="pt-BR"/>
          </a:p>
        </c:txPr>
        <c:crossAx val="-1223057744"/>
        <c:crosses val="autoZero"/>
        <c:auto val="1"/>
        <c:lblAlgn val="ctr"/>
        <c:lblOffset val="100"/>
        <c:noMultiLvlLbl val="0"/>
      </c:catAx>
      <c:valAx>
        <c:axId val="-122305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pt-BR"/>
                  <a:t>R$ Bilhões</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pt-BR"/>
          </a:p>
        </c:txPr>
        <c:crossAx val="-1222923872"/>
        <c:crosses val="autoZero"/>
        <c:crossBetween val="between"/>
      </c:valAx>
      <c:valAx>
        <c:axId val="-1222727216"/>
        <c:scaling>
          <c:orientation val="minMax"/>
        </c:scaling>
        <c:delete val="0"/>
        <c:axPos val="r"/>
        <c:numFmt formatCode="General" sourceLinked="1"/>
        <c:majorTickMark val="none"/>
        <c:minorTickMark val="none"/>
        <c:tickLblPos val="nextTo"/>
        <c:spPr>
          <a:noFill/>
          <a:ln>
            <a:noFill/>
          </a:ln>
          <a:effectLst/>
        </c:spPr>
        <c:txPr>
          <a:bodyPr rot="-60000000" vert="horz"/>
          <a:lstStyle/>
          <a:p>
            <a:pPr>
              <a:defRPr/>
            </a:pPr>
            <a:endParaRPr lang="pt-BR"/>
          </a:p>
        </c:txPr>
        <c:crossAx val="-1222724896"/>
        <c:crosses val="max"/>
        <c:crossBetween val="between"/>
      </c:valAx>
      <c:catAx>
        <c:axId val="-1222724896"/>
        <c:scaling>
          <c:orientation val="minMax"/>
        </c:scaling>
        <c:delete val="1"/>
        <c:axPos val="b"/>
        <c:numFmt formatCode="General" sourceLinked="1"/>
        <c:majorTickMark val="none"/>
        <c:minorTickMark val="none"/>
        <c:tickLblPos val="nextTo"/>
        <c:crossAx val="-1222727216"/>
        <c:crosses val="autoZero"/>
        <c:auto val="1"/>
        <c:lblAlgn val="ctr"/>
        <c:lblOffset val="100"/>
        <c:noMultiLvlLbl val="0"/>
      </c:catAx>
      <c:spPr>
        <a:noFill/>
        <a:ln>
          <a:noFill/>
        </a:ln>
        <a:effectLst/>
      </c:spPr>
    </c:plotArea>
    <c:legend>
      <c:legendPos val="b"/>
      <c:overlay val="0"/>
      <c:spPr>
        <a:noFill/>
        <a:ln>
          <a:noFill/>
        </a:ln>
        <a:effectLst/>
      </c:spPr>
      <c:txPr>
        <a:bodyPr rot="0" vert="horz"/>
        <a:lstStyle/>
        <a:p>
          <a:pPr>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30037-4095-4991-9CA3-D1E24FB22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5630</Words>
  <Characters>30408</Characters>
  <Application>Microsoft Office Word</Application>
  <DocSecurity>0</DocSecurity>
  <Lines>253</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Otavio Seixas Barbosa</dc:creator>
  <cp:keywords/>
  <dc:description/>
  <cp:lastModifiedBy>Lucio Otavio Seixas Barbosa</cp:lastModifiedBy>
  <cp:revision>2</cp:revision>
  <dcterms:created xsi:type="dcterms:W3CDTF">2019-01-30T15:35:00Z</dcterms:created>
  <dcterms:modified xsi:type="dcterms:W3CDTF">2019-01-30T15:35:00Z</dcterms:modified>
</cp:coreProperties>
</file>