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40BD" w:rsidRPr="000524E7" w:rsidRDefault="00637C70" w:rsidP="007F40BD">
      <w:pPr>
        <w:jc w:val="both"/>
        <w:rPr>
          <w:rStyle w:val="fontstyle01"/>
          <w:b/>
        </w:rPr>
      </w:pPr>
      <w:r>
        <w:rPr>
          <w:rStyle w:val="fontstyle01"/>
          <w:b/>
        </w:rPr>
        <w:t>AN</w:t>
      </w:r>
      <w:r>
        <w:rPr>
          <w:rStyle w:val="fontstyle01"/>
          <w:rFonts w:hint="eastAsia"/>
          <w:b/>
        </w:rPr>
        <w:t>Á</w:t>
      </w:r>
      <w:r>
        <w:rPr>
          <w:rStyle w:val="fontstyle01"/>
          <w:b/>
        </w:rPr>
        <w:t>LISE DA PREVIDENCI</w:t>
      </w:r>
      <w:r>
        <w:rPr>
          <w:rStyle w:val="fontstyle01"/>
          <w:rFonts w:hint="eastAsia"/>
          <w:b/>
        </w:rPr>
        <w:t>Á</w:t>
      </w:r>
      <w:r>
        <w:rPr>
          <w:rStyle w:val="fontstyle01"/>
          <w:b/>
        </w:rPr>
        <w:t>RIA DOS SERVIDORES P</w:t>
      </w:r>
      <w:r>
        <w:rPr>
          <w:rStyle w:val="fontstyle01"/>
          <w:rFonts w:hint="eastAsia"/>
          <w:b/>
        </w:rPr>
        <w:t>Ú</w:t>
      </w:r>
      <w:r>
        <w:rPr>
          <w:rStyle w:val="fontstyle01"/>
          <w:b/>
        </w:rPr>
        <w:t>BLICOS (CIVIS E MILITARES) DO ESTADO DE MINAS GERAIS</w:t>
      </w:r>
      <w:r>
        <w:rPr>
          <w:rStyle w:val="Refdenotaderodap"/>
          <w:rFonts w:ascii="ArialMT" w:hAnsi="ArialMT"/>
          <w:b/>
          <w:color w:val="000000"/>
          <w:sz w:val="24"/>
          <w:szCs w:val="24"/>
        </w:rPr>
        <w:t xml:space="preserve"> </w:t>
      </w:r>
    </w:p>
    <w:p w:rsidR="0071479A" w:rsidRPr="0071479A" w:rsidRDefault="0071479A" w:rsidP="0071479A">
      <w:pPr>
        <w:spacing w:after="0" w:line="240" w:lineRule="auto"/>
        <w:jc w:val="right"/>
        <w:rPr>
          <w:rStyle w:val="fontstyle01"/>
          <w:sz w:val="22"/>
          <w:szCs w:val="22"/>
        </w:rPr>
      </w:pPr>
      <w:r w:rsidRPr="0071479A">
        <w:rPr>
          <w:rStyle w:val="fontstyle01"/>
          <w:sz w:val="22"/>
          <w:szCs w:val="22"/>
        </w:rPr>
        <w:t>Fátima Beatriz Fortes</w:t>
      </w:r>
    </w:p>
    <w:p w:rsidR="0071479A" w:rsidRPr="0071479A" w:rsidRDefault="0071479A" w:rsidP="0071479A">
      <w:pPr>
        <w:spacing w:after="0" w:line="240" w:lineRule="auto"/>
        <w:jc w:val="right"/>
        <w:rPr>
          <w:rStyle w:val="fontstyle01"/>
          <w:sz w:val="22"/>
          <w:szCs w:val="22"/>
        </w:rPr>
      </w:pPr>
      <w:r w:rsidRPr="0071479A">
        <w:rPr>
          <w:rStyle w:val="fontstyle01"/>
          <w:sz w:val="22"/>
          <w:szCs w:val="22"/>
        </w:rPr>
        <w:t>Fernando Martins Prates</w:t>
      </w:r>
    </w:p>
    <w:p w:rsidR="0071479A" w:rsidRPr="0071479A" w:rsidRDefault="0071479A" w:rsidP="0071479A">
      <w:pPr>
        <w:spacing w:after="0" w:line="240" w:lineRule="auto"/>
        <w:jc w:val="right"/>
        <w:rPr>
          <w:rStyle w:val="fontstyle01"/>
          <w:sz w:val="22"/>
          <w:szCs w:val="22"/>
        </w:rPr>
      </w:pPr>
      <w:r w:rsidRPr="0071479A">
        <w:rPr>
          <w:rStyle w:val="fontstyle01"/>
          <w:sz w:val="22"/>
          <w:szCs w:val="22"/>
        </w:rPr>
        <w:t>Reinaldo Carvalho de Morais</w:t>
      </w:r>
    </w:p>
    <w:p w:rsidR="0071479A" w:rsidRPr="0071479A" w:rsidRDefault="0071479A" w:rsidP="0071479A">
      <w:pPr>
        <w:spacing w:after="0" w:line="240" w:lineRule="auto"/>
        <w:jc w:val="right"/>
        <w:rPr>
          <w:rStyle w:val="fontstyle01"/>
        </w:rPr>
      </w:pPr>
      <w:r w:rsidRPr="0071479A">
        <w:rPr>
          <w:rStyle w:val="fontstyle01"/>
          <w:sz w:val="22"/>
          <w:szCs w:val="22"/>
        </w:rPr>
        <w:t>Pesquisadores da Fundação João Pinheiro</w:t>
      </w:r>
      <w:r>
        <w:rPr>
          <w:rStyle w:val="fontstyle01"/>
          <w:sz w:val="22"/>
          <w:szCs w:val="22"/>
        </w:rPr>
        <w:t xml:space="preserve"> (FJP)</w:t>
      </w:r>
    </w:p>
    <w:p w:rsidR="0071479A" w:rsidRPr="0071479A" w:rsidRDefault="0071479A" w:rsidP="00A545EC">
      <w:pPr>
        <w:jc w:val="center"/>
        <w:rPr>
          <w:rStyle w:val="fontstyle01"/>
          <w:b/>
        </w:rPr>
      </w:pPr>
    </w:p>
    <w:p w:rsidR="007F40BD" w:rsidRDefault="00A545EC" w:rsidP="00A545EC">
      <w:pPr>
        <w:jc w:val="center"/>
        <w:rPr>
          <w:rStyle w:val="fontstyle01"/>
          <w:b/>
          <w:highlight w:val="yellow"/>
        </w:rPr>
      </w:pPr>
      <w:r w:rsidRPr="00A545EC">
        <w:rPr>
          <w:rStyle w:val="fontstyle01"/>
          <w:b/>
          <w:highlight w:val="yellow"/>
        </w:rPr>
        <w:t>TEXTO PRELIMINAR – FAVOR NÃO DIVULGAR</w:t>
      </w:r>
    </w:p>
    <w:p w:rsidR="00024F38" w:rsidRDefault="00374829" w:rsidP="00A545EC">
      <w:pPr>
        <w:jc w:val="center"/>
        <w:rPr>
          <w:rStyle w:val="fontstyle01"/>
        </w:rPr>
      </w:pPr>
      <w:r>
        <w:rPr>
          <w:rStyle w:val="fontstyle01"/>
          <w:highlight w:val="yellow"/>
        </w:rPr>
        <w:t>A</w:t>
      </w:r>
      <w:r w:rsidR="00024F38" w:rsidRPr="00024F38">
        <w:rPr>
          <w:rStyle w:val="fontstyle01"/>
          <w:highlight w:val="yellow"/>
        </w:rPr>
        <w:t>inda não foi feita uma análise relacionando as 3 partes d</w:t>
      </w:r>
      <w:r>
        <w:rPr>
          <w:rStyle w:val="fontstyle01"/>
          <w:highlight w:val="yellow"/>
        </w:rPr>
        <w:t>o</w:t>
      </w:r>
      <w:r w:rsidR="00024F38" w:rsidRPr="00024F38">
        <w:rPr>
          <w:rStyle w:val="fontstyle01"/>
          <w:highlight w:val="yellow"/>
        </w:rPr>
        <w:t xml:space="preserve"> texto, quais sejam: (1) arranjo institucional, (2) evolução do número de servidores ativos e inativos e (3) evolução d</w:t>
      </w:r>
      <w:r w:rsidR="006717C6">
        <w:rPr>
          <w:rStyle w:val="fontstyle01"/>
          <w:highlight w:val="yellow"/>
        </w:rPr>
        <w:t>as receitas, despesas e d</w:t>
      </w:r>
      <w:bookmarkStart w:id="0" w:name="_GoBack"/>
      <w:bookmarkEnd w:id="0"/>
      <w:r>
        <w:rPr>
          <w:rStyle w:val="fontstyle01"/>
          <w:highlight w:val="yellow"/>
        </w:rPr>
        <w:t>o déficit</w:t>
      </w:r>
      <w:r w:rsidR="006717C6">
        <w:rPr>
          <w:rStyle w:val="fontstyle01"/>
          <w:highlight w:val="yellow"/>
        </w:rPr>
        <w:t xml:space="preserve">. Algumas tabelas e gráficos ainda não foram analisadas </w:t>
      </w:r>
    </w:p>
    <w:p w:rsidR="00024F38" w:rsidRPr="00024F38" w:rsidRDefault="00024F38" w:rsidP="00A545EC">
      <w:pPr>
        <w:jc w:val="center"/>
        <w:rPr>
          <w:rStyle w:val="fontstyle01"/>
        </w:rPr>
      </w:pPr>
    </w:p>
    <w:p w:rsidR="007F40BD" w:rsidRDefault="00F06196" w:rsidP="007F40BD">
      <w:pPr>
        <w:jc w:val="both"/>
        <w:rPr>
          <w:rStyle w:val="fontstyle01"/>
          <w:b/>
        </w:rPr>
      </w:pPr>
      <w:r>
        <w:rPr>
          <w:rStyle w:val="fontstyle01"/>
          <w:b/>
        </w:rPr>
        <w:t>1</w:t>
      </w:r>
      <w:r>
        <w:rPr>
          <w:rStyle w:val="fontstyle01"/>
          <w:b/>
        </w:rPr>
        <w:tab/>
      </w:r>
      <w:r w:rsidR="00637C70" w:rsidRPr="002975D3">
        <w:rPr>
          <w:rStyle w:val="fontstyle01"/>
          <w:b/>
        </w:rPr>
        <w:t>INTRODU</w:t>
      </w:r>
      <w:r w:rsidR="00637C70" w:rsidRPr="002975D3">
        <w:rPr>
          <w:rStyle w:val="fontstyle01"/>
          <w:rFonts w:hint="eastAsia"/>
          <w:b/>
        </w:rPr>
        <w:t>ÇÃ</w:t>
      </w:r>
      <w:r w:rsidR="00637C70" w:rsidRPr="002975D3">
        <w:rPr>
          <w:rStyle w:val="fontstyle01"/>
          <w:b/>
        </w:rPr>
        <w:t>O</w:t>
      </w:r>
    </w:p>
    <w:p w:rsidR="004A3FDC" w:rsidRDefault="00E45489" w:rsidP="00D51CB7">
      <w:pPr>
        <w:spacing w:after="120" w:line="360" w:lineRule="auto"/>
        <w:jc w:val="both"/>
        <w:rPr>
          <w:rStyle w:val="fontstyle01"/>
        </w:rPr>
      </w:pPr>
      <w:r w:rsidRPr="00E45489">
        <w:rPr>
          <w:rStyle w:val="fontstyle01"/>
        </w:rPr>
        <w:t xml:space="preserve">Este </w:t>
      </w:r>
      <w:r w:rsidR="00B3040F">
        <w:rPr>
          <w:rStyle w:val="fontstyle01"/>
        </w:rPr>
        <w:t>texto</w:t>
      </w:r>
      <w:r w:rsidRPr="00E45489">
        <w:rPr>
          <w:rStyle w:val="fontstyle01"/>
        </w:rPr>
        <w:t xml:space="preserve"> apresenta </w:t>
      </w:r>
      <w:r>
        <w:rPr>
          <w:rStyle w:val="fontstyle01"/>
        </w:rPr>
        <w:t xml:space="preserve">os resultados da análise da situação da </w:t>
      </w:r>
      <w:r w:rsidR="00D21B17">
        <w:rPr>
          <w:rStyle w:val="fontstyle01"/>
        </w:rPr>
        <w:t>previdência</w:t>
      </w:r>
      <w:r>
        <w:rPr>
          <w:rStyle w:val="fontstyle01"/>
        </w:rPr>
        <w:t xml:space="preserve"> dos servidores civis e militares do estado de Minas Gerais. </w:t>
      </w:r>
      <w:r w:rsidR="005868E0">
        <w:rPr>
          <w:rStyle w:val="fontstyle01"/>
        </w:rPr>
        <w:t xml:space="preserve">Um primeiro ponto a destacar é que o </w:t>
      </w:r>
      <w:r w:rsidR="00552D37">
        <w:rPr>
          <w:rStyle w:val="fontstyle01"/>
        </w:rPr>
        <w:t xml:space="preserve">arranjo institucional </w:t>
      </w:r>
      <w:r w:rsidR="00DE5398">
        <w:rPr>
          <w:rStyle w:val="fontstyle01"/>
        </w:rPr>
        <w:t xml:space="preserve">que organiza </w:t>
      </w:r>
      <w:r w:rsidR="00F924C1">
        <w:rPr>
          <w:rStyle w:val="fontstyle01"/>
        </w:rPr>
        <w:t>a previdência dos servidores é fragmentado</w:t>
      </w:r>
      <w:r w:rsidR="005868E0">
        <w:rPr>
          <w:rStyle w:val="fontstyle01"/>
        </w:rPr>
        <w:t xml:space="preserve"> </w:t>
      </w:r>
      <w:r w:rsidR="00E545DB">
        <w:rPr>
          <w:rStyle w:val="fontstyle01"/>
        </w:rPr>
        <w:t xml:space="preserve">na medida em que envolve </w:t>
      </w:r>
      <w:r w:rsidR="00E12709">
        <w:rPr>
          <w:rStyle w:val="fontstyle01"/>
        </w:rPr>
        <w:t xml:space="preserve">o </w:t>
      </w:r>
      <w:r w:rsidR="00E12709" w:rsidRPr="00B153D1">
        <w:rPr>
          <w:rStyle w:val="fontstyle01"/>
        </w:rPr>
        <w:t xml:space="preserve">Regime Próprio de Previdência dos </w:t>
      </w:r>
      <w:r w:rsidR="00E12709">
        <w:rPr>
          <w:rStyle w:val="fontstyle01"/>
        </w:rPr>
        <w:t>S</w:t>
      </w:r>
      <w:r w:rsidR="00E12709" w:rsidRPr="00B153D1">
        <w:rPr>
          <w:rStyle w:val="fontstyle01"/>
        </w:rPr>
        <w:t xml:space="preserve">ervidores </w:t>
      </w:r>
      <w:r w:rsidR="00E12709">
        <w:rPr>
          <w:rStyle w:val="fontstyle01"/>
        </w:rPr>
        <w:t>P</w:t>
      </w:r>
      <w:r w:rsidR="00E12709" w:rsidRPr="00B153D1">
        <w:rPr>
          <w:rStyle w:val="fontstyle01"/>
        </w:rPr>
        <w:t>úblicos (RPPS)</w:t>
      </w:r>
      <w:r w:rsidR="00E12709">
        <w:rPr>
          <w:rStyle w:val="fontstyle01"/>
        </w:rPr>
        <w:t xml:space="preserve">, </w:t>
      </w:r>
      <w:r w:rsidR="00F91AD0">
        <w:rPr>
          <w:rStyle w:val="fontstyle01"/>
        </w:rPr>
        <w:t>o In</w:t>
      </w:r>
      <w:r w:rsidR="00E12709">
        <w:rPr>
          <w:rStyle w:val="fontstyle01"/>
        </w:rPr>
        <w:t xml:space="preserve">stituto de </w:t>
      </w:r>
      <w:r w:rsidR="00E12709" w:rsidRPr="005868E0">
        <w:rPr>
          <w:rStyle w:val="fontstyle01"/>
        </w:rPr>
        <w:t>Previdência</w:t>
      </w:r>
      <w:r w:rsidR="00E12709">
        <w:rPr>
          <w:rStyle w:val="fontstyle01"/>
        </w:rPr>
        <w:t xml:space="preserve"> dos Servidores Militares </w:t>
      </w:r>
      <w:r w:rsidR="00F91AD0">
        <w:rPr>
          <w:rStyle w:val="fontstyle01"/>
        </w:rPr>
        <w:t>(</w:t>
      </w:r>
      <w:r w:rsidR="00E12709">
        <w:rPr>
          <w:rStyle w:val="fontstyle01"/>
        </w:rPr>
        <w:t>IPSM</w:t>
      </w:r>
      <w:r w:rsidR="00F91AD0">
        <w:rPr>
          <w:rStyle w:val="fontstyle01"/>
        </w:rPr>
        <w:t>), o</w:t>
      </w:r>
      <w:r w:rsidR="00E12709">
        <w:rPr>
          <w:rStyle w:val="fontstyle01"/>
        </w:rPr>
        <w:t xml:space="preserve"> Instituto de </w:t>
      </w:r>
      <w:r w:rsidR="00E12709" w:rsidRPr="005868E0">
        <w:rPr>
          <w:rStyle w:val="fontstyle01"/>
        </w:rPr>
        <w:t>Previdência</w:t>
      </w:r>
      <w:r w:rsidR="00E12709">
        <w:rPr>
          <w:rStyle w:val="fontstyle01"/>
        </w:rPr>
        <w:t xml:space="preserve"> do Legislativo do Estado de Minas Gerais </w:t>
      </w:r>
      <w:r w:rsidR="00F91AD0">
        <w:rPr>
          <w:rStyle w:val="fontstyle01"/>
        </w:rPr>
        <w:t>(</w:t>
      </w:r>
      <w:proofErr w:type="spellStart"/>
      <w:r w:rsidR="00E12709">
        <w:rPr>
          <w:rStyle w:val="fontstyle01"/>
        </w:rPr>
        <w:t>Iplemg</w:t>
      </w:r>
      <w:proofErr w:type="spellEnd"/>
      <w:r w:rsidR="00E12709">
        <w:rPr>
          <w:rStyle w:val="fontstyle01"/>
        </w:rPr>
        <w:t>)</w:t>
      </w:r>
      <w:r w:rsidR="00E545DB">
        <w:rPr>
          <w:rStyle w:val="fontstyle01"/>
        </w:rPr>
        <w:t xml:space="preserve">, o Tesouro Estadual, </w:t>
      </w:r>
      <w:r w:rsidR="00E545DB" w:rsidRPr="00226D29">
        <w:rPr>
          <w:rStyle w:val="fontstyle01"/>
          <w:highlight w:val="yellow"/>
        </w:rPr>
        <w:t>fundos de complementação de pensão</w:t>
      </w:r>
      <w:r w:rsidR="00E545DB">
        <w:rPr>
          <w:rStyle w:val="fontstyle01"/>
        </w:rPr>
        <w:t xml:space="preserve"> </w:t>
      </w:r>
      <w:r w:rsidR="00A545EC" w:rsidRPr="00A545EC">
        <w:rPr>
          <w:rStyle w:val="fontstyle01"/>
          <w:highlight w:val="yellow"/>
        </w:rPr>
        <w:t>(</w:t>
      </w:r>
      <w:r w:rsidR="00692C06">
        <w:rPr>
          <w:rStyle w:val="fontstyle01"/>
          <w:highlight w:val="yellow"/>
        </w:rPr>
        <w:t>ainda existem</w:t>
      </w:r>
      <w:r w:rsidR="00A545EC" w:rsidRPr="00A545EC">
        <w:rPr>
          <w:rStyle w:val="fontstyle01"/>
          <w:highlight w:val="yellow"/>
        </w:rPr>
        <w:t>?)</w:t>
      </w:r>
      <w:r w:rsidR="00A545EC">
        <w:rPr>
          <w:rStyle w:val="fontstyle01"/>
        </w:rPr>
        <w:t xml:space="preserve"> </w:t>
      </w:r>
      <w:r w:rsidR="00E545DB">
        <w:rPr>
          <w:rStyle w:val="fontstyle01"/>
        </w:rPr>
        <w:t xml:space="preserve">e </w:t>
      </w:r>
      <w:r w:rsidR="00226D29">
        <w:rPr>
          <w:rStyle w:val="fontstyle01"/>
        </w:rPr>
        <w:t xml:space="preserve">o </w:t>
      </w:r>
      <w:r w:rsidR="00D466A2">
        <w:rPr>
          <w:rStyle w:val="fontstyle01"/>
        </w:rPr>
        <w:t>plano de previdência complementar</w:t>
      </w:r>
      <w:r w:rsidR="00DE5398">
        <w:rPr>
          <w:rStyle w:val="fontstyle01"/>
        </w:rPr>
        <w:t xml:space="preserve"> (</w:t>
      </w:r>
      <w:proofErr w:type="spellStart"/>
      <w:r w:rsidR="00DE5398" w:rsidRPr="00D466A2">
        <w:rPr>
          <w:rFonts w:ascii="ArialMT" w:hAnsi="ArialMT"/>
          <w:color w:val="000000"/>
          <w:sz w:val="24"/>
          <w:szCs w:val="24"/>
        </w:rPr>
        <w:t>Prevcom</w:t>
      </w:r>
      <w:proofErr w:type="spellEnd"/>
      <w:r w:rsidR="00DE5398" w:rsidRPr="00D466A2">
        <w:rPr>
          <w:rFonts w:ascii="ArialMT" w:hAnsi="ArialMT"/>
          <w:color w:val="000000"/>
          <w:sz w:val="24"/>
          <w:szCs w:val="24"/>
        </w:rPr>
        <w:t>-MG</w:t>
      </w:r>
      <w:r w:rsidR="00DE5398">
        <w:rPr>
          <w:rFonts w:ascii="ArialMT" w:hAnsi="ArialMT"/>
          <w:color w:val="000000"/>
          <w:sz w:val="24"/>
          <w:szCs w:val="24"/>
        </w:rPr>
        <w:t>)</w:t>
      </w:r>
      <w:r w:rsidR="00E545DB">
        <w:rPr>
          <w:rStyle w:val="fontstyle01"/>
        </w:rPr>
        <w:t xml:space="preserve">. Esse arranjo é também bastante </w:t>
      </w:r>
      <w:r w:rsidR="00E12709">
        <w:rPr>
          <w:rStyle w:val="fontstyle01"/>
        </w:rPr>
        <w:t>heterogêneo no que diz respeito</w:t>
      </w:r>
      <w:r w:rsidR="00F924C1">
        <w:rPr>
          <w:rStyle w:val="fontstyle01"/>
        </w:rPr>
        <w:t xml:space="preserve"> à forma de custeio </w:t>
      </w:r>
      <w:r w:rsidR="00E545DB">
        <w:rPr>
          <w:rStyle w:val="fontstyle01"/>
        </w:rPr>
        <w:t>e</w:t>
      </w:r>
      <w:r w:rsidR="00F924C1">
        <w:rPr>
          <w:rStyle w:val="fontstyle01"/>
        </w:rPr>
        <w:t xml:space="preserve"> às regras de elegibilidade</w:t>
      </w:r>
      <w:r w:rsidR="00226D29" w:rsidRPr="00226D29">
        <w:rPr>
          <w:rStyle w:val="fontstyle01"/>
        </w:rPr>
        <w:t xml:space="preserve"> </w:t>
      </w:r>
      <w:r w:rsidR="00226D29">
        <w:rPr>
          <w:rStyle w:val="fontstyle01"/>
        </w:rPr>
        <w:t>dos benefícios</w:t>
      </w:r>
      <w:r w:rsidR="00F924C1">
        <w:rPr>
          <w:rStyle w:val="fontstyle01"/>
        </w:rPr>
        <w:t xml:space="preserve">. </w:t>
      </w:r>
    </w:p>
    <w:p w:rsidR="00F91AD0" w:rsidRDefault="00E545DB" w:rsidP="00D51CB7">
      <w:pPr>
        <w:spacing w:after="120" w:line="360" w:lineRule="auto"/>
        <w:jc w:val="both"/>
        <w:rPr>
          <w:rStyle w:val="fontstyle01"/>
        </w:rPr>
      </w:pPr>
      <w:r>
        <w:rPr>
          <w:rStyle w:val="fontstyle01"/>
        </w:rPr>
        <w:t xml:space="preserve">O RPPS é responsável pelo pagamento das aposentadorias </w:t>
      </w:r>
      <w:r w:rsidR="00F91AD0">
        <w:rPr>
          <w:rStyle w:val="fontstyle01"/>
        </w:rPr>
        <w:t xml:space="preserve">dos servidores civis </w:t>
      </w:r>
      <w:r>
        <w:rPr>
          <w:rStyle w:val="fontstyle01"/>
        </w:rPr>
        <w:t xml:space="preserve">e pensões </w:t>
      </w:r>
      <w:r w:rsidR="00B15B8E">
        <w:rPr>
          <w:rStyle w:val="fontstyle01"/>
        </w:rPr>
        <w:t>por morte</w:t>
      </w:r>
      <w:r w:rsidR="00F91AD0">
        <w:rPr>
          <w:rStyle w:val="fontstyle01"/>
        </w:rPr>
        <w:t xml:space="preserve"> aos seus dependentes</w:t>
      </w:r>
      <w:r w:rsidR="00187DBD">
        <w:rPr>
          <w:rStyle w:val="fontstyle01"/>
        </w:rPr>
        <w:t xml:space="preserve">. </w:t>
      </w:r>
      <w:r>
        <w:rPr>
          <w:rStyle w:val="fontstyle01"/>
        </w:rPr>
        <w:t>O Tesouro estadual responsabiliza-se pelo pagamento das aposentadorias do</w:t>
      </w:r>
      <w:r w:rsidR="00C06054">
        <w:rPr>
          <w:rStyle w:val="fontstyle01"/>
        </w:rPr>
        <w:t>s</w:t>
      </w:r>
      <w:r>
        <w:rPr>
          <w:rStyle w:val="fontstyle01"/>
        </w:rPr>
        <w:t xml:space="preserve"> servidores militares e </w:t>
      </w:r>
      <w:r w:rsidRPr="00226D29">
        <w:rPr>
          <w:rStyle w:val="fontstyle01"/>
          <w:highlight w:val="yellow"/>
        </w:rPr>
        <w:t>pelas “pensões do Tesouro</w:t>
      </w:r>
      <w:r>
        <w:rPr>
          <w:rStyle w:val="fontstyle01"/>
        </w:rPr>
        <w:t>”</w:t>
      </w:r>
      <w:r w:rsidR="00A545EC">
        <w:rPr>
          <w:rStyle w:val="fontstyle01"/>
        </w:rPr>
        <w:t xml:space="preserve"> </w:t>
      </w:r>
      <w:r w:rsidR="00A545EC" w:rsidRPr="00A545EC">
        <w:rPr>
          <w:rStyle w:val="fontstyle01"/>
          <w:highlight w:val="yellow"/>
        </w:rPr>
        <w:t>(?)</w:t>
      </w:r>
      <w:r>
        <w:rPr>
          <w:rStyle w:val="fontstyle01"/>
        </w:rPr>
        <w:t>. O I</w:t>
      </w:r>
      <w:r w:rsidR="00F91AD0">
        <w:rPr>
          <w:rStyle w:val="fontstyle01"/>
        </w:rPr>
        <w:t xml:space="preserve">PSM </w:t>
      </w:r>
      <w:r>
        <w:rPr>
          <w:rStyle w:val="fontstyle01"/>
        </w:rPr>
        <w:t>é responsável pel</w:t>
      </w:r>
      <w:r w:rsidR="00F91AD0">
        <w:rPr>
          <w:rStyle w:val="fontstyle01"/>
        </w:rPr>
        <w:t xml:space="preserve">as pensões por morte e demais benefícios previdenciários como </w:t>
      </w:r>
      <w:r w:rsidR="0091668D" w:rsidRPr="00416572">
        <w:rPr>
          <w:rFonts w:ascii="ArialMT" w:hAnsi="ArialMT"/>
          <w:color w:val="000000"/>
          <w:sz w:val="24"/>
          <w:szCs w:val="24"/>
        </w:rPr>
        <w:t>assistência à saúde, auxílio</w:t>
      </w:r>
      <w:r w:rsidR="0091668D">
        <w:rPr>
          <w:rFonts w:ascii="ArialMT" w:hAnsi="ArialMT"/>
          <w:color w:val="000000"/>
          <w:sz w:val="24"/>
          <w:szCs w:val="24"/>
        </w:rPr>
        <w:t xml:space="preserve"> </w:t>
      </w:r>
      <w:r w:rsidR="0091668D" w:rsidRPr="00416572">
        <w:rPr>
          <w:rFonts w:ascii="ArialMT" w:hAnsi="ArialMT"/>
          <w:color w:val="000000"/>
          <w:sz w:val="24"/>
          <w:szCs w:val="24"/>
        </w:rPr>
        <w:t>natalidade, auxílio-funeral, pecúlio e auxílio-reclusão</w:t>
      </w:r>
      <w:r w:rsidR="0091668D">
        <w:rPr>
          <w:rStyle w:val="fontstyle01"/>
        </w:rPr>
        <w:t xml:space="preserve">. </w:t>
      </w:r>
      <w:r w:rsidR="00DE5398" w:rsidRPr="00DE5398">
        <w:rPr>
          <w:rStyle w:val="fontstyle01"/>
        </w:rPr>
        <w:t xml:space="preserve">Os benefícios previdenciários dos deputados e seus dependentes (aposentadoria, pensão e outros) </w:t>
      </w:r>
      <w:r w:rsidR="00374829">
        <w:rPr>
          <w:rStyle w:val="fontstyle01"/>
        </w:rPr>
        <w:t>são</w:t>
      </w:r>
      <w:r w:rsidR="00DE5398" w:rsidRPr="00DE5398">
        <w:rPr>
          <w:rStyle w:val="fontstyle01"/>
        </w:rPr>
        <w:t xml:space="preserve"> de responsabilidade do </w:t>
      </w:r>
      <w:proofErr w:type="spellStart"/>
      <w:r w:rsidR="00DE5398" w:rsidRPr="00DE5398">
        <w:rPr>
          <w:rStyle w:val="fontstyle01"/>
        </w:rPr>
        <w:t>Iplemg</w:t>
      </w:r>
      <w:proofErr w:type="spellEnd"/>
      <w:r w:rsidR="00DE5398" w:rsidRPr="00DE5398">
        <w:rPr>
          <w:rStyle w:val="fontstyle01"/>
        </w:rPr>
        <w:t xml:space="preserve"> criado em 13 de dezembro de 1973 (Lei nº 6.258). A lei complementar LC 140, de 12/12/2016 dispõe sobre o processo de extinção do </w:t>
      </w:r>
      <w:proofErr w:type="spellStart"/>
      <w:r w:rsidR="00DE5398" w:rsidRPr="00DE5398">
        <w:rPr>
          <w:rStyle w:val="fontstyle01"/>
        </w:rPr>
        <w:t>Iplemg</w:t>
      </w:r>
      <w:proofErr w:type="spellEnd"/>
      <w:r w:rsidR="00DE5398" w:rsidRPr="00DE5398">
        <w:rPr>
          <w:rStyle w:val="fontstyle01"/>
        </w:rPr>
        <w:t xml:space="preserve"> e autoriza a Assembleia Legislativa do Estado de Minas Gerais a criar entidade de previdência complementar para os deputados. Cabe ressaltar que a </w:t>
      </w:r>
      <w:r w:rsidR="00DE5398" w:rsidRPr="00DE5398">
        <w:rPr>
          <w:rStyle w:val="fontstyle01"/>
        </w:rPr>
        <w:lastRenderedPageBreak/>
        <w:t xml:space="preserve">LC 140 estabelece que o </w:t>
      </w:r>
      <w:proofErr w:type="spellStart"/>
      <w:r w:rsidR="00DE5398" w:rsidRPr="00DE5398">
        <w:rPr>
          <w:rStyle w:val="fontstyle01"/>
        </w:rPr>
        <w:t>Iplemg</w:t>
      </w:r>
      <w:proofErr w:type="spellEnd"/>
      <w:r w:rsidR="00DE5398" w:rsidRPr="00DE5398">
        <w:rPr>
          <w:rStyle w:val="fontstyle01"/>
        </w:rPr>
        <w:t xml:space="preserve"> entrará em processo de extinção a partir da data de sua publicação e terá as suas atividades encerradas quando não mais houver segurados, beneficiários vinculados e respectivos dependentes, respeitados os direitos adquiridos em relação aos benefícios concedidos e a conceder, nos termos estabelecidos na legislação vigente até a data de sua publicação.</w:t>
      </w:r>
      <w:r w:rsidR="00DE5398">
        <w:rPr>
          <w:rStyle w:val="fontstyle01"/>
        </w:rPr>
        <w:t xml:space="preserve"> </w:t>
      </w:r>
    </w:p>
    <w:p w:rsidR="00DA65CE" w:rsidRDefault="00D128DD" w:rsidP="00D51CB7">
      <w:pPr>
        <w:spacing w:after="120" w:line="360" w:lineRule="auto"/>
        <w:jc w:val="both"/>
        <w:rPr>
          <w:rStyle w:val="fontstyle01"/>
        </w:rPr>
      </w:pPr>
      <w:r>
        <w:rPr>
          <w:rStyle w:val="fontstyle01"/>
        </w:rPr>
        <w:t xml:space="preserve">A reforma dos sistemas previdenciários tem estado no centro dos debates políticos de diversos países. No Brasil, </w:t>
      </w:r>
      <w:r w:rsidR="00017895">
        <w:rPr>
          <w:rStyle w:val="fontstyle01"/>
        </w:rPr>
        <w:t xml:space="preserve">num contexto marcado pelo </w:t>
      </w:r>
      <w:r>
        <w:rPr>
          <w:rStyle w:val="fontstyle01"/>
        </w:rPr>
        <w:t>acelerado envelhecimento populacional</w:t>
      </w:r>
      <w:r w:rsidR="00353875">
        <w:rPr>
          <w:rStyle w:val="Refdenotaderodap"/>
          <w:rFonts w:ascii="ArialMT" w:hAnsi="ArialMT"/>
          <w:color w:val="000000"/>
          <w:sz w:val="24"/>
          <w:szCs w:val="24"/>
        </w:rPr>
        <w:footnoteReference w:id="1"/>
      </w:r>
      <w:r>
        <w:rPr>
          <w:rStyle w:val="fontstyle01"/>
        </w:rPr>
        <w:t xml:space="preserve"> </w:t>
      </w:r>
      <w:r w:rsidR="00017895">
        <w:rPr>
          <w:rStyle w:val="fontstyle01"/>
        </w:rPr>
        <w:t>e p</w:t>
      </w:r>
      <w:r w:rsidR="00F34C9D">
        <w:rPr>
          <w:rStyle w:val="fontstyle01"/>
        </w:rPr>
        <w:t>e</w:t>
      </w:r>
      <w:r w:rsidR="00017895">
        <w:rPr>
          <w:rStyle w:val="fontstyle01"/>
        </w:rPr>
        <w:t>la</w:t>
      </w:r>
      <w:r w:rsidR="00F34C9D">
        <w:rPr>
          <w:rStyle w:val="fontstyle01"/>
        </w:rPr>
        <w:t xml:space="preserve"> crise fiscal e financeira do</w:t>
      </w:r>
      <w:r w:rsidR="00017895">
        <w:rPr>
          <w:rStyle w:val="fontstyle01"/>
        </w:rPr>
        <w:t xml:space="preserve"> </w:t>
      </w:r>
      <w:r w:rsidR="00F34C9D">
        <w:rPr>
          <w:rStyle w:val="fontstyle01"/>
        </w:rPr>
        <w:t>Estado</w:t>
      </w:r>
      <w:r w:rsidR="00017895">
        <w:rPr>
          <w:rStyle w:val="fontstyle01"/>
        </w:rPr>
        <w:t xml:space="preserve">, as discussões </w:t>
      </w:r>
      <w:r w:rsidR="00B53ADA">
        <w:rPr>
          <w:rStyle w:val="fontstyle01"/>
        </w:rPr>
        <w:t xml:space="preserve">envolvem tanto o crescimento acelerado dos gastos frente às receitas quanto </w:t>
      </w:r>
      <w:r w:rsidR="000A46FD">
        <w:rPr>
          <w:rStyle w:val="fontstyle01"/>
        </w:rPr>
        <w:t xml:space="preserve">a existência de </w:t>
      </w:r>
      <w:r>
        <w:rPr>
          <w:rStyle w:val="fontstyle01"/>
        </w:rPr>
        <w:t>regras diferentes e mais generosas para os servidores públicos.</w:t>
      </w:r>
      <w:r w:rsidR="00391A86">
        <w:rPr>
          <w:rStyle w:val="fontstyle01"/>
        </w:rPr>
        <w:t xml:space="preserve"> </w:t>
      </w:r>
      <w:r w:rsidR="00E855A7">
        <w:rPr>
          <w:rStyle w:val="fontstyle01"/>
        </w:rPr>
        <w:t xml:space="preserve">Dessa forma, </w:t>
      </w:r>
      <w:r w:rsidR="00CC00BE" w:rsidRPr="00E855A7">
        <w:rPr>
          <w:rStyle w:val="fontstyle01"/>
        </w:rPr>
        <w:t>como ocorre com o R</w:t>
      </w:r>
      <w:r w:rsidR="00E855A7" w:rsidRPr="00E855A7">
        <w:rPr>
          <w:rStyle w:val="fontstyle01"/>
        </w:rPr>
        <w:t>egime Geral de Previdência Pública (R</w:t>
      </w:r>
      <w:r w:rsidR="00CC00BE" w:rsidRPr="00E855A7">
        <w:rPr>
          <w:rStyle w:val="fontstyle01"/>
        </w:rPr>
        <w:t>GP</w:t>
      </w:r>
      <w:r w:rsidR="00E855A7" w:rsidRPr="00E855A7">
        <w:rPr>
          <w:rStyle w:val="fontstyle01"/>
        </w:rPr>
        <w:t>)</w:t>
      </w:r>
      <w:r w:rsidR="00CC00BE" w:rsidRPr="00E855A7">
        <w:rPr>
          <w:rStyle w:val="fontstyle01"/>
        </w:rPr>
        <w:t>, os sistemas de previdência d</w:t>
      </w:r>
      <w:r w:rsidR="00B93E00">
        <w:rPr>
          <w:rStyle w:val="fontstyle01"/>
        </w:rPr>
        <w:t>esses</w:t>
      </w:r>
      <w:r w:rsidR="00CC00BE" w:rsidRPr="00E855A7">
        <w:rPr>
          <w:rStyle w:val="fontstyle01"/>
        </w:rPr>
        <w:t xml:space="preserve"> servidores passam a ser questionados</w:t>
      </w:r>
      <w:r w:rsidR="00E855A7" w:rsidRPr="00E855A7">
        <w:rPr>
          <w:rStyle w:val="fontstyle01"/>
        </w:rPr>
        <w:t xml:space="preserve"> </w:t>
      </w:r>
      <w:r w:rsidR="00FB6B20">
        <w:rPr>
          <w:rStyle w:val="fontstyle01"/>
        </w:rPr>
        <w:t xml:space="preserve">sendo, em geral, </w:t>
      </w:r>
      <w:r w:rsidR="00736C91">
        <w:rPr>
          <w:rStyle w:val="fontstyle01"/>
        </w:rPr>
        <w:t xml:space="preserve">problematizados </w:t>
      </w:r>
      <w:r w:rsidR="00CC00BE" w:rsidRPr="00E855A7">
        <w:rPr>
          <w:rStyle w:val="fontstyle01"/>
        </w:rPr>
        <w:t xml:space="preserve">no </w:t>
      </w:r>
      <w:r w:rsidR="00E855A7" w:rsidRPr="00E855A7">
        <w:rPr>
          <w:rStyle w:val="fontstyle01"/>
        </w:rPr>
        <w:t xml:space="preserve">âmbito </w:t>
      </w:r>
      <w:r w:rsidR="00CC00BE" w:rsidRPr="00E855A7">
        <w:rPr>
          <w:rStyle w:val="fontstyle01"/>
        </w:rPr>
        <w:t>dos gastos com pessoal, que aliás</w:t>
      </w:r>
      <w:r w:rsidR="00CC00BE">
        <w:rPr>
          <w:rStyle w:val="fontstyle01"/>
        </w:rPr>
        <w:t xml:space="preserve"> </w:t>
      </w:r>
      <w:r w:rsidR="00A17D0F" w:rsidRPr="00B07020">
        <w:rPr>
          <w:rStyle w:val="fontstyle01"/>
        </w:rPr>
        <w:t>têm se destacado como item de maior peso em termos de comprometimento</w:t>
      </w:r>
      <w:r w:rsidR="00DA65CE">
        <w:rPr>
          <w:rStyle w:val="fontstyle01"/>
        </w:rPr>
        <w:t xml:space="preserve"> </w:t>
      </w:r>
      <w:r w:rsidR="00A17D0F" w:rsidRPr="00B07020">
        <w:rPr>
          <w:rStyle w:val="fontstyle01"/>
        </w:rPr>
        <w:t>da receita</w:t>
      </w:r>
      <w:r w:rsidR="00B07020" w:rsidRPr="00B07020">
        <w:rPr>
          <w:rStyle w:val="fontstyle01"/>
        </w:rPr>
        <w:t xml:space="preserve">. </w:t>
      </w:r>
    </w:p>
    <w:p w:rsidR="00A762E5" w:rsidRDefault="00F95E30" w:rsidP="00D51CB7">
      <w:pPr>
        <w:spacing w:after="120" w:line="360" w:lineRule="auto"/>
        <w:jc w:val="both"/>
        <w:rPr>
          <w:rFonts w:ascii="ArialMT" w:hAnsi="ArialMT"/>
          <w:color w:val="000000"/>
          <w:sz w:val="24"/>
          <w:szCs w:val="24"/>
        </w:rPr>
      </w:pPr>
      <w:r>
        <w:rPr>
          <w:rFonts w:ascii="ArialMT" w:hAnsi="ArialMT"/>
          <w:color w:val="000000"/>
          <w:sz w:val="24"/>
          <w:szCs w:val="24"/>
        </w:rPr>
        <w:t xml:space="preserve">É importante salientar que </w:t>
      </w:r>
      <w:r w:rsidR="00725486">
        <w:rPr>
          <w:rFonts w:ascii="ArialMT" w:hAnsi="ArialMT"/>
          <w:color w:val="000000"/>
          <w:sz w:val="24"/>
          <w:szCs w:val="24"/>
        </w:rPr>
        <w:t>a partir d</w:t>
      </w:r>
      <w:r w:rsidRPr="007719D6">
        <w:rPr>
          <w:rFonts w:ascii="ArialMT" w:hAnsi="ArialMT"/>
          <w:color w:val="000000"/>
          <w:sz w:val="24"/>
          <w:szCs w:val="24"/>
        </w:rPr>
        <w:t xml:space="preserve">a década de 1990, </w:t>
      </w:r>
      <w:r>
        <w:rPr>
          <w:rFonts w:ascii="ArialMT" w:hAnsi="ArialMT"/>
          <w:color w:val="000000"/>
          <w:sz w:val="24"/>
          <w:szCs w:val="24"/>
        </w:rPr>
        <w:t xml:space="preserve">o país tem </w:t>
      </w:r>
      <w:r w:rsidRPr="007719D6">
        <w:rPr>
          <w:rFonts w:ascii="ArialMT" w:hAnsi="ArialMT"/>
          <w:color w:val="000000"/>
          <w:sz w:val="24"/>
          <w:szCs w:val="24"/>
        </w:rPr>
        <w:t>realizad</w:t>
      </w:r>
      <w:r>
        <w:rPr>
          <w:rFonts w:ascii="ArialMT" w:hAnsi="ArialMT"/>
          <w:color w:val="000000"/>
          <w:sz w:val="24"/>
          <w:szCs w:val="24"/>
        </w:rPr>
        <w:t>o</w:t>
      </w:r>
      <w:r w:rsidRPr="007719D6">
        <w:rPr>
          <w:rFonts w:ascii="ArialMT" w:hAnsi="ArialMT"/>
          <w:color w:val="000000"/>
          <w:sz w:val="24"/>
          <w:szCs w:val="24"/>
        </w:rPr>
        <w:t xml:space="preserve"> reforma</w:t>
      </w:r>
      <w:r>
        <w:rPr>
          <w:rFonts w:ascii="ArialMT" w:hAnsi="ArialMT"/>
          <w:color w:val="000000"/>
          <w:sz w:val="24"/>
          <w:szCs w:val="24"/>
        </w:rPr>
        <w:t>s</w:t>
      </w:r>
      <w:r w:rsidRPr="007719D6">
        <w:rPr>
          <w:rFonts w:ascii="ArialMT" w:hAnsi="ArialMT"/>
          <w:color w:val="000000"/>
          <w:sz w:val="24"/>
          <w:szCs w:val="24"/>
        </w:rPr>
        <w:t xml:space="preserve"> na previdência tanto no RGPS quanto no RPPS. N</w:t>
      </w:r>
      <w:r w:rsidR="00725486">
        <w:rPr>
          <w:rFonts w:ascii="ArialMT" w:hAnsi="ArialMT"/>
          <w:color w:val="000000"/>
          <w:sz w:val="24"/>
          <w:szCs w:val="24"/>
        </w:rPr>
        <w:t xml:space="preserve">esse último caso, deve-se </w:t>
      </w:r>
      <w:r w:rsidRPr="007719D6">
        <w:rPr>
          <w:rFonts w:ascii="ArialMT" w:hAnsi="ArialMT"/>
          <w:color w:val="000000"/>
          <w:sz w:val="24"/>
          <w:szCs w:val="24"/>
        </w:rPr>
        <w:t>desta</w:t>
      </w:r>
      <w:r w:rsidR="00725486">
        <w:rPr>
          <w:rFonts w:ascii="ArialMT" w:hAnsi="ArialMT"/>
          <w:color w:val="000000"/>
          <w:sz w:val="24"/>
          <w:szCs w:val="24"/>
        </w:rPr>
        <w:t xml:space="preserve">car </w:t>
      </w:r>
      <w:r w:rsidRPr="007719D6">
        <w:rPr>
          <w:rFonts w:ascii="ArialMT" w:hAnsi="ArialMT"/>
          <w:color w:val="000000"/>
          <w:sz w:val="24"/>
          <w:szCs w:val="24"/>
        </w:rPr>
        <w:t>as</w:t>
      </w:r>
      <w:r>
        <w:rPr>
          <w:rFonts w:ascii="ArialMT" w:hAnsi="ArialMT"/>
          <w:color w:val="000000"/>
          <w:sz w:val="24"/>
          <w:szCs w:val="24"/>
        </w:rPr>
        <w:t xml:space="preserve"> </w:t>
      </w:r>
      <w:r w:rsidRPr="007719D6">
        <w:rPr>
          <w:rFonts w:ascii="ArialMT" w:hAnsi="ArialMT"/>
          <w:color w:val="000000"/>
          <w:sz w:val="24"/>
          <w:szCs w:val="24"/>
        </w:rPr>
        <w:t xml:space="preserve">Emendas Constitucionais nº 20/1998, 41/2003 e 47/2005, que possibilitaram </w:t>
      </w:r>
      <w:r w:rsidR="00A762E5">
        <w:rPr>
          <w:rFonts w:ascii="ArialMT" w:hAnsi="ArialMT"/>
          <w:color w:val="000000"/>
          <w:sz w:val="24"/>
          <w:szCs w:val="24"/>
        </w:rPr>
        <w:t xml:space="preserve">mudanças como </w:t>
      </w:r>
      <w:r w:rsidRPr="007719D6">
        <w:rPr>
          <w:rFonts w:ascii="ArialMT" w:hAnsi="ArialMT"/>
          <w:color w:val="000000"/>
          <w:sz w:val="24"/>
          <w:szCs w:val="24"/>
        </w:rPr>
        <w:t>o</w:t>
      </w:r>
      <w:r>
        <w:rPr>
          <w:rFonts w:ascii="ArialMT" w:hAnsi="ArialMT"/>
          <w:color w:val="000000"/>
          <w:sz w:val="24"/>
          <w:szCs w:val="24"/>
        </w:rPr>
        <w:t xml:space="preserve"> </w:t>
      </w:r>
      <w:r w:rsidRPr="007719D6">
        <w:rPr>
          <w:rFonts w:ascii="ArialMT" w:hAnsi="ArialMT"/>
          <w:color w:val="000000"/>
          <w:sz w:val="24"/>
          <w:szCs w:val="24"/>
        </w:rPr>
        <w:t>estabelecimento de tempos e alíquotas mínimas de contribuição, idade mínima para</w:t>
      </w:r>
      <w:r>
        <w:rPr>
          <w:rFonts w:ascii="ArialMT" w:hAnsi="ArialMT"/>
          <w:color w:val="000000"/>
          <w:sz w:val="24"/>
          <w:szCs w:val="24"/>
        </w:rPr>
        <w:t xml:space="preserve"> </w:t>
      </w:r>
      <w:r w:rsidRPr="007719D6">
        <w:rPr>
          <w:rFonts w:ascii="ArialMT" w:hAnsi="ArialMT"/>
          <w:color w:val="000000"/>
          <w:sz w:val="24"/>
          <w:szCs w:val="24"/>
        </w:rPr>
        <w:t>aposentadoria, eliminação da integralidade e paridade e possibilidade de</w:t>
      </w:r>
      <w:r>
        <w:rPr>
          <w:rFonts w:ascii="ArialMT" w:hAnsi="ArialMT"/>
          <w:color w:val="000000"/>
          <w:sz w:val="24"/>
          <w:szCs w:val="24"/>
        </w:rPr>
        <w:t xml:space="preserve"> </w:t>
      </w:r>
      <w:r w:rsidRPr="007719D6">
        <w:rPr>
          <w:rFonts w:ascii="ArialMT" w:hAnsi="ArialMT"/>
          <w:color w:val="000000"/>
          <w:sz w:val="24"/>
          <w:szCs w:val="24"/>
        </w:rPr>
        <w:t>estabelecimento do teto de benefícios do RGPS, a partir da implantação de regime</w:t>
      </w:r>
      <w:r>
        <w:rPr>
          <w:rFonts w:ascii="ArialMT" w:hAnsi="ArialMT"/>
          <w:color w:val="000000"/>
          <w:sz w:val="24"/>
          <w:szCs w:val="24"/>
        </w:rPr>
        <w:t xml:space="preserve"> </w:t>
      </w:r>
      <w:r w:rsidRPr="007719D6">
        <w:rPr>
          <w:rFonts w:ascii="ArialMT" w:hAnsi="ArialMT"/>
          <w:color w:val="000000"/>
          <w:sz w:val="24"/>
          <w:szCs w:val="24"/>
        </w:rPr>
        <w:t>de previdência complementar</w:t>
      </w:r>
      <w:r>
        <w:rPr>
          <w:rFonts w:ascii="ArialMT" w:hAnsi="ArialMT"/>
          <w:color w:val="000000"/>
          <w:sz w:val="24"/>
          <w:szCs w:val="24"/>
        </w:rPr>
        <w:t xml:space="preserve"> (DUARTE, J.M, 2017).</w:t>
      </w:r>
      <w:r w:rsidR="002306BE">
        <w:rPr>
          <w:rFonts w:ascii="ArialMT" w:hAnsi="ArialMT"/>
          <w:color w:val="000000"/>
          <w:sz w:val="24"/>
          <w:szCs w:val="24"/>
        </w:rPr>
        <w:t xml:space="preserve"> </w:t>
      </w:r>
    </w:p>
    <w:p w:rsidR="00AB4EB2" w:rsidRDefault="00F95E30" w:rsidP="00D51CB7">
      <w:pPr>
        <w:spacing w:after="120" w:line="360" w:lineRule="auto"/>
        <w:jc w:val="both"/>
        <w:rPr>
          <w:rFonts w:ascii="Arial" w:hAnsi="Arial" w:cs="Arial"/>
          <w:sz w:val="24"/>
        </w:rPr>
      </w:pPr>
      <w:r w:rsidRPr="000712FB">
        <w:rPr>
          <w:rFonts w:ascii="ArialMT" w:hAnsi="ArialMT"/>
          <w:color w:val="000000"/>
          <w:sz w:val="24"/>
          <w:szCs w:val="24"/>
        </w:rPr>
        <w:t xml:space="preserve">A despeito das reformas realizadas, constatou-se que a </w:t>
      </w:r>
      <w:r w:rsidR="00AB4EB2">
        <w:rPr>
          <w:rFonts w:ascii="ArialMT" w:hAnsi="ArialMT"/>
          <w:color w:val="000000"/>
          <w:sz w:val="24"/>
          <w:szCs w:val="24"/>
        </w:rPr>
        <w:t xml:space="preserve">diferença entre as receitas de </w:t>
      </w:r>
      <w:r w:rsidR="00AB4EB2">
        <w:rPr>
          <w:rFonts w:ascii="Arial" w:hAnsi="Arial" w:cs="Arial"/>
          <w:sz w:val="24"/>
        </w:rPr>
        <w:t>contribuições dos segurados e patronais e as despesas com os benefícios (aposentadorias, reformas, pensões e outros benefícios previdenciários) foi de R$ 15,3 bilhões em 2017, 6,7%, maior que a de 2016.</w:t>
      </w:r>
    </w:p>
    <w:p w:rsidR="005F269A" w:rsidRDefault="00736C91" w:rsidP="00D51CB7">
      <w:pPr>
        <w:spacing w:after="120" w:line="360" w:lineRule="auto"/>
        <w:jc w:val="both"/>
        <w:rPr>
          <w:rStyle w:val="fontstyle01"/>
        </w:rPr>
      </w:pPr>
      <w:r>
        <w:rPr>
          <w:rStyle w:val="fontstyle01"/>
        </w:rPr>
        <w:t>Como em outros estados, e</w:t>
      </w:r>
      <w:r w:rsidR="00093456">
        <w:rPr>
          <w:rStyle w:val="fontstyle01"/>
        </w:rPr>
        <w:t xml:space="preserve">m Minas Gerais, </w:t>
      </w:r>
      <w:r w:rsidR="00DF06E0">
        <w:rPr>
          <w:rStyle w:val="fontstyle01"/>
        </w:rPr>
        <w:t>os desdobramentos inevitáveis da</w:t>
      </w:r>
      <w:r w:rsidR="00093456" w:rsidRPr="00093456">
        <w:rPr>
          <w:rStyle w:val="fontstyle01"/>
        </w:rPr>
        <w:t xml:space="preserve"> revisão do </w:t>
      </w:r>
      <w:r w:rsidR="00093456">
        <w:rPr>
          <w:rStyle w:val="fontstyle01"/>
        </w:rPr>
        <w:t xml:space="preserve">RGP e do </w:t>
      </w:r>
      <w:r w:rsidR="00093456" w:rsidRPr="00093456">
        <w:rPr>
          <w:rStyle w:val="fontstyle01"/>
        </w:rPr>
        <w:t xml:space="preserve">sistema previdenciário </w:t>
      </w:r>
      <w:r w:rsidR="00093456">
        <w:rPr>
          <w:rStyle w:val="fontstyle01"/>
        </w:rPr>
        <w:t xml:space="preserve">dos servidores federais </w:t>
      </w:r>
      <w:r w:rsidR="00DF06E0">
        <w:rPr>
          <w:rStyle w:val="fontstyle01"/>
        </w:rPr>
        <w:t xml:space="preserve">colocam o </w:t>
      </w:r>
      <w:r w:rsidR="00093456" w:rsidRPr="00093456">
        <w:rPr>
          <w:rStyle w:val="fontstyle01"/>
        </w:rPr>
        <w:lastRenderedPageBreak/>
        <w:t>desaf</w:t>
      </w:r>
      <w:r w:rsidR="00093456">
        <w:rPr>
          <w:rStyle w:val="fontstyle01"/>
        </w:rPr>
        <w:t>i</w:t>
      </w:r>
      <w:r w:rsidR="00093456" w:rsidRPr="00093456">
        <w:rPr>
          <w:rStyle w:val="fontstyle01"/>
        </w:rPr>
        <w:t xml:space="preserve">o </w:t>
      </w:r>
      <w:r w:rsidR="00DF06E0">
        <w:rPr>
          <w:rStyle w:val="fontstyle01"/>
        </w:rPr>
        <w:t>de</w:t>
      </w:r>
      <w:r w:rsidR="00093456" w:rsidRPr="00093456">
        <w:rPr>
          <w:rStyle w:val="fontstyle01"/>
        </w:rPr>
        <w:t xml:space="preserve"> encontrar fórmulas</w:t>
      </w:r>
      <w:r w:rsidR="00093456">
        <w:rPr>
          <w:rStyle w:val="fontstyle01"/>
        </w:rPr>
        <w:t xml:space="preserve"> </w:t>
      </w:r>
      <w:r w:rsidR="00852802">
        <w:rPr>
          <w:rStyle w:val="fontstyle01"/>
        </w:rPr>
        <w:t xml:space="preserve">capazes de enfrentar </w:t>
      </w:r>
      <w:r w:rsidR="005F269A">
        <w:rPr>
          <w:rStyle w:val="fontstyle01"/>
        </w:rPr>
        <w:t xml:space="preserve">um duplo desafio: aliviar as contas públicas e </w:t>
      </w:r>
      <w:r w:rsidR="00F95E30">
        <w:rPr>
          <w:rStyle w:val="fontstyle01"/>
        </w:rPr>
        <w:t>adotar</w:t>
      </w:r>
      <w:r w:rsidR="005F269A">
        <w:rPr>
          <w:rStyle w:val="fontstyle01"/>
        </w:rPr>
        <w:t xml:space="preserve"> um </w:t>
      </w:r>
      <w:r w:rsidR="005F269A" w:rsidRPr="00093456">
        <w:rPr>
          <w:rStyle w:val="fontstyle01"/>
        </w:rPr>
        <w:t>caráter mais universalista, num</w:t>
      </w:r>
      <w:r w:rsidR="005F269A">
        <w:rPr>
          <w:rStyle w:val="fontstyle01"/>
        </w:rPr>
        <w:t xml:space="preserve">a situação </w:t>
      </w:r>
      <w:r w:rsidR="005F269A" w:rsidRPr="00093456">
        <w:rPr>
          <w:rStyle w:val="fontstyle01"/>
        </w:rPr>
        <w:t>marcad</w:t>
      </w:r>
      <w:r w:rsidR="005F269A">
        <w:rPr>
          <w:rStyle w:val="fontstyle01"/>
        </w:rPr>
        <w:t>a</w:t>
      </w:r>
      <w:r w:rsidR="005F269A" w:rsidRPr="00093456">
        <w:rPr>
          <w:rStyle w:val="fontstyle01"/>
        </w:rPr>
        <w:t xml:space="preserve"> por desigualdades acentuadas e</w:t>
      </w:r>
      <w:r w:rsidR="005F269A">
        <w:rPr>
          <w:rStyle w:val="fontstyle01"/>
        </w:rPr>
        <w:t xml:space="preserve"> </w:t>
      </w:r>
      <w:r w:rsidR="005F269A" w:rsidRPr="00093456">
        <w:rPr>
          <w:rStyle w:val="fontstyle01"/>
        </w:rPr>
        <w:t>interesses fortemente constitu</w:t>
      </w:r>
      <w:r w:rsidR="005F269A">
        <w:rPr>
          <w:rStyle w:val="fontstyle01"/>
        </w:rPr>
        <w:t>í</w:t>
      </w:r>
      <w:r w:rsidR="005F269A" w:rsidRPr="00093456">
        <w:rPr>
          <w:rStyle w:val="fontstyle01"/>
        </w:rPr>
        <w:t>dos</w:t>
      </w:r>
      <w:r w:rsidR="005F269A">
        <w:rPr>
          <w:rStyle w:val="fontstyle01"/>
        </w:rPr>
        <w:t>.</w:t>
      </w:r>
    </w:p>
    <w:p w:rsidR="00D56345" w:rsidRPr="00B93E00" w:rsidRDefault="00B93E00" w:rsidP="00D51CB7">
      <w:pPr>
        <w:spacing w:after="120" w:line="360" w:lineRule="auto"/>
        <w:jc w:val="both"/>
        <w:rPr>
          <w:rStyle w:val="fontstyle01"/>
        </w:rPr>
      </w:pPr>
      <w:r>
        <w:rPr>
          <w:rStyle w:val="fontstyle01"/>
        </w:rPr>
        <w:t>Feitas essas considerações, es</w:t>
      </w:r>
      <w:r w:rsidR="00374829">
        <w:rPr>
          <w:rStyle w:val="fontstyle01"/>
        </w:rPr>
        <w:t>t</w:t>
      </w:r>
      <w:r>
        <w:rPr>
          <w:rStyle w:val="fontstyle01"/>
        </w:rPr>
        <w:t xml:space="preserve">e </w:t>
      </w:r>
      <w:r w:rsidR="00374829">
        <w:rPr>
          <w:rStyle w:val="fontstyle01"/>
        </w:rPr>
        <w:t>texto</w:t>
      </w:r>
      <w:r>
        <w:rPr>
          <w:rStyle w:val="fontstyle01"/>
        </w:rPr>
        <w:t xml:space="preserve"> está organizado em mais </w:t>
      </w:r>
      <w:r w:rsidR="00374829">
        <w:rPr>
          <w:rStyle w:val="fontstyle01"/>
        </w:rPr>
        <w:t>4</w:t>
      </w:r>
      <w:r>
        <w:rPr>
          <w:rStyle w:val="fontstyle01"/>
        </w:rPr>
        <w:t xml:space="preserve"> seções. A segunda aborda o </w:t>
      </w:r>
      <w:r w:rsidR="00D56345" w:rsidRPr="00B07020">
        <w:rPr>
          <w:rStyle w:val="fontstyle01"/>
        </w:rPr>
        <w:t>arranjo</w:t>
      </w:r>
      <w:r>
        <w:rPr>
          <w:rStyle w:val="fontstyle01"/>
        </w:rPr>
        <w:t xml:space="preserve"> </w:t>
      </w:r>
      <w:r w:rsidR="00D56345" w:rsidRPr="00B07020">
        <w:rPr>
          <w:rStyle w:val="fontstyle01"/>
        </w:rPr>
        <w:t xml:space="preserve">institucional existente no </w:t>
      </w:r>
      <w:r w:rsidR="007B43E7">
        <w:rPr>
          <w:rStyle w:val="fontstyle01"/>
        </w:rPr>
        <w:t>e</w:t>
      </w:r>
      <w:r w:rsidR="00D56345" w:rsidRPr="00B07020">
        <w:rPr>
          <w:rStyle w:val="fontstyle01"/>
        </w:rPr>
        <w:t>stado de Minas Gerais para garantir os benefícios</w:t>
      </w:r>
      <w:r>
        <w:rPr>
          <w:rStyle w:val="fontstyle01"/>
        </w:rPr>
        <w:t xml:space="preserve"> </w:t>
      </w:r>
      <w:r w:rsidR="00D56345" w:rsidRPr="00B93E00">
        <w:rPr>
          <w:rStyle w:val="fontstyle01"/>
        </w:rPr>
        <w:t>previdenciários</w:t>
      </w:r>
      <w:r w:rsidR="00A545EC">
        <w:rPr>
          <w:rStyle w:val="fontstyle01"/>
        </w:rPr>
        <w:t xml:space="preserve"> aos servidores civis (RPPS) e militares</w:t>
      </w:r>
      <w:r w:rsidR="00D56345" w:rsidRPr="00B93E00">
        <w:rPr>
          <w:rStyle w:val="fontstyle01"/>
        </w:rPr>
        <w:t>.</w:t>
      </w:r>
      <w:r>
        <w:rPr>
          <w:rStyle w:val="fontstyle01"/>
        </w:rPr>
        <w:t xml:space="preserve"> </w:t>
      </w:r>
      <w:r w:rsidRPr="00A545EC">
        <w:rPr>
          <w:rStyle w:val="fontstyle01"/>
        </w:rPr>
        <w:t xml:space="preserve">A terceira </w:t>
      </w:r>
      <w:r w:rsidR="00A545EC" w:rsidRPr="00A545EC">
        <w:rPr>
          <w:rStyle w:val="fontstyle01"/>
        </w:rPr>
        <w:t>analisa a evolução do número de servidores ativos e inativos (civis e militares) e a quarta apresenta a evolução d</w:t>
      </w:r>
      <w:r w:rsidR="00637C70">
        <w:rPr>
          <w:rStyle w:val="fontstyle01"/>
        </w:rPr>
        <w:t xml:space="preserve">o déficit previdenciário </w:t>
      </w:r>
      <w:r w:rsidR="00A545EC">
        <w:rPr>
          <w:rStyle w:val="fontstyle01"/>
        </w:rPr>
        <w:t>(RPPS e militares)</w:t>
      </w:r>
      <w:r w:rsidR="00A545EC" w:rsidRPr="00A545EC">
        <w:rPr>
          <w:rStyle w:val="fontstyle01"/>
        </w:rPr>
        <w:t xml:space="preserve">. Na quinta são feitas </w:t>
      </w:r>
      <w:r w:rsidR="00637C70">
        <w:rPr>
          <w:rStyle w:val="fontstyle01"/>
        </w:rPr>
        <w:t xml:space="preserve">as conclusões </w:t>
      </w:r>
      <w:r w:rsidR="00A545EC" w:rsidRPr="00A545EC">
        <w:rPr>
          <w:rStyle w:val="fontstyle01"/>
        </w:rPr>
        <w:t>e algumas proposições.</w:t>
      </w:r>
    </w:p>
    <w:p w:rsidR="00637C70" w:rsidRDefault="00637C70" w:rsidP="007F40BD">
      <w:pPr>
        <w:jc w:val="both"/>
        <w:rPr>
          <w:rStyle w:val="fontstyle01"/>
          <w:b/>
        </w:rPr>
      </w:pPr>
    </w:p>
    <w:p w:rsidR="00723377" w:rsidRDefault="00F06196" w:rsidP="007F40BD">
      <w:pPr>
        <w:jc w:val="both"/>
        <w:rPr>
          <w:rStyle w:val="fontstyle01"/>
        </w:rPr>
      </w:pPr>
      <w:r>
        <w:rPr>
          <w:rStyle w:val="fontstyle01"/>
          <w:b/>
        </w:rPr>
        <w:t>2</w:t>
      </w:r>
      <w:r>
        <w:rPr>
          <w:rStyle w:val="fontstyle01"/>
          <w:b/>
        </w:rPr>
        <w:tab/>
      </w:r>
      <w:r w:rsidR="00637C70">
        <w:rPr>
          <w:rStyle w:val="fontstyle01"/>
          <w:b/>
        </w:rPr>
        <w:t>ARRANJO INSTITUCIONAL DA PREVID</w:t>
      </w:r>
      <w:r w:rsidR="00637C70">
        <w:rPr>
          <w:rStyle w:val="fontstyle01"/>
          <w:rFonts w:hint="eastAsia"/>
          <w:b/>
        </w:rPr>
        <w:t>Ê</w:t>
      </w:r>
      <w:r w:rsidR="00637C70">
        <w:rPr>
          <w:rStyle w:val="fontstyle01"/>
          <w:b/>
        </w:rPr>
        <w:t>NCIA SOCIAL DOS SERVIDORES P</w:t>
      </w:r>
      <w:r w:rsidR="00637C70">
        <w:rPr>
          <w:rStyle w:val="fontstyle01"/>
          <w:rFonts w:hint="eastAsia"/>
          <w:b/>
        </w:rPr>
        <w:t>Ú</w:t>
      </w:r>
      <w:r w:rsidR="00637C70">
        <w:rPr>
          <w:rStyle w:val="fontstyle01"/>
          <w:b/>
        </w:rPr>
        <w:t>BLICOS DE MINAS GERAIS E DOS MILITARES</w:t>
      </w:r>
      <w:r w:rsidR="006157C6">
        <w:rPr>
          <w:rStyle w:val="Refdenotaderodap"/>
          <w:rFonts w:ascii="ArialMT" w:hAnsi="ArialMT"/>
          <w:b/>
          <w:color w:val="000000"/>
          <w:sz w:val="24"/>
          <w:szCs w:val="24"/>
        </w:rPr>
        <w:footnoteReference w:id="2"/>
      </w:r>
    </w:p>
    <w:p w:rsidR="007F40BD" w:rsidRDefault="00723377" w:rsidP="00D21B17">
      <w:pPr>
        <w:spacing w:line="360" w:lineRule="auto"/>
        <w:jc w:val="both"/>
        <w:rPr>
          <w:rStyle w:val="fontstyle01"/>
        </w:rPr>
      </w:pPr>
      <w:r>
        <w:rPr>
          <w:rStyle w:val="fontstyle01"/>
        </w:rPr>
        <w:t>Em Minas Gerais, o</w:t>
      </w:r>
      <w:r w:rsidR="006C7DBA">
        <w:rPr>
          <w:rStyle w:val="fontstyle01"/>
        </w:rPr>
        <w:t xml:space="preserve">s servidores civis contam com o </w:t>
      </w:r>
      <w:r w:rsidR="007F40BD" w:rsidRPr="00B153D1">
        <w:rPr>
          <w:rStyle w:val="fontstyle01"/>
        </w:rPr>
        <w:t xml:space="preserve">Regime Próprio de Previdência e Assistência Social dos </w:t>
      </w:r>
      <w:r>
        <w:rPr>
          <w:rStyle w:val="fontstyle01"/>
        </w:rPr>
        <w:t>S</w:t>
      </w:r>
      <w:r w:rsidR="007F40BD" w:rsidRPr="00B153D1">
        <w:rPr>
          <w:rStyle w:val="fontstyle01"/>
        </w:rPr>
        <w:t xml:space="preserve">ervidores </w:t>
      </w:r>
      <w:r>
        <w:rPr>
          <w:rStyle w:val="fontstyle01"/>
        </w:rPr>
        <w:t>P</w:t>
      </w:r>
      <w:r w:rsidR="007F40BD" w:rsidRPr="00B153D1">
        <w:rPr>
          <w:rStyle w:val="fontstyle01"/>
        </w:rPr>
        <w:t>úblicos (RPPS) criado pela Lei Complementar Estadual nº 64 (LC 64), de 25 de março de 2002</w:t>
      </w:r>
      <w:r>
        <w:rPr>
          <w:rStyle w:val="fontstyle01"/>
        </w:rPr>
        <w:t xml:space="preserve">. Por </w:t>
      </w:r>
      <w:r w:rsidRPr="008C05E6">
        <w:rPr>
          <w:rStyle w:val="fontstyle01"/>
        </w:rPr>
        <w:t>força da Lei nº 9.717/1998</w:t>
      </w:r>
      <w:r w:rsidR="00B64A86">
        <w:rPr>
          <w:rStyle w:val="Refdenotaderodap"/>
          <w:rFonts w:ascii="ArialMT" w:hAnsi="ArialMT"/>
          <w:b/>
          <w:color w:val="000000"/>
          <w:sz w:val="24"/>
          <w:szCs w:val="24"/>
        </w:rPr>
        <w:footnoteReference w:id="3"/>
      </w:r>
      <w:r w:rsidRPr="008C05E6">
        <w:rPr>
          <w:rStyle w:val="fontstyle01"/>
        </w:rPr>
        <w:t xml:space="preserve">, </w:t>
      </w:r>
      <w:r>
        <w:rPr>
          <w:rStyle w:val="fontstyle01"/>
        </w:rPr>
        <w:t xml:space="preserve">o RPPS </w:t>
      </w:r>
      <w:r w:rsidR="007F40BD">
        <w:rPr>
          <w:rStyle w:val="fontstyle01"/>
        </w:rPr>
        <w:t>não abrange os militares</w:t>
      </w:r>
      <w:r>
        <w:rPr>
          <w:rStyle w:val="fontstyle01"/>
        </w:rPr>
        <w:t xml:space="preserve"> cuja previdência social está normatizada por um arranjo distinto. Também não integram o RPPS os</w:t>
      </w:r>
      <w:r w:rsidR="007F40BD">
        <w:rPr>
          <w:rStyle w:val="fontstyle01"/>
        </w:rPr>
        <w:t xml:space="preserve"> deputados estaduais</w:t>
      </w:r>
      <w:r w:rsidR="00374829">
        <w:rPr>
          <w:rStyle w:val="fontstyle01"/>
        </w:rPr>
        <w:t xml:space="preserve"> cujos benefícios previdenciários são de responsabilidade do </w:t>
      </w:r>
      <w:proofErr w:type="spellStart"/>
      <w:r w:rsidR="00374829">
        <w:rPr>
          <w:rStyle w:val="fontstyle01"/>
        </w:rPr>
        <w:t>Iplemg</w:t>
      </w:r>
      <w:proofErr w:type="spellEnd"/>
      <w:r w:rsidR="00374829">
        <w:rPr>
          <w:rStyle w:val="fontstyle01"/>
        </w:rPr>
        <w:t>, em processo de extinção, e que não serão abordados neste texto.</w:t>
      </w:r>
    </w:p>
    <w:p w:rsidR="006C7DBA" w:rsidRDefault="006C7DBA" w:rsidP="00D21B17">
      <w:pPr>
        <w:spacing w:line="360" w:lineRule="auto"/>
        <w:jc w:val="both"/>
        <w:rPr>
          <w:rStyle w:val="fontstyle01"/>
        </w:rPr>
      </w:pPr>
    </w:p>
    <w:p w:rsidR="00B243AA" w:rsidRPr="009B55DC" w:rsidRDefault="00B243AA" w:rsidP="00D21B17">
      <w:pPr>
        <w:spacing w:line="360" w:lineRule="auto"/>
        <w:jc w:val="both"/>
        <w:rPr>
          <w:rStyle w:val="fontstyle01"/>
          <w:b/>
        </w:rPr>
      </w:pPr>
      <w:r w:rsidRPr="009B55DC">
        <w:rPr>
          <w:rStyle w:val="fontstyle01"/>
          <w:b/>
        </w:rPr>
        <w:t>2.1</w:t>
      </w:r>
      <w:r w:rsidRPr="009B55DC">
        <w:rPr>
          <w:rStyle w:val="fontstyle01"/>
          <w:b/>
        </w:rPr>
        <w:tab/>
        <w:t>Regime Próprio de Previdência e Assistência Social dos Servidores Públicos (RPPS)</w:t>
      </w:r>
    </w:p>
    <w:p w:rsidR="007F40BD" w:rsidRPr="00B153D1" w:rsidRDefault="007F40BD" w:rsidP="00D51CB7">
      <w:pPr>
        <w:spacing w:after="120" w:line="360" w:lineRule="auto"/>
        <w:jc w:val="both"/>
        <w:rPr>
          <w:rStyle w:val="fontstyle01"/>
        </w:rPr>
      </w:pPr>
      <w:r>
        <w:rPr>
          <w:rStyle w:val="fontstyle01"/>
        </w:rPr>
        <w:t>São segurados</w:t>
      </w:r>
      <w:r w:rsidR="00723377">
        <w:rPr>
          <w:rStyle w:val="fontstyle01"/>
        </w:rPr>
        <w:t xml:space="preserve"> do RPPS</w:t>
      </w:r>
      <w:r>
        <w:rPr>
          <w:rStyle w:val="fontstyle01"/>
        </w:rPr>
        <w:t xml:space="preserve">, de acordo com a </w:t>
      </w:r>
      <w:r w:rsidRPr="00B153D1">
        <w:rPr>
          <w:rStyle w:val="fontstyle01"/>
        </w:rPr>
        <w:t>LC 64 (já com as alterações posteriores): a) o titular de cargo efetivo da administração direta, autárquica e fundacional dos Poderes do Estado, do Ministério Público e do Tribunal</w:t>
      </w:r>
      <w:r w:rsidRPr="00652911">
        <w:rPr>
          <w:rStyle w:val="fontstyle01"/>
        </w:rPr>
        <w:t xml:space="preserve"> de Contas do Estado, que tenha sido aprovado por meio de concurso público bem </w:t>
      </w:r>
      <w:r w:rsidRPr="00652911">
        <w:rPr>
          <w:rStyle w:val="fontstyle01"/>
        </w:rPr>
        <w:lastRenderedPageBreak/>
        <w:t>como aquele efetivado nos termos dos art</w:t>
      </w:r>
      <w:r>
        <w:rPr>
          <w:rStyle w:val="fontstyle01"/>
        </w:rPr>
        <w:t>igo</w:t>
      </w:r>
      <w:r w:rsidRPr="00652911">
        <w:rPr>
          <w:rStyle w:val="fontstyle01"/>
        </w:rPr>
        <w:t>s 105 e 106 do Ato das Disposições Constitucionais Transitórias da Constituição do Estado</w:t>
      </w:r>
      <w:r>
        <w:rPr>
          <w:rStyle w:val="fontstyle01"/>
        </w:rPr>
        <w:t xml:space="preserve">, b) </w:t>
      </w:r>
      <w:r w:rsidRPr="00652911">
        <w:rPr>
          <w:rStyle w:val="fontstyle01"/>
        </w:rPr>
        <w:t>o membro da magistratura e o do Ministério Público, bem como o Co</w:t>
      </w:r>
      <w:r>
        <w:rPr>
          <w:rStyle w:val="fontstyle01"/>
        </w:rPr>
        <w:t xml:space="preserve">nselheiro do Tribunal de Contas, c) </w:t>
      </w:r>
      <w:r w:rsidRPr="00652911">
        <w:rPr>
          <w:rStyle w:val="fontstyle01"/>
        </w:rPr>
        <w:t xml:space="preserve">o servidor titular de cargo </w:t>
      </w:r>
      <w:r>
        <w:rPr>
          <w:rStyle w:val="fontstyle01"/>
        </w:rPr>
        <w:t xml:space="preserve">efetivo em disponibilidade, d) </w:t>
      </w:r>
      <w:r w:rsidRPr="00652911">
        <w:rPr>
          <w:rStyle w:val="fontstyle01"/>
        </w:rPr>
        <w:t>o aposentado</w:t>
      </w:r>
      <w:r>
        <w:rPr>
          <w:rStyle w:val="fontstyle01"/>
        </w:rPr>
        <w:t xml:space="preserve">, e) </w:t>
      </w:r>
      <w:r w:rsidRPr="00652911">
        <w:rPr>
          <w:rStyle w:val="fontstyle01"/>
        </w:rPr>
        <w:t>o notário, o registrador, o escrevente e o auxiliar admitido até 18 de novembro de 1994 e não optante pela contratação segundo a legislação trabalhista, nos termos do art. 48 da Lei Federal nº 8.935, de 18 de novembro de 1994</w:t>
      </w:r>
      <w:r>
        <w:rPr>
          <w:rStyle w:val="fontstyle01"/>
        </w:rPr>
        <w:t xml:space="preserve">. Foram excluídos </w:t>
      </w:r>
      <w:r w:rsidRPr="00B153D1">
        <w:rPr>
          <w:rFonts w:ascii="ArialMT" w:hAnsi="ArialMT"/>
          <w:color w:val="000000"/>
          <w:sz w:val="24"/>
          <w:szCs w:val="24"/>
        </w:rPr>
        <w:t xml:space="preserve">os </w:t>
      </w:r>
      <w:r w:rsidR="00603F3D" w:rsidRPr="00B153D1">
        <w:rPr>
          <w:rFonts w:ascii="ArialMT" w:hAnsi="ArialMT"/>
          <w:color w:val="000000"/>
          <w:sz w:val="24"/>
          <w:szCs w:val="24"/>
        </w:rPr>
        <w:t xml:space="preserve">militares </w:t>
      </w:r>
      <w:r w:rsidR="00603F3D">
        <w:rPr>
          <w:rFonts w:ascii="ArialMT" w:hAnsi="ArialMT"/>
          <w:color w:val="000000"/>
          <w:sz w:val="24"/>
          <w:szCs w:val="24"/>
        </w:rPr>
        <w:t xml:space="preserve">e </w:t>
      </w:r>
      <w:r w:rsidRPr="00B153D1">
        <w:rPr>
          <w:rFonts w:ascii="ArialMT" w:hAnsi="ArialMT"/>
          <w:color w:val="000000"/>
          <w:sz w:val="24"/>
          <w:szCs w:val="24"/>
        </w:rPr>
        <w:t>deputados estaduais</w:t>
      </w:r>
      <w:r w:rsidR="00EA4147">
        <w:rPr>
          <w:rFonts w:ascii="ArialMT" w:hAnsi="ArialMT"/>
          <w:color w:val="000000"/>
          <w:sz w:val="24"/>
          <w:szCs w:val="24"/>
        </w:rPr>
        <w:t>.</w:t>
      </w:r>
    </w:p>
    <w:p w:rsidR="007F40BD" w:rsidRPr="003D0560" w:rsidRDefault="007F40BD" w:rsidP="00D51CB7">
      <w:pPr>
        <w:spacing w:after="120" w:line="360" w:lineRule="auto"/>
        <w:jc w:val="both"/>
        <w:rPr>
          <w:rFonts w:ascii="ArialMT" w:hAnsi="ArialMT"/>
          <w:color w:val="000000"/>
          <w:sz w:val="24"/>
          <w:szCs w:val="24"/>
        </w:rPr>
      </w:pPr>
      <w:r w:rsidRPr="004A59A4">
        <w:rPr>
          <w:rStyle w:val="fontstyle01"/>
        </w:rPr>
        <w:t xml:space="preserve">Os benefícios assegurados </w:t>
      </w:r>
      <w:r w:rsidR="006157C6">
        <w:rPr>
          <w:rStyle w:val="fontstyle01"/>
        </w:rPr>
        <w:t xml:space="preserve">pelo RPPS </w:t>
      </w:r>
      <w:r w:rsidRPr="004A59A4">
        <w:rPr>
          <w:rStyle w:val="fontstyle01"/>
        </w:rPr>
        <w:t>(</w:t>
      </w:r>
      <w:r w:rsidRPr="00B153D1">
        <w:rPr>
          <w:rStyle w:val="fontstyle01"/>
        </w:rPr>
        <w:t>LC 64</w:t>
      </w:r>
      <w:r>
        <w:rPr>
          <w:rStyle w:val="fontstyle01"/>
        </w:rPr>
        <w:t xml:space="preserve">) são: aposentadoria e pensão por morte. Os </w:t>
      </w:r>
      <w:r w:rsidRPr="00F06196">
        <w:rPr>
          <w:rStyle w:val="fontstyle01"/>
        </w:rPr>
        <w:t xml:space="preserve">benefícios </w:t>
      </w:r>
      <w:r w:rsidRPr="00F06196">
        <w:rPr>
          <w:rFonts w:ascii="ArialMT" w:hAnsi="ArialMT"/>
          <w:color w:val="000000"/>
          <w:sz w:val="24"/>
          <w:szCs w:val="24"/>
        </w:rPr>
        <w:t>licença para tratamento de saúde, licença maternidade, abono-família e auxílio-reclusão que originalmente compunham o rol de benefícios do RPPS, passaram a ser de responsabilidade dos entes patronais,</w:t>
      </w:r>
      <w:r>
        <w:rPr>
          <w:rFonts w:ascii="ArialMT" w:hAnsi="ArialMT"/>
          <w:color w:val="000000"/>
          <w:sz w:val="24"/>
          <w:szCs w:val="24"/>
        </w:rPr>
        <w:t xml:space="preserve"> </w:t>
      </w:r>
      <w:r w:rsidRPr="004A59A4">
        <w:rPr>
          <w:rFonts w:ascii="ArialMT" w:hAnsi="ArialMT"/>
          <w:color w:val="000000"/>
          <w:sz w:val="24"/>
          <w:szCs w:val="24"/>
        </w:rPr>
        <w:t>por força da</w:t>
      </w:r>
      <w:r>
        <w:rPr>
          <w:rFonts w:ascii="ArialMT" w:hAnsi="ArialMT"/>
          <w:color w:val="000000"/>
          <w:sz w:val="24"/>
          <w:szCs w:val="24"/>
        </w:rPr>
        <w:t xml:space="preserve"> </w:t>
      </w:r>
      <w:r w:rsidRPr="004A59A4">
        <w:rPr>
          <w:rFonts w:ascii="ArialMT" w:hAnsi="ArialMT"/>
          <w:color w:val="000000"/>
          <w:sz w:val="24"/>
          <w:szCs w:val="24"/>
        </w:rPr>
        <w:t>Lei Complementar 121/2011</w:t>
      </w:r>
      <w:r>
        <w:rPr>
          <w:rFonts w:ascii="ArialMT" w:hAnsi="ArialMT"/>
          <w:color w:val="000000"/>
        </w:rPr>
        <w:t xml:space="preserve">. </w:t>
      </w:r>
      <w:r w:rsidRPr="003D0560">
        <w:rPr>
          <w:rFonts w:ascii="ArialMT" w:hAnsi="ArialMT"/>
          <w:color w:val="000000"/>
          <w:sz w:val="24"/>
          <w:szCs w:val="24"/>
        </w:rPr>
        <w:t xml:space="preserve">As regras para a concessão da aposentadoria </w:t>
      </w:r>
      <w:r>
        <w:rPr>
          <w:rFonts w:ascii="ArialMT" w:hAnsi="ArialMT"/>
          <w:color w:val="000000"/>
          <w:sz w:val="24"/>
          <w:szCs w:val="24"/>
        </w:rPr>
        <w:t xml:space="preserve">(por tempo de contribuição, proporcional, compulsória e por invalidez) </w:t>
      </w:r>
      <w:r w:rsidRPr="003D0560">
        <w:rPr>
          <w:rFonts w:ascii="ArialMT" w:hAnsi="ArialMT"/>
          <w:color w:val="000000"/>
          <w:sz w:val="24"/>
          <w:szCs w:val="24"/>
        </w:rPr>
        <w:t xml:space="preserve">e pensão constam no Anexo 1. </w:t>
      </w:r>
    </w:p>
    <w:p w:rsidR="007F40BD" w:rsidRPr="00157F68" w:rsidRDefault="007F40BD" w:rsidP="00D51CB7">
      <w:pPr>
        <w:spacing w:after="120" w:line="360" w:lineRule="auto"/>
        <w:jc w:val="both"/>
        <w:rPr>
          <w:rStyle w:val="fontstyle01"/>
        </w:rPr>
      </w:pPr>
      <w:r>
        <w:rPr>
          <w:rStyle w:val="fontstyle01"/>
        </w:rPr>
        <w:t xml:space="preserve">O </w:t>
      </w:r>
      <w:r w:rsidRPr="002975D3">
        <w:rPr>
          <w:rStyle w:val="fontstyle01"/>
        </w:rPr>
        <w:t xml:space="preserve">RPPS </w:t>
      </w:r>
      <w:r>
        <w:rPr>
          <w:rStyle w:val="fontstyle01"/>
        </w:rPr>
        <w:t>é operacionalizado por meio do Fundo Financeiro de Previdência (FUNFIP)</w:t>
      </w:r>
      <w:r>
        <w:rPr>
          <w:rStyle w:val="Refdenotaderodap"/>
          <w:rFonts w:ascii="ArialMT" w:hAnsi="ArialMT"/>
          <w:color w:val="000000"/>
          <w:sz w:val="24"/>
          <w:szCs w:val="24"/>
        </w:rPr>
        <w:footnoteReference w:id="4"/>
      </w:r>
      <w:r>
        <w:rPr>
          <w:rStyle w:val="fontstyle01"/>
        </w:rPr>
        <w:t xml:space="preserve"> </w:t>
      </w:r>
      <w:r w:rsidRPr="00DB16B5">
        <w:rPr>
          <w:rStyle w:val="fontstyle01"/>
        </w:rPr>
        <w:t xml:space="preserve">criado pela Lei Complementar 64/02, alterada pelas LC </w:t>
      </w:r>
      <w:proofErr w:type="spellStart"/>
      <w:r w:rsidRPr="00DB16B5">
        <w:rPr>
          <w:rStyle w:val="fontstyle01"/>
        </w:rPr>
        <w:t>nºs</w:t>
      </w:r>
      <w:proofErr w:type="spellEnd"/>
      <w:r w:rsidRPr="00DB16B5">
        <w:rPr>
          <w:rStyle w:val="fontstyle01"/>
        </w:rPr>
        <w:t xml:space="preserve"> 77/04, 79/04, 100/07, 110/09 e 121/11</w:t>
      </w:r>
      <w:r>
        <w:rPr>
          <w:rStyle w:val="fontstyle01"/>
        </w:rPr>
        <w:t xml:space="preserve">. </w:t>
      </w:r>
      <w:bookmarkStart w:id="1" w:name="_Hlk511035457"/>
      <w:r w:rsidRPr="00DB16B5">
        <w:rPr>
          <w:rStyle w:val="fontstyle01"/>
        </w:rPr>
        <w:t xml:space="preserve">Os recursos têm origem nas contribuições previdenciárias </w:t>
      </w:r>
      <w:r>
        <w:rPr>
          <w:rStyle w:val="fontstyle01"/>
        </w:rPr>
        <w:t xml:space="preserve">cujas </w:t>
      </w:r>
      <w:r>
        <w:rPr>
          <w:rFonts w:ascii="ArialMT" w:hAnsi="ArialMT"/>
          <w:color w:val="000000"/>
          <w:sz w:val="24"/>
          <w:szCs w:val="24"/>
        </w:rPr>
        <w:t>alíquotas são de 11% (servidores ativos, aposentados e pensionistas) e 22% (patronal)</w:t>
      </w:r>
      <w:r w:rsidR="006157C6">
        <w:rPr>
          <w:rFonts w:ascii="ArialMT" w:hAnsi="ArialMT"/>
          <w:color w:val="000000"/>
          <w:sz w:val="24"/>
          <w:szCs w:val="24"/>
        </w:rPr>
        <w:t>,</w:t>
      </w:r>
      <w:r w:rsidR="006157C6" w:rsidRPr="006157C6">
        <w:rPr>
          <w:rStyle w:val="fontstyle01"/>
        </w:rPr>
        <w:t xml:space="preserve"> </w:t>
      </w:r>
      <w:r w:rsidR="0018474D">
        <w:rPr>
          <w:rStyle w:val="fontstyle01"/>
        </w:rPr>
        <w:t>sem teto para aqueles que ingressaram no serviço público até 12/02/2015</w:t>
      </w:r>
      <w:r>
        <w:rPr>
          <w:rFonts w:ascii="ArialMT" w:hAnsi="ArialMT"/>
          <w:color w:val="000000"/>
          <w:sz w:val="24"/>
          <w:szCs w:val="24"/>
        </w:rPr>
        <w:t xml:space="preserve">. </w:t>
      </w:r>
      <w:r w:rsidR="00F23E7E">
        <w:rPr>
          <w:rFonts w:ascii="ArialMT" w:hAnsi="ArialMT"/>
          <w:color w:val="000000"/>
          <w:sz w:val="24"/>
          <w:szCs w:val="24"/>
        </w:rPr>
        <w:t>Para aqueles que ingressaram no serviço público após essa data a contribuição é de 11% até o limite do teto do RGP. O</w:t>
      </w:r>
      <w:r w:rsidR="00F23E7E">
        <w:rPr>
          <w:rStyle w:val="fontstyle01"/>
        </w:rPr>
        <w:t xml:space="preserve"> servidor efetivo que desejar receber benefícios superiores ao teto, poderá contribuir para o Regime de Previdência Complementar (RPC). Nesse caso, as alíquotas de contribuição são de </w:t>
      </w:r>
      <w:r w:rsidR="00F23E7E" w:rsidRPr="00A545EC">
        <w:rPr>
          <w:rStyle w:val="fontstyle01"/>
          <w:highlight w:val="yellow"/>
        </w:rPr>
        <w:t>X</w:t>
      </w:r>
      <w:r w:rsidR="00F23E7E">
        <w:rPr>
          <w:rStyle w:val="fontstyle01"/>
        </w:rPr>
        <w:t xml:space="preserve">% para o servidor e de </w:t>
      </w:r>
      <w:r w:rsidR="00F23E7E" w:rsidRPr="00A545EC">
        <w:rPr>
          <w:rStyle w:val="fontstyle01"/>
          <w:highlight w:val="yellow"/>
        </w:rPr>
        <w:t>X</w:t>
      </w:r>
      <w:r w:rsidR="00F23E7E">
        <w:rPr>
          <w:rStyle w:val="fontstyle01"/>
        </w:rPr>
        <w:t>% para o estado</w:t>
      </w:r>
      <w:bookmarkEnd w:id="1"/>
      <w:r w:rsidR="00F23E7E">
        <w:rPr>
          <w:rStyle w:val="fontstyle01"/>
        </w:rPr>
        <w:t xml:space="preserve">. </w:t>
      </w:r>
      <w:r w:rsidR="006157C6">
        <w:rPr>
          <w:rStyle w:val="fontstyle01"/>
        </w:rPr>
        <w:t xml:space="preserve">Os inativos e pensionistas contribuem com 11% sobre a parcela dos proventos que exceder o valor máximo de benefícios do RGPS e, no caso de o beneficiário ser portador de doença incapacitante, incide sobre a parcela da remuneração que exceder o </w:t>
      </w:r>
      <w:r w:rsidR="006157C6">
        <w:rPr>
          <w:rStyle w:val="fontstyle01"/>
        </w:rPr>
        <w:lastRenderedPageBreak/>
        <w:t xml:space="preserve">dobro do limite máximo dos benefícios do RGPS. </w:t>
      </w:r>
      <w:r w:rsidRPr="00DB16B5">
        <w:rPr>
          <w:rStyle w:val="fontstyle01"/>
        </w:rPr>
        <w:t>A lei prevê</w:t>
      </w:r>
      <w:r>
        <w:rPr>
          <w:rStyle w:val="fontstyle01"/>
        </w:rPr>
        <w:t xml:space="preserve"> que,</w:t>
      </w:r>
      <w:r w:rsidRPr="00042399">
        <w:rPr>
          <w:rStyle w:val="fontstyle01"/>
        </w:rPr>
        <w:t xml:space="preserve"> </w:t>
      </w:r>
      <w:r>
        <w:rPr>
          <w:rStyle w:val="fontstyle01"/>
        </w:rPr>
        <w:t xml:space="preserve">no caso </w:t>
      </w:r>
      <w:r w:rsidRPr="00DB16B5">
        <w:rPr>
          <w:rStyle w:val="fontstyle01"/>
        </w:rPr>
        <w:t xml:space="preserve">dessas receitas </w:t>
      </w:r>
      <w:r>
        <w:rPr>
          <w:rStyle w:val="fontstyle01"/>
        </w:rPr>
        <w:t xml:space="preserve">serem insuficientes </w:t>
      </w:r>
      <w:r w:rsidRPr="00DB16B5">
        <w:rPr>
          <w:rStyle w:val="fontstyle01"/>
        </w:rPr>
        <w:t>para cobr</w:t>
      </w:r>
      <w:r>
        <w:rPr>
          <w:rStyle w:val="fontstyle01"/>
        </w:rPr>
        <w:t xml:space="preserve">ir os benefícios, haverá </w:t>
      </w:r>
      <w:r w:rsidRPr="00DB16B5">
        <w:rPr>
          <w:rStyle w:val="fontstyle01"/>
        </w:rPr>
        <w:t xml:space="preserve">complementação </w:t>
      </w:r>
      <w:r>
        <w:rPr>
          <w:rStyle w:val="fontstyle01"/>
        </w:rPr>
        <w:t xml:space="preserve">por parte do Tesouro estadual. Salienta-se que a </w:t>
      </w:r>
      <w:r w:rsidRPr="00157F68">
        <w:rPr>
          <w:rStyle w:val="fontstyle01"/>
        </w:rPr>
        <w:t xml:space="preserve">execução das despesas com inativos </w:t>
      </w:r>
      <w:r w:rsidRPr="00157F68">
        <w:rPr>
          <w:rStyle w:val="fontstyle01"/>
          <w:highlight w:val="yellow"/>
        </w:rPr>
        <w:t xml:space="preserve">dos </w:t>
      </w:r>
      <w:r w:rsidR="00F23E7E">
        <w:rPr>
          <w:rStyle w:val="fontstyle01"/>
          <w:highlight w:val="yellow"/>
        </w:rPr>
        <w:t xml:space="preserve">poderes Legislativo e Judiciário </w:t>
      </w:r>
      <w:r>
        <w:rPr>
          <w:rStyle w:val="fontstyle01"/>
          <w:highlight w:val="yellow"/>
        </w:rPr>
        <w:t xml:space="preserve">é feita </w:t>
      </w:r>
      <w:r>
        <w:rPr>
          <w:rStyle w:val="fontstyle01"/>
        </w:rPr>
        <w:t>nos respectivos ó</w:t>
      </w:r>
      <w:r w:rsidRPr="00157F68">
        <w:rPr>
          <w:rStyle w:val="fontstyle01"/>
        </w:rPr>
        <w:t xml:space="preserve">rgãos, utilizando os recursos arrecadados e repassados pelo </w:t>
      </w:r>
      <w:proofErr w:type="spellStart"/>
      <w:r w:rsidRPr="00157F68">
        <w:rPr>
          <w:rStyle w:val="fontstyle01"/>
        </w:rPr>
        <w:t>F</w:t>
      </w:r>
      <w:r w:rsidR="00B3040F">
        <w:rPr>
          <w:rStyle w:val="fontstyle01"/>
        </w:rPr>
        <w:t>unfip</w:t>
      </w:r>
      <w:proofErr w:type="spellEnd"/>
      <w:r w:rsidRPr="00157F68">
        <w:rPr>
          <w:rStyle w:val="fontstyle01"/>
        </w:rPr>
        <w:t>.</w:t>
      </w:r>
    </w:p>
    <w:p w:rsidR="007F40BD" w:rsidRDefault="007F40BD" w:rsidP="00D51CB7">
      <w:pPr>
        <w:spacing w:after="120" w:line="360" w:lineRule="auto"/>
        <w:jc w:val="both"/>
        <w:rPr>
          <w:rStyle w:val="fontstyle01"/>
        </w:rPr>
      </w:pPr>
      <w:r>
        <w:rPr>
          <w:rStyle w:val="fontstyle01"/>
        </w:rPr>
        <w:t xml:space="preserve">Esse fundo opera em regime de </w:t>
      </w:r>
      <w:r w:rsidRPr="009D47FB">
        <w:rPr>
          <w:rStyle w:val="fontstyle01"/>
        </w:rPr>
        <w:t>repartição simples</w:t>
      </w:r>
      <w:r>
        <w:rPr>
          <w:rStyle w:val="fontstyle01"/>
        </w:rPr>
        <w:t xml:space="preserve">, recolhendo contribuições relativas </w:t>
      </w:r>
      <w:r w:rsidRPr="009D47FB">
        <w:rPr>
          <w:rStyle w:val="fontstyle01"/>
        </w:rPr>
        <w:t>aos ativos, inativos e pensionista</w:t>
      </w:r>
      <w:r>
        <w:rPr>
          <w:rStyle w:val="fontstyle01"/>
        </w:rPr>
        <w:t>s e pagando os respectivos benefícios, sem a constituição de reservas e provisões. As contribuições incidem sobre a remuneração de contribuição cujo valor é constituído por subsídios, vencimentos, adicionais, gratificações de qualquer natureza e outras vantagens pecuniárias de caráter permanente que o segurado perceba em folha de pagamento, na condição de servidor público. Não integram a remuneração de contribuição o abono-família, a diária, a ajuda de custo e o ressarcimento das despesas de transporte, bem como as demais verbas de natureza indenizatória.</w:t>
      </w:r>
    </w:p>
    <w:p w:rsidR="007F40BD" w:rsidRPr="005E1910" w:rsidRDefault="007F40BD" w:rsidP="00D51CB7">
      <w:pPr>
        <w:pStyle w:val="Textodenotaderodap"/>
        <w:spacing w:after="120" w:line="360" w:lineRule="auto"/>
        <w:jc w:val="both"/>
        <w:rPr>
          <w:rStyle w:val="fontstyle01"/>
        </w:rPr>
      </w:pPr>
      <w:r>
        <w:rPr>
          <w:rStyle w:val="fontstyle01"/>
        </w:rPr>
        <w:t xml:space="preserve">A </w:t>
      </w:r>
      <w:r w:rsidRPr="005E1910">
        <w:rPr>
          <w:rStyle w:val="fontstyle01"/>
        </w:rPr>
        <w:t>LC 64/02 criou também o Fundo de Previdência do Estado de Minas Gerais (</w:t>
      </w:r>
      <w:proofErr w:type="spellStart"/>
      <w:r w:rsidRPr="005E1910">
        <w:rPr>
          <w:rStyle w:val="fontstyle01"/>
        </w:rPr>
        <w:t>Funpemg</w:t>
      </w:r>
      <w:proofErr w:type="spellEnd"/>
      <w:r w:rsidRPr="005E1910">
        <w:rPr>
          <w:rStyle w:val="fontstyle01"/>
        </w:rPr>
        <w:t xml:space="preserve">), </w:t>
      </w:r>
      <w:r>
        <w:rPr>
          <w:rStyle w:val="fontstyle01"/>
        </w:rPr>
        <w:t xml:space="preserve">em regime de capitalização, </w:t>
      </w:r>
      <w:r w:rsidRPr="005E1910">
        <w:rPr>
          <w:rStyle w:val="fontstyle01"/>
        </w:rPr>
        <w:t xml:space="preserve">tendo como segurados obrigatórios os servidores efetivos, de todos os poderes, órgãos e autarquias, cuja nomeação ocorresse a partir de 01/01/2002. </w:t>
      </w:r>
      <w:r>
        <w:rPr>
          <w:rStyle w:val="fontstyle01"/>
        </w:rPr>
        <w:t xml:space="preserve">O </w:t>
      </w:r>
      <w:proofErr w:type="spellStart"/>
      <w:r>
        <w:rPr>
          <w:rStyle w:val="fontstyle01"/>
        </w:rPr>
        <w:t>Funpemg</w:t>
      </w:r>
      <w:proofErr w:type="spellEnd"/>
      <w:r>
        <w:rPr>
          <w:rStyle w:val="fontstyle01"/>
        </w:rPr>
        <w:t xml:space="preserve"> foi extinto em 2014 (</w:t>
      </w:r>
      <w:r w:rsidRPr="005E1910">
        <w:rPr>
          <w:rStyle w:val="fontstyle01"/>
        </w:rPr>
        <w:t>Lei Complementar nº 131, de 06/12/2014</w:t>
      </w:r>
      <w:r>
        <w:rPr>
          <w:rStyle w:val="fontstyle01"/>
        </w:rPr>
        <w:t>)</w:t>
      </w:r>
      <w:r w:rsidRPr="005E1910">
        <w:rPr>
          <w:rStyle w:val="fontstyle01"/>
        </w:rPr>
        <w:t xml:space="preserve"> tendo suas receitas sido utilizadas para cobrir as despesas previdenciárias do estado. Co</w:t>
      </w:r>
      <w:r>
        <w:rPr>
          <w:rStyle w:val="fontstyle01"/>
        </w:rPr>
        <w:t>m</w:t>
      </w:r>
      <w:r w:rsidRPr="005E1910">
        <w:rPr>
          <w:rStyle w:val="fontstyle01"/>
        </w:rPr>
        <w:t xml:space="preserve"> isso, seus segurados foram incorporados ao FUNFIP.</w:t>
      </w:r>
    </w:p>
    <w:p w:rsidR="007F40BD" w:rsidRDefault="007F40BD" w:rsidP="00D51CB7">
      <w:pPr>
        <w:spacing w:after="120" w:line="360" w:lineRule="auto"/>
        <w:jc w:val="both"/>
        <w:rPr>
          <w:rStyle w:val="fontstyle01"/>
        </w:rPr>
      </w:pPr>
      <w:r w:rsidRPr="00BE03A0">
        <w:rPr>
          <w:rStyle w:val="fontstyle01"/>
        </w:rPr>
        <w:t xml:space="preserve">A lei que extinguiu o </w:t>
      </w:r>
      <w:proofErr w:type="spellStart"/>
      <w:r w:rsidRPr="00BE03A0">
        <w:rPr>
          <w:rStyle w:val="fontstyle01"/>
        </w:rPr>
        <w:t>Funpemg</w:t>
      </w:r>
      <w:proofErr w:type="spellEnd"/>
      <w:r w:rsidRPr="00BE03A0">
        <w:rPr>
          <w:rStyle w:val="fontstyle01"/>
        </w:rPr>
        <w:t xml:space="preserve"> criou o Fundo Previdenciário de</w:t>
      </w:r>
      <w:r w:rsidRPr="00BA38CF">
        <w:rPr>
          <w:rStyle w:val="fontstyle01"/>
        </w:rPr>
        <w:t xml:space="preserve"> Minas Gerais </w:t>
      </w:r>
      <w:r>
        <w:rPr>
          <w:rStyle w:val="fontstyle01"/>
        </w:rPr>
        <w:t>(</w:t>
      </w:r>
      <w:r w:rsidRPr="00BA38CF">
        <w:rPr>
          <w:rStyle w:val="fontstyle01"/>
        </w:rPr>
        <w:t>FUNPREV-MG</w:t>
      </w:r>
      <w:r>
        <w:rPr>
          <w:rStyle w:val="fontstyle01"/>
        </w:rPr>
        <w:t>)</w:t>
      </w:r>
      <w:r w:rsidRPr="008C1FB9">
        <w:rPr>
          <w:rStyle w:val="fontstyle01"/>
          <w:b/>
        </w:rPr>
        <w:t>,</w:t>
      </w:r>
      <w:r>
        <w:rPr>
          <w:rStyle w:val="fontstyle01"/>
        </w:rPr>
        <w:t xml:space="preserve"> que introduziu um novo arranjo previdenciário no estado, com a implantação do Regime de Previdência Complementar (RPC)</w:t>
      </w:r>
      <w:r w:rsidR="00FB5748">
        <w:rPr>
          <w:rStyle w:val="Refdenotaderodap"/>
          <w:rFonts w:ascii="ArialMT" w:hAnsi="ArialMT"/>
          <w:color w:val="000000"/>
          <w:sz w:val="24"/>
          <w:szCs w:val="24"/>
        </w:rPr>
        <w:footnoteReference w:id="5"/>
      </w:r>
      <w:r w:rsidR="00DE5398">
        <w:rPr>
          <w:rStyle w:val="fontstyle01"/>
        </w:rPr>
        <w:t xml:space="preserve"> </w:t>
      </w:r>
      <w:r>
        <w:rPr>
          <w:rStyle w:val="fontstyle01"/>
        </w:rPr>
        <w:t xml:space="preserve">e do teto de benefícios equivalente ao do RGPS, para os </w:t>
      </w:r>
      <w:r w:rsidRPr="009C731F">
        <w:rPr>
          <w:rStyle w:val="fontstyle01"/>
        </w:rPr>
        <w:t>servidores que ingressa</w:t>
      </w:r>
      <w:r>
        <w:rPr>
          <w:rStyle w:val="fontstyle01"/>
        </w:rPr>
        <w:t>sse</w:t>
      </w:r>
      <w:r w:rsidRPr="009C731F">
        <w:rPr>
          <w:rStyle w:val="fontstyle01"/>
        </w:rPr>
        <w:t>m no serviço público a partir da data da autorização de funcionamento d</w:t>
      </w:r>
      <w:r>
        <w:rPr>
          <w:rStyle w:val="fontstyle01"/>
        </w:rPr>
        <w:t xml:space="preserve">o RPC, que ocorreu em 12/02/2015. Ressalte-se que o FUNPREV-MG que operaria no </w:t>
      </w:r>
      <w:r w:rsidRPr="009C731F">
        <w:rPr>
          <w:rStyle w:val="fontstyle01"/>
        </w:rPr>
        <w:t>regime financeiro de capitalização</w:t>
      </w:r>
      <w:r>
        <w:rPr>
          <w:rStyle w:val="fontstyle01"/>
        </w:rPr>
        <w:t xml:space="preserve">, ainda não foi regulamentado. Em que pese tal fato, os servidores cujo ingresso no </w:t>
      </w:r>
      <w:r w:rsidR="00EC750B">
        <w:rPr>
          <w:rStyle w:val="fontstyle01"/>
        </w:rPr>
        <w:t>e</w:t>
      </w:r>
      <w:r>
        <w:rPr>
          <w:rStyle w:val="fontstyle01"/>
        </w:rPr>
        <w:t xml:space="preserve">stado </w:t>
      </w:r>
      <w:r w:rsidR="001603D3">
        <w:rPr>
          <w:rStyle w:val="fontstyle01"/>
        </w:rPr>
        <w:t>foi</w:t>
      </w:r>
      <w:r>
        <w:rPr>
          <w:rStyle w:val="fontstyle01"/>
        </w:rPr>
        <w:t xml:space="preserve"> posterior àquela data passa</w:t>
      </w:r>
      <w:r w:rsidR="00596F16">
        <w:rPr>
          <w:rStyle w:val="fontstyle01"/>
        </w:rPr>
        <w:t>ra</w:t>
      </w:r>
      <w:r>
        <w:rPr>
          <w:rStyle w:val="fontstyle01"/>
        </w:rPr>
        <w:t>m, no R</w:t>
      </w:r>
      <w:r w:rsidR="00EC750B">
        <w:rPr>
          <w:rStyle w:val="fontstyle01"/>
        </w:rPr>
        <w:t>PPS</w:t>
      </w:r>
      <w:r>
        <w:rPr>
          <w:rStyle w:val="fontstyle01"/>
        </w:rPr>
        <w:t xml:space="preserve">, a se submeter ao teto do RGPS. </w:t>
      </w:r>
    </w:p>
    <w:p w:rsidR="00B3040F" w:rsidRDefault="00B3040F" w:rsidP="00D51CB7">
      <w:pPr>
        <w:spacing w:after="120" w:line="360" w:lineRule="auto"/>
        <w:jc w:val="both"/>
        <w:rPr>
          <w:rStyle w:val="fontstyle01"/>
        </w:rPr>
      </w:pPr>
    </w:p>
    <w:p w:rsidR="009B55DC" w:rsidRPr="009B55DC" w:rsidRDefault="009B55DC" w:rsidP="00D51CB7">
      <w:pPr>
        <w:spacing w:after="120" w:line="360" w:lineRule="auto"/>
        <w:jc w:val="both"/>
        <w:rPr>
          <w:rFonts w:ascii="ArialMT" w:hAnsi="ArialMT"/>
          <w:b/>
          <w:color w:val="000000"/>
          <w:sz w:val="24"/>
          <w:szCs w:val="24"/>
        </w:rPr>
      </w:pPr>
      <w:r w:rsidRPr="009B55DC">
        <w:rPr>
          <w:rFonts w:ascii="ArialMT" w:hAnsi="ArialMT"/>
          <w:b/>
          <w:color w:val="000000"/>
          <w:sz w:val="24"/>
          <w:szCs w:val="24"/>
        </w:rPr>
        <w:lastRenderedPageBreak/>
        <w:t>2.2 Arranjo da previdência dos servidores militares</w:t>
      </w:r>
    </w:p>
    <w:p w:rsidR="009B55DC" w:rsidRDefault="009B55DC" w:rsidP="00D51CB7">
      <w:pPr>
        <w:spacing w:after="120" w:line="360" w:lineRule="auto"/>
        <w:jc w:val="both"/>
        <w:rPr>
          <w:rFonts w:ascii="ArialMT" w:hAnsi="ArialMT"/>
          <w:color w:val="000000"/>
          <w:sz w:val="24"/>
          <w:szCs w:val="24"/>
        </w:rPr>
      </w:pPr>
      <w:r>
        <w:rPr>
          <w:rFonts w:ascii="ArialMT" w:hAnsi="ArialMT"/>
          <w:color w:val="000000"/>
          <w:sz w:val="24"/>
          <w:szCs w:val="24"/>
        </w:rPr>
        <w:t>T</w:t>
      </w:r>
      <w:r w:rsidR="007F40BD" w:rsidRPr="00155DDD">
        <w:rPr>
          <w:rFonts w:ascii="ArialMT" w:hAnsi="ArialMT"/>
          <w:color w:val="000000"/>
          <w:sz w:val="24"/>
          <w:szCs w:val="24"/>
        </w:rPr>
        <w:t xml:space="preserve">endo em vista a distinção estabelecida </w:t>
      </w:r>
      <w:r w:rsidR="007F40BD">
        <w:rPr>
          <w:rFonts w:ascii="ArialMT" w:hAnsi="ArialMT"/>
          <w:color w:val="000000"/>
          <w:sz w:val="24"/>
          <w:szCs w:val="24"/>
        </w:rPr>
        <w:t xml:space="preserve">pela </w:t>
      </w:r>
      <w:r w:rsidR="007F40BD" w:rsidRPr="00155DDD">
        <w:rPr>
          <w:rFonts w:ascii="ArialMT" w:hAnsi="ArialMT"/>
          <w:color w:val="000000"/>
          <w:sz w:val="24"/>
          <w:szCs w:val="24"/>
        </w:rPr>
        <w:t>Lei nº 9.717/1998 entre servidores e militares</w:t>
      </w:r>
      <w:r w:rsidR="007F40BD">
        <w:rPr>
          <w:rFonts w:ascii="ArialMT" w:hAnsi="ArialMT"/>
          <w:color w:val="000000"/>
          <w:sz w:val="24"/>
          <w:szCs w:val="24"/>
        </w:rPr>
        <w:t>,</w:t>
      </w:r>
      <w:r w:rsidR="007F40BD" w:rsidRPr="00155DDD">
        <w:rPr>
          <w:rFonts w:ascii="ArialMT" w:hAnsi="ArialMT"/>
          <w:color w:val="000000"/>
          <w:sz w:val="24"/>
          <w:szCs w:val="24"/>
        </w:rPr>
        <w:t xml:space="preserve"> essa categoria não integra o RPPS instituído no estado pela LC 64/2002</w:t>
      </w:r>
      <w:r w:rsidR="007F40BD">
        <w:rPr>
          <w:rFonts w:ascii="ArialMT" w:hAnsi="ArialMT"/>
          <w:color w:val="000000"/>
          <w:sz w:val="24"/>
          <w:szCs w:val="24"/>
        </w:rPr>
        <w:t xml:space="preserve">. </w:t>
      </w:r>
    </w:p>
    <w:p w:rsidR="00FE0C27" w:rsidRPr="00FE0C27" w:rsidRDefault="00FE0C27" w:rsidP="00D51CB7">
      <w:pPr>
        <w:spacing w:after="120" w:line="360" w:lineRule="auto"/>
        <w:jc w:val="both"/>
        <w:rPr>
          <w:rStyle w:val="fontstyle01"/>
        </w:rPr>
      </w:pPr>
      <w:r w:rsidRPr="00FE0C27">
        <w:rPr>
          <w:rStyle w:val="fontstyle01"/>
        </w:rPr>
        <w:t xml:space="preserve">Com regramento </w:t>
      </w:r>
      <w:r w:rsidR="008D4330">
        <w:rPr>
          <w:rStyle w:val="fontstyle01"/>
        </w:rPr>
        <w:t xml:space="preserve">próprio estabelecido pela </w:t>
      </w:r>
      <w:r w:rsidR="00724065">
        <w:rPr>
          <w:rStyle w:val="fontstyle01"/>
        </w:rPr>
        <w:t>L</w:t>
      </w:r>
      <w:r w:rsidR="00724065" w:rsidRPr="00FE0C27">
        <w:rPr>
          <w:rStyle w:val="fontstyle01"/>
        </w:rPr>
        <w:t>ei 10366, de</w:t>
      </w:r>
      <w:r w:rsidR="00724065" w:rsidRPr="009B55DC">
        <w:rPr>
          <w:rFonts w:ascii="ArialMT" w:hAnsi="ArialMT"/>
          <w:color w:val="000000"/>
          <w:sz w:val="24"/>
          <w:szCs w:val="24"/>
        </w:rPr>
        <w:t xml:space="preserve"> 28/12/1990</w:t>
      </w:r>
      <w:r w:rsidRPr="00FE0C27">
        <w:rPr>
          <w:rStyle w:val="fontstyle01"/>
        </w:rPr>
        <w:t xml:space="preserve">, o militar da ativa, da reserva remunerada, o reformado e o juiz militar do Tribunal de Justiça Militar do Estado de Minas Gerais são segurados compulsórios do Instituto de Previdência dos Servidores Militares (IPSM), responsável pela concessão dos benefícios </w:t>
      </w:r>
      <w:r>
        <w:rPr>
          <w:rStyle w:val="fontstyle01"/>
        </w:rPr>
        <w:t xml:space="preserve">de </w:t>
      </w:r>
      <w:r w:rsidRPr="00FE0C27">
        <w:rPr>
          <w:rStyle w:val="fontstyle01"/>
        </w:rPr>
        <w:t>assistência à saúde</w:t>
      </w:r>
      <w:r>
        <w:rPr>
          <w:rStyle w:val="fontstyle01"/>
        </w:rPr>
        <w:t xml:space="preserve">, </w:t>
      </w:r>
      <w:r w:rsidRPr="00FE0C27">
        <w:rPr>
          <w:rStyle w:val="fontstyle01"/>
        </w:rPr>
        <w:t>auxílio-natalidade</w:t>
      </w:r>
      <w:r w:rsidR="00CE45F7">
        <w:rPr>
          <w:rStyle w:val="fontstyle01"/>
        </w:rPr>
        <w:t>,</w:t>
      </w:r>
      <w:r>
        <w:rPr>
          <w:rStyle w:val="fontstyle01"/>
        </w:rPr>
        <w:t xml:space="preserve"> </w:t>
      </w:r>
      <w:r w:rsidRPr="00FE0C27">
        <w:rPr>
          <w:rStyle w:val="fontstyle01"/>
        </w:rPr>
        <w:t>auxílio-funeral</w:t>
      </w:r>
      <w:r w:rsidR="00CE45F7">
        <w:rPr>
          <w:rStyle w:val="fontstyle01"/>
        </w:rPr>
        <w:t xml:space="preserve"> (para o segurado) e </w:t>
      </w:r>
      <w:r w:rsidRPr="00FE0C27">
        <w:rPr>
          <w:rStyle w:val="fontstyle01"/>
        </w:rPr>
        <w:t>pensão</w:t>
      </w:r>
      <w:r w:rsidR="00CE45F7">
        <w:rPr>
          <w:rStyle w:val="fontstyle01"/>
        </w:rPr>
        <w:t xml:space="preserve">, </w:t>
      </w:r>
      <w:r w:rsidRPr="00FE0C27">
        <w:rPr>
          <w:rStyle w:val="fontstyle01"/>
        </w:rPr>
        <w:t>pecúlio</w:t>
      </w:r>
      <w:r w:rsidR="00CE45F7">
        <w:rPr>
          <w:rStyle w:val="fontstyle01"/>
        </w:rPr>
        <w:t xml:space="preserve">, </w:t>
      </w:r>
      <w:r w:rsidRPr="00FE0C27">
        <w:rPr>
          <w:rStyle w:val="fontstyle01"/>
        </w:rPr>
        <w:t>assistência à saúde;</w:t>
      </w:r>
      <w:r w:rsidR="00CE45F7">
        <w:rPr>
          <w:rStyle w:val="fontstyle01"/>
        </w:rPr>
        <w:t xml:space="preserve"> </w:t>
      </w:r>
      <w:r w:rsidRPr="00FE0C27">
        <w:rPr>
          <w:rStyle w:val="fontstyle01"/>
        </w:rPr>
        <w:t>auxílio-reclusão</w:t>
      </w:r>
      <w:r w:rsidR="00CE45F7">
        <w:rPr>
          <w:rStyle w:val="fontstyle01"/>
        </w:rPr>
        <w:t xml:space="preserve"> </w:t>
      </w:r>
      <w:r w:rsidRPr="00FE0C27">
        <w:rPr>
          <w:rStyle w:val="fontstyle01"/>
        </w:rPr>
        <w:t>e</w:t>
      </w:r>
      <w:r w:rsidR="00CE45F7">
        <w:rPr>
          <w:rStyle w:val="fontstyle01"/>
        </w:rPr>
        <w:t xml:space="preserve"> </w:t>
      </w:r>
      <w:r w:rsidRPr="00FE0C27">
        <w:rPr>
          <w:rStyle w:val="fontstyle01"/>
        </w:rPr>
        <w:t>auxílio-funeral</w:t>
      </w:r>
      <w:r w:rsidR="00CE45F7">
        <w:rPr>
          <w:rStyle w:val="fontstyle01"/>
        </w:rPr>
        <w:t xml:space="preserve"> (ao dependente)</w:t>
      </w:r>
      <w:r w:rsidRPr="00FE0C27">
        <w:rPr>
          <w:rStyle w:val="fontstyle01"/>
        </w:rPr>
        <w:t>.</w:t>
      </w:r>
      <w:r w:rsidR="00724065">
        <w:rPr>
          <w:rStyle w:val="fontstyle01"/>
        </w:rPr>
        <w:t xml:space="preserve"> </w:t>
      </w:r>
      <w:r w:rsidR="00F779A1">
        <w:rPr>
          <w:rStyle w:val="fontstyle01"/>
        </w:rPr>
        <w:t>O</w:t>
      </w:r>
      <w:r w:rsidR="00F779A1" w:rsidRPr="00F779A1">
        <w:rPr>
          <w:rStyle w:val="fontstyle01"/>
        </w:rPr>
        <w:t>s benefícios e serviços são custeados pelas contribuições</w:t>
      </w:r>
      <w:r w:rsidR="00F779A1" w:rsidRPr="008D4330">
        <w:rPr>
          <w:rStyle w:val="fontstyle01"/>
        </w:rPr>
        <w:t xml:space="preserve"> cujas</w:t>
      </w:r>
      <w:r w:rsidR="00724065">
        <w:rPr>
          <w:rStyle w:val="fontstyle01"/>
        </w:rPr>
        <w:t xml:space="preserve"> alíquotas são</w:t>
      </w:r>
      <w:r w:rsidR="00F779A1">
        <w:rPr>
          <w:rStyle w:val="fontstyle01"/>
        </w:rPr>
        <w:t xml:space="preserve"> de 8% do </w:t>
      </w:r>
      <w:r w:rsidR="008D4330">
        <w:rPr>
          <w:rStyle w:val="fontstyle01"/>
        </w:rPr>
        <w:t xml:space="preserve">estipêndio de contribuição </w:t>
      </w:r>
      <w:r w:rsidR="00187AAB">
        <w:rPr>
          <w:rStyle w:val="fontstyle01"/>
        </w:rPr>
        <w:t xml:space="preserve">para o segurado </w:t>
      </w:r>
      <w:r w:rsidR="00F779A1">
        <w:rPr>
          <w:rStyle w:val="fontstyle01"/>
        </w:rPr>
        <w:t xml:space="preserve">e </w:t>
      </w:r>
      <w:r w:rsidR="00187AAB">
        <w:rPr>
          <w:rStyle w:val="fontstyle01"/>
        </w:rPr>
        <w:t xml:space="preserve">de </w:t>
      </w:r>
      <w:r w:rsidR="00F779A1">
        <w:rPr>
          <w:rStyle w:val="fontstyle01"/>
        </w:rPr>
        <w:t>20% para o Estado.</w:t>
      </w:r>
    </w:p>
    <w:p w:rsidR="003D2BC8" w:rsidRDefault="007F40BD" w:rsidP="00D51CB7">
      <w:pPr>
        <w:spacing w:after="120" w:line="360" w:lineRule="auto"/>
        <w:jc w:val="both"/>
        <w:rPr>
          <w:rFonts w:ascii="ArialMT" w:hAnsi="ArialMT"/>
          <w:color w:val="000000"/>
          <w:sz w:val="24"/>
          <w:szCs w:val="24"/>
        </w:rPr>
      </w:pPr>
      <w:bookmarkStart w:id="2" w:name="_Hlk511035982"/>
      <w:r w:rsidRPr="009B55DC">
        <w:rPr>
          <w:rStyle w:val="fontstyle01"/>
        </w:rPr>
        <w:t xml:space="preserve">As aposentadorias são de responsabilidade do Tesouro Estadual. As alíquotas de contribuição </w:t>
      </w:r>
      <w:r w:rsidR="00187AAB">
        <w:rPr>
          <w:rStyle w:val="fontstyle01"/>
        </w:rPr>
        <w:t xml:space="preserve">são de 3,5% </w:t>
      </w:r>
      <w:r w:rsidRPr="009B55DC">
        <w:rPr>
          <w:rStyle w:val="fontstyle01"/>
        </w:rPr>
        <w:t xml:space="preserve">dos segurados ativos </w:t>
      </w:r>
      <w:r w:rsidR="00615A43" w:rsidRPr="009B55DC">
        <w:rPr>
          <w:rStyle w:val="fontstyle01"/>
        </w:rPr>
        <w:t xml:space="preserve">e inativos </w:t>
      </w:r>
      <w:r w:rsidR="00187AAB" w:rsidRPr="00D846BB">
        <w:rPr>
          <w:rStyle w:val="fontstyle01"/>
          <w:highlight w:val="yellow"/>
        </w:rPr>
        <w:t xml:space="preserve">e de </w:t>
      </w:r>
      <w:r w:rsidRPr="00D846BB">
        <w:rPr>
          <w:rFonts w:ascii="ArialMT" w:hAnsi="ArialMT"/>
          <w:color w:val="000000"/>
          <w:sz w:val="24"/>
          <w:szCs w:val="24"/>
          <w:highlight w:val="yellow"/>
        </w:rPr>
        <w:t>20%</w:t>
      </w:r>
      <w:r w:rsidR="00D846BB">
        <w:rPr>
          <w:rFonts w:ascii="ArialMT" w:hAnsi="ArialMT"/>
          <w:color w:val="000000"/>
          <w:sz w:val="24"/>
          <w:szCs w:val="24"/>
          <w:highlight w:val="yellow"/>
        </w:rPr>
        <w:t xml:space="preserve"> (?) para o Estado</w:t>
      </w:r>
      <w:r w:rsidR="0091668D" w:rsidRPr="00D846BB">
        <w:rPr>
          <w:rFonts w:ascii="ArialMT" w:hAnsi="ArialMT"/>
          <w:color w:val="000000"/>
          <w:sz w:val="24"/>
          <w:szCs w:val="24"/>
          <w:highlight w:val="yellow"/>
        </w:rPr>
        <w:t>.</w:t>
      </w:r>
      <w:r w:rsidR="00941328">
        <w:rPr>
          <w:rFonts w:ascii="ArialMT" w:hAnsi="ArialMT"/>
          <w:color w:val="000000"/>
          <w:sz w:val="24"/>
          <w:szCs w:val="24"/>
          <w:highlight w:val="yellow"/>
        </w:rPr>
        <w:t xml:space="preserve"> </w:t>
      </w:r>
      <w:r w:rsidR="00941328" w:rsidRPr="00941328">
        <w:rPr>
          <w:rFonts w:ascii="ArialMT" w:hAnsi="ArialMT"/>
          <w:color w:val="000000"/>
          <w:sz w:val="24"/>
          <w:szCs w:val="24"/>
        </w:rPr>
        <w:t xml:space="preserve">O quadro 1 </w:t>
      </w:r>
      <w:r w:rsidR="00EC4A53">
        <w:rPr>
          <w:rFonts w:ascii="ArialMT" w:hAnsi="ArialMT"/>
          <w:color w:val="000000"/>
          <w:sz w:val="24"/>
          <w:szCs w:val="24"/>
        </w:rPr>
        <w:t xml:space="preserve">compara as regras de contribuição do RPPS com </w:t>
      </w:r>
      <w:proofErr w:type="gramStart"/>
      <w:r w:rsidR="003D2BC8">
        <w:rPr>
          <w:rFonts w:ascii="ArialMT" w:hAnsi="ArialMT"/>
          <w:color w:val="000000"/>
          <w:sz w:val="24"/>
          <w:szCs w:val="24"/>
        </w:rPr>
        <w:t>a</w:t>
      </w:r>
      <w:r w:rsidR="00EC4A53">
        <w:rPr>
          <w:rFonts w:ascii="ArialMT" w:hAnsi="ArialMT"/>
          <w:color w:val="000000"/>
          <w:sz w:val="24"/>
          <w:szCs w:val="24"/>
        </w:rPr>
        <w:t>quelas referentes</w:t>
      </w:r>
      <w:proofErr w:type="gramEnd"/>
      <w:r w:rsidR="00EC4A53">
        <w:rPr>
          <w:rFonts w:ascii="ArialMT" w:hAnsi="ArialMT"/>
          <w:color w:val="000000"/>
          <w:sz w:val="24"/>
          <w:szCs w:val="24"/>
        </w:rPr>
        <w:t xml:space="preserve"> aos militares. </w:t>
      </w:r>
      <w:r w:rsidR="003D2BC8">
        <w:rPr>
          <w:rFonts w:ascii="ArialMT" w:hAnsi="ArialMT"/>
          <w:color w:val="000000"/>
          <w:sz w:val="24"/>
          <w:szCs w:val="24"/>
        </w:rPr>
        <w:t>Além das diferenças</w:t>
      </w:r>
      <w:r w:rsidR="00024F38">
        <w:rPr>
          <w:rFonts w:ascii="ArialMT" w:hAnsi="ArialMT"/>
          <w:color w:val="000000"/>
          <w:sz w:val="24"/>
          <w:szCs w:val="24"/>
        </w:rPr>
        <w:t xml:space="preserve"> explicitadas</w:t>
      </w:r>
      <w:r w:rsidR="003D2BC8">
        <w:rPr>
          <w:rFonts w:ascii="ArialMT" w:hAnsi="ArialMT"/>
          <w:color w:val="000000"/>
          <w:sz w:val="24"/>
          <w:szCs w:val="24"/>
        </w:rPr>
        <w:t xml:space="preserve">, deve-se acrescentar que os militares têm um tempo de contribuição menor (30/25, para homens/mulheres), não têm idade mínima e, ao se aposentarem, recebem </w:t>
      </w:r>
      <w:r w:rsidR="003D2BC8" w:rsidRPr="00F34A6E">
        <w:rPr>
          <w:rFonts w:ascii="ArialMT" w:hAnsi="ArialMT"/>
          <w:color w:val="000000"/>
          <w:sz w:val="24"/>
          <w:szCs w:val="24"/>
        </w:rPr>
        <w:t xml:space="preserve">promoção automática </w:t>
      </w:r>
      <w:r w:rsidR="003D2BC8">
        <w:rPr>
          <w:rFonts w:ascii="ArialMT" w:hAnsi="ArialMT"/>
          <w:color w:val="000000"/>
          <w:sz w:val="24"/>
          <w:szCs w:val="24"/>
        </w:rPr>
        <w:t xml:space="preserve">elevando o </w:t>
      </w:r>
      <w:r w:rsidR="003D2BC8" w:rsidRPr="00F34A6E">
        <w:rPr>
          <w:rFonts w:ascii="ArialMT" w:hAnsi="ArialMT"/>
          <w:color w:val="000000"/>
          <w:sz w:val="24"/>
          <w:szCs w:val="24"/>
        </w:rPr>
        <w:t>valor do benefício</w:t>
      </w:r>
      <w:r w:rsidR="003D2BC8">
        <w:rPr>
          <w:rFonts w:ascii="ArialMT" w:hAnsi="ArialMT"/>
          <w:color w:val="000000"/>
          <w:sz w:val="24"/>
          <w:szCs w:val="24"/>
        </w:rPr>
        <w:t>.</w:t>
      </w:r>
    </w:p>
    <w:p w:rsidR="006F6CE1" w:rsidRPr="00941328" w:rsidRDefault="005C3111" w:rsidP="00156460">
      <w:pPr>
        <w:jc w:val="both"/>
        <w:rPr>
          <w:rFonts w:ascii="ArialMT" w:hAnsi="ArialMT"/>
          <w:color w:val="000000"/>
          <w:sz w:val="24"/>
          <w:szCs w:val="24"/>
        </w:rPr>
      </w:pPr>
    </w:p>
    <w:bookmarkEnd w:id="2"/>
    <w:p w:rsidR="00E708D1" w:rsidRPr="00637C70" w:rsidRDefault="00596F16" w:rsidP="006B7655">
      <w:pPr>
        <w:jc w:val="center"/>
        <w:rPr>
          <w:rStyle w:val="fontstyle01"/>
          <w:sz w:val="22"/>
          <w:szCs w:val="22"/>
        </w:rPr>
      </w:pPr>
      <w:r w:rsidRPr="00637C70">
        <w:rPr>
          <w:rStyle w:val="fontstyle01"/>
          <w:sz w:val="22"/>
          <w:szCs w:val="22"/>
        </w:rPr>
        <w:t>Quadro 1:</w:t>
      </w:r>
      <w:r w:rsidR="006C7DBA" w:rsidRPr="00637C70">
        <w:rPr>
          <w:rStyle w:val="fontstyle01"/>
          <w:sz w:val="22"/>
          <w:szCs w:val="22"/>
        </w:rPr>
        <w:t xml:space="preserve">Diferenças entre as regras </w:t>
      </w:r>
      <w:r w:rsidR="00E129C1" w:rsidRPr="00637C70">
        <w:rPr>
          <w:rStyle w:val="fontstyle01"/>
          <w:sz w:val="22"/>
          <w:szCs w:val="22"/>
        </w:rPr>
        <w:t xml:space="preserve">da previdência </w:t>
      </w:r>
      <w:r w:rsidR="006C7DBA" w:rsidRPr="00637C70">
        <w:rPr>
          <w:rStyle w:val="fontstyle01"/>
          <w:sz w:val="22"/>
          <w:szCs w:val="22"/>
        </w:rPr>
        <w:t>do RPPS e dos militares</w:t>
      </w:r>
    </w:p>
    <w:tbl>
      <w:tblPr>
        <w:tblStyle w:val="Tabelacomgrade"/>
        <w:tblW w:w="0" w:type="auto"/>
        <w:tblLook w:val="04A0" w:firstRow="1" w:lastRow="0" w:firstColumn="1" w:lastColumn="0" w:noHBand="0" w:noVBand="1"/>
      </w:tblPr>
      <w:tblGrid>
        <w:gridCol w:w="4247"/>
        <w:gridCol w:w="4247"/>
      </w:tblGrid>
      <w:tr w:rsidR="00E949E6" w:rsidRPr="00637C70" w:rsidTr="00E949E6">
        <w:tc>
          <w:tcPr>
            <w:tcW w:w="4247" w:type="dxa"/>
          </w:tcPr>
          <w:p w:rsidR="00E949E6" w:rsidRPr="00637C70" w:rsidRDefault="00E949E6" w:rsidP="00E949E6">
            <w:pPr>
              <w:jc w:val="center"/>
              <w:rPr>
                <w:rStyle w:val="fontstyle01"/>
                <w:b/>
                <w:sz w:val="22"/>
                <w:szCs w:val="22"/>
              </w:rPr>
            </w:pPr>
            <w:r w:rsidRPr="00637C70">
              <w:rPr>
                <w:rStyle w:val="fontstyle01"/>
                <w:b/>
                <w:sz w:val="22"/>
                <w:szCs w:val="22"/>
              </w:rPr>
              <w:t>RPPS</w:t>
            </w:r>
          </w:p>
        </w:tc>
        <w:tc>
          <w:tcPr>
            <w:tcW w:w="4247" w:type="dxa"/>
          </w:tcPr>
          <w:p w:rsidR="00E949E6" w:rsidRPr="00637C70" w:rsidRDefault="00E949E6" w:rsidP="00E949E6">
            <w:pPr>
              <w:jc w:val="center"/>
              <w:rPr>
                <w:rStyle w:val="fontstyle01"/>
                <w:b/>
                <w:sz w:val="22"/>
                <w:szCs w:val="22"/>
              </w:rPr>
            </w:pPr>
            <w:r w:rsidRPr="00637C70">
              <w:rPr>
                <w:rStyle w:val="fontstyle01"/>
                <w:b/>
                <w:sz w:val="22"/>
                <w:szCs w:val="22"/>
              </w:rPr>
              <w:t>Militares</w:t>
            </w:r>
          </w:p>
        </w:tc>
      </w:tr>
      <w:tr w:rsidR="00E949E6" w:rsidRPr="00637C70" w:rsidTr="00E949E6">
        <w:tc>
          <w:tcPr>
            <w:tcW w:w="4247" w:type="dxa"/>
          </w:tcPr>
          <w:p w:rsidR="00E949E6" w:rsidRPr="00637C70" w:rsidRDefault="00E949E6" w:rsidP="00156460">
            <w:pPr>
              <w:jc w:val="both"/>
              <w:rPr>
                <w:rStyle w:val="fontstyle01"/>
                <w:b/>
                <w:sz w:val="22"/>
                <w:szCs w:val="22"/>
              </w:rPr>
            </w:pPr>
            <w:r w:rsidRPr="00637C70">
              <w:rPr>
                <w:rStyle w:val="fontstyle01"/>
                <w:b/>
                <w:sz w:val="22"/>
                <w:szCs w:val="22"/>
              </w:rPr>
              <w:t>Alíquota de contribuição:</w:t>
            </w:r>
          </w:p>
        </w:tc>
        <w:tc>
          <w:tcPr>
            <w:tcW w:w="4247" w:type="dxa"/>
          </w:tcPr>
          <w:p w:rsidR="00E949E6" w:rsidRPr="00637C70" w:rsidRDefault="00E949E6" w:rsidP="00156460">
            <w:pPr>
              <w:jc w:val="both"/>
              <w:rPr>
                <w:rStyle w:val="fontstyle01"/>
                <w:sz w:val="22"/>
                <w:szCs w:val="22"/>
              </w:rPr>
            </w:pPr>
            <w:r w:rsidRPr="00637C70">
              <w:rPr>
                <w:rStyle w:val="fontstyle01"/>
                <w:b/>
                <w:sz w:val="22"/>
                <w:szCs w:val="22"/>
              </w:rPr>
              <w:t>Alíquota de contribuição</w:t>
            </w:r>
          </w:p>
        </w:tc>
      </w:tr>
      <w:tr w:rsidR="00E949E6" w:rsidRPr="00637C70" w:rsidTr="00E949E6">
        <w:tc>
          <w:tcPr>
            <w:tcW w:w="4247" w:type="dxa"/>
          </w:tcPr>
          <w:p w:rsidR="00E949E6" w:rsidRPr="00637C70" w:rsidRDefault="00E949E6" w:rsidP="00E949E6">
            <w:pPr>
              <w:pStyle w:val="PargrafodaLista"/>
              <w:numPr>
                <w:ilvl w:val="0"/>
                <w:numId w:val="2"/>
              </w:numPr>
              <w:jc w:val="both"/>
              <w:rPr>
                <w:rStyle w:val="fontstyle01"/>
                <w:sz w:val="22"/>
                <w:szCs w:val="22"/>
              </w:rPr>
            </w:pPr>
            <w:r w:rsidRPr="00637C70">
              <w:rPr>
                <w:rStyle w:val="fontstyle01"/>
                <w:sz w:val="22"/>
                <w:szCs w:val="22"/>
              </w:rPr>
              <w:t xml:space="preserve">Segurado: 11% para aposentadoria e pensão </w:t>
            </w:r>
            <w:r w:rsidR="00E43988" w:rsidRPr="00637C70">
              <w:rPr>
                <w:rStyle w:val="fontstyle01"/>
                <w:sz w:val="22"/>
                <w:szCs w:val="22"/>
              </w:rPr>
              <w:t>(1)</w:t>
            </w:r>
          </w:p>
        </w:tc>
        <w:tc>
          <w:tcPr>
            <w:tcW w:w="4247" w:type="dxa"/>
          </w:tcPr>
          <w:p w:rsidR="00E949E6" w:rsidRPr="00637C70" w:rsidRDefault="00E949E6" w:rsidP="00E43988">
            <w:pPr>
              <w:pStyle w:val="PargrafodaLista"/>
              <w:numPr>
                <w:ilvl w:val="0"/>
                <w:numId w:val="2"/>
              </w:numPr>
              <w:jc w:val="both"/>
              <w:rPr>
                <w:rStyle w:val="fontstyle01"/>
                <w:sz w:val="22"/>
                <w:szCs w:val="22"/>
              </w:rPr>
            </w:pPr>
            <w:r w:rsidRPr="00637C70">
              <w:rPr>
                <w:rStyle w:val="fontstyle01"/>
                <w:sz w:val="22"/>
                <w:szCs w:val="22"/>
              </w:rPr>
              <w:t xml:space="preserve">Segurado: </w:t>
            </w:r>
            <w:r w:rsidR="00E43988" w:rsidRPr="00637C70">
              <w:rPr>
                <w:rStyle w:val="fontstyle01"/>
                <w:sz w:val="22"/>
                <w:szCs w:val="22"/>
              </w:rPr>
              <w:t>3,5 para aposentadoria e 8,5 para pensão e assistência à saúde</w:t>
            </w:r>
            <w:r w:rsidRPr="00637C70">
              <w:rPr>
                <w:rStyle w:val="fontstyle01"/>
                <w:sz w:val="22"/>
                <w:szCs w:val="22"/>
              </w:rPr>
              <w:t xml:space="preserve"> </w:t>
            </w:r>
          </w:p>
        </w:tc>
      </w:tr>
      <w:tr w:rsidR="00E949E6" w:rsidRPr="00637C70" w:rsidTr="00E949E6">
        <w:tc>
          <w:tcPr>
            <w:tcW w:w="4247" w:type="dxa"/>
          </w:tcPr>
          <w:p w:rsidR="00E949E6" w:rsidRPr="00637C70" w:rsidRDefault="00E949E6" w:rsidP="00E949E6">
            <w:pPr>
              <w:pStyle w:val="PargrafodaLista"/>
              <w:numPr>
                <w:ilvl w:val="0"/>
                <w:numId w:val="2"/>
              </w:numPr>
              <w:jc w:val="both"/>
              <w:rPr>
                <w:rStyle w:val="fontstyle01"/>
                <w:sz w:val="22"/>
                <w:szCs w:val="22"/>
              </w:rPr>
            </w:pPr>
            <w:r w:rsidRPr="00637C70">
              <w:rPr>
                <w:rStyle w:val="fontstyle01"/>
                <w:sz w:val="22"/>
                <w:szCs w:val="22"/>
              </w:rPr>
              <w:t>Patronal: 22% para aposentadoria e pensão</w:t>
            </w:r>
          </w:p>
        </w:tc>
        <w:tc>
          <w:tcPr>
            <w:tcW w:w="4247" w:type="dxa"/>
          </w:tcPr>
          <w:p w:rsidR="00E949E6" w:rsidRPr="00637C70" w:rsidRDefault="00E43988" w:rsidP="00E43988">
            <w:pPr>
              <w:pStyle w:val="PargrafodaLista"/>
              <w:numPr>
                <w:ilvl w:val="0"/>
                <w:numId w:val="2"/>
              </w:numPr>
              <w:jc w:val="both"/>
              <w:rPr>
                <w:rStyle w:val="fontstyle01"/>
                <w:sz w:val="22"/>
                <w:szCs w:val="22"/>
              </w:rPr>
            </w:pPr>
            <w:r w:rsidRPr="00637C70">
              <w:rPr>
                <w:rStyle w:val="fontstyle01"/>
                <w:sz w:val="22"/>
                <w:szCs w:val="22"/>
              </w:rPr>
              <w:t>Patronal: 20% (4% para aposentadoria e 16% para pensão e saúde)</w:t>
            </w:r>
          </w:p>
        </w:tc>
      </w:tr>
      <w:tr w:rsidR="00E949E6" w:rsidRPr="00637C70" w:rsidTr="00E949E6">
        <w:tc>
          <w:tcPr>
            <w:tcW w:w="4247" w:type="dxa"/>
          </w:tcPr>
          <w:p w:rsidR="00E949E6" w:rsidRPr="00637C70" w:rsidRDefault="00E43988" w:rsidP="00156460">
            <w:pPr>
              <w:jc w:val="both"/>
              <w:rPr>
                <w:rStyle w:val="fontstyle01"/>
                <w:b/>
                <w:sz w:val="22"/>
                <w:szCs w:val="22"/>
              </w:rPr>
            </w:pPr>
            <w:r w:rsidRPr="00637C70">
              <w:rPr>
                <w:rStyle w:val="fontstyle01"/>
                <w:b/>
                <w:sz w:val="22"/>
                <w:szCs w:val="22"/>
              </w:rPr>
              <w:t xml:space="preserve">Quem contribui: </w:t>
            </w:r>
            <w:r w:rsidRPr="00637C70">
              <w:rPr>
                <w:rStyle w:val="fontstyle01"/>
                <w:sz w:val="22"/>
                <w:szCs w:val="22"/>
              </w:rPr>
              <w:t>ativos</w:t>
            </w:r>
            <w:r w:rsidR="00E6435C" w:rsidRPr="00637C70">
              <w:rPr>
                <w:rStyle w:val="fontstyle01"/>
                <w:sz w:val="22"/>
                <w:szCs w:val="22"/>
              </w:rPr>
              <w:t xml:space="preserve">, </w:t>
            </w:r>
            <w:r w:rsidRPr="00637C70">
              <w:rPr>
                <w:rStyle w:val="fontstyle01"/>
                <w:sz w:val="22"/>
                <w:szCs w:val="22"/>
              </w:rPr>
              <w:t xml:space="preserve">inativos </w:t>
            </w:r>
            <w:r w:rsidR="00E6435C" w:rsidRPr="00637C70">
              <w:rPr>
                <w:rStyle w:val="fontstyle01"/>
                <w:sz w:val="22"/>
                <w:szCs w:val="22"/>
              </w:rPr>
              <w:t xml:space="preserve">e pensionistas </w:t>
            </w:r>
            <w:r w:rsidRPr="00637C70">
              <w:rPr>
                <w:rStyle w:val="fontstyle01"/>
                <w:sz w:val="22"/>
                <w:szCs w:val="22"/>
              </w:rPr>
              <w:t>(2)</w:t>
            </w:r>
          </w:p>
        </w:tc>
        <w:tc>
          <w:tcPr>
            <w:tcW w:w="4247" w:type="dxa"/>
          </w:tcPr>
          <w:p w:rsidR="00E949E6" w:rsidRPr="00637C70" w:rsidRDefault="00E43988" w:rsidP="00156460">
            <w:pPr>
              <w:jc w:val="both"/>
              <w:rPr>
                <w:rStyle w:val="fontstyle01"/>
                <w:sz w:val="22"/>
                <w:szCs w:val="22"/>
              </w:rPr>
            </w:pPr>
            <w:r w:rsidRPr="00637C70">
              <w:rPr>
                <w:rStyle w:val="fontstyle01"/>
                <w:b/>
                <w:sz w:val="22"/>
                <w:szCs w:val="22"/>
              </w:rPr>
              <w:t xml:space="preserve">Quem contribui: </w:t>
            </w:r>
            <w:r w:rsidRPr="00637C70">
              <w:rPr>
                <w:rStyle w:val="fontstyle01"/>
                <w:sz w:val="22"/>
                <w:szCs w:val="22"/>
              </w:rPr>
              <w:t>ativos e inativos</w:t>
            </w:r>
          </w:p>
        </w:tc>
      </w:tr>
    </w:tbl>
    <w:p w:rsidR="00596F16" w:rsidRPr="00596F16" w:rsidRDefault="00596F16" w:rsidP="00596F16">
      <w:pPr>
        <w:jc w:val="both"/>
        <w:rPr>
          <w:rStyle w:val="fontstyle01"/>
          <w:b/>
          <w:sz w:val="20"/>
          <w:szCs w:val="20"/>
        </w:rPr>
      </w:pPr>
      <w:r w:rsidRPr="00596F16">
        <w:rPr>
          <w:rStyle w:val="fontstyle01"/>
          <w:sz w:val="20"/>
          <w:szCs w:val="20"/>
        </w:rPr>
        <w:t>Fonte:</w:t>
      </w:r>
      <w:r w:rsidRPr="00596F16">
        <w:rPr>
          <w:rStyle w:val="fontstyle01"/>
          <w:b/>
          <w:sz w:val="20"/>
          <w:szCs w:val="20"/>
        </w:rPr>
        <w:t xml:space="preserve"> </w:t>
      </w:r>
      <w:r w:rsidRPr="00596F16">
        <w:rPr>
          <w:rFonts w:ascii="Arial" w:hAnsi="Arial" w:cs="Arial"/>
          <w:color w:val="000000"/>
        </w:rPr>
        <w:t>DUARTE, J.M., 2017</w:t>
      </w:r>
    </w:p>
    <w:p w:rsidR="00E43988" w:rsidRPr="00596F16" w:rsidRDefault="00E43988" w:rsidP="00E43988">
      <w:pPr>
        <w:pStyle w:val="PargrafodaLista"/>
        <w:numPr>
          <w:ilvl w:val="0"/>
          <w:numId w:val="3"/>
        </w:numPr>
        <w:jc w:val="both"/>
        <w:rPr>
          <w:rStyle w:val="fontstyle01"/>
          <w:b/>
          <w:sz w:val="20"/>
          <w:szCs w:val="20"/>
        </w:rPr>
      </w:pPr>
      <w:r w:rsidRPr="00596F16">
        <w:rPr>
          <w:rStyle w:val="fontstyle01"/>
          <w:sz w:val="20"/>
          <w:szCs w:val="20"/>
        </w:rPr>
        <w:t>Para os que entraram no estado a partir de 2015, a contribuição é de 11% até o teto do RGP</w:t>
      </w:r>
    </w:p>
    <w:p w:rsidR="006C7DBA" w:rsidRPr="00E6435C" w:rsidRDefault="00E43988" w:rsidP="00E43988">
      <w:pPr>
        <w:pStyle w:val="PargrafodaLista"/>
        <w:numPr>
          <w:ilvl w:val="0"/>
          <w:numId w:val="3"/>
        </w:numPr>
        <w:jc w:val="both"/>
        <w:rPr>
          <w:rStyle w:val="fontstyle01"/>
          <w:sz w:val="20"/>
          <w:szCs w:val="20"/>
          <w:highlight w:val="yellow"/>
        </w:rPr>
      </w:pPr>
      <w:r w:rsidRPr="00596F16">
        <w:rPr>
          <w:rStyle w:val="fontstyle01"/>
          <w:b/>
          <w:sz w:val="20"/>
          <w:szCs w:val="20"/>
        </w:rPr>
        <w:t xml:space="preserve"> </w:t>
      </w:r>
      <w:r w:rsidRPr="00E6435C">
        <w:rPr>
          <w:rStyle w:val="fontstyle01"/>
          <w:sz w:val="20"/>
          <w:szCs w:val="20"/>
          <w:highlight w:val="yellow"/>
        </w:rPr>
        <w:t xml:space="preserve">Inativos </w:t>
      </w:r>
      <w:r w:rsidR="00E6435C" w:rsidRPr="00E6435C">
        <w:rPr>
          <w:rStyle w:val="fontstyle01"/>
          <w:sz w:val="20"/>
          <w:szCs w:val="20"/>
          <w:highlight w:val="yellow"/>
        </w:rPr>
        <w:t xml:space="preserve">e pensionistas </w:t>
      </w:r>
      <w:r w:rsidRPr="00E6435C">
        <w:rPr>
          <w:rStyle w:val="fontstyle01"/>
          <w:sz w:val="20"/>
          <w:szCs w:val="20"/>
          <w:highlight w:val="yellow"/>
        </w:rPr>
        <w:t>contribuem até o teto do RGP</w:t>
      </w:r>
    </w:p>
    <w:p w:rsidR="007F5D7E" w:rsidRDefault="007F5D7E" w:rsidP="00E708D1">
      <w:pPr>
        <w:jc w:val="both"/>
        <w:rPr>
          <w:rStyle w:val="fontstyle01"/>
          <w:b/>
        </w:rPr>
      </w:pPr>
    </w:p>
    <w:p w:rsidR="0041556B" w:rsidRDefault="006C7DBA" w:rsidP="0041556B">
      <w:pPr>
        <w:spacing w:line="276" w:lineRule="auto"/>
        <w:jc w:val="both"/>
        <w:rPr>
          <w:rStyle w:val="fontstyle01"/>
          <w:b/>
        </w:rPr>
      </w:pPr>
      <w:r>
        <w:rPr>
          <w:rStyle w:val="fontstyle01"/>
          <w:b/>
        </w:rPr>
        <w:lastRenderedPageBreak/>
        <w:t>3</w:t>
      </w:r>
      <w:r>
        <w:rPr>
          <w:rStyle w:val="fontstyle01"/>
          <w:b/>
        </w:rPr>
        <w:tab/>
      </w:r>
      <w:r w:rsidR="00637C70">
        <w:rPr>
          <w:rStyle w:val="fontstyle01"/>
          <w:b/>
        </w:rPr>
        <w:t>EVOLU</w:t>
      </w:r>
      <w:r w:rsidR="00637C70">
        <w:rPr>
          <w:rStyle w:val="fontstyle01"/>
          <w:rFonts w:hint="eastAsia"/>
          <w:b/>
        </w:rPr>
        <w:t>ÇÃ</w:t>
      </w:r>
      <w:r w:rsidR="00637C70">
        <w:rPr>
          <w:rStyle w:val="fontstyle01"/>
          <w:b/>
        </w:rPr>
        <w:t>O DO N</w:t>
      </w:r>
      <w:r w:rsidR="00637C70">
        <w:rPr>
          <w:rStyle w:val="fontstyle01"/>
          <w:rFonts w:hint="eastAsia"/>
          <w:b/>
        </w:rPr>
        <w:t>Ú</w:t>
      </w:r>
      <w:r w:rsidR="00637C70">
        <w:rPr>
          <w:rStyle w:val="fontstyle01"/>
          <w:b/>
        </w:rPr>
        <w:t>MERO DOS SERVIDORES P</w:t>
      </w:r>
      <w:r w:rsidR="00637C70">
        <w:rPr>
          <w:rStyle w:val="fontstyle01"/>
          <w:rFonts w:hint="eastAsia"/>
          <w:b/>
        </w:rPr>
        <w:t>Ú</w:t>
      </w:r>
      <w:r w:rsidR="00637C70">
        <w:rPr>
          <w:rStyle w:val="fontstyle01"/>
          <w:b/>
        </w:rPr>
        <w:t xml:space="preserve">BLICOS </w:t>
      </w:r>
      <w:r w:rsidR="0041556B">
        <w:rPr>
          <w:rStyle w:val="fontstyle01"/>
          <w:b/>
        </w:rPr>
        <w:t xml:space="preserve">ATIVOS, APOSENTADOS E PENSIONISTAS </w:t>
      </w:r>
      <w:r w:rsidR="0041556B">
        <w:rPr>
          <w:rStyle w:val="fontstyle01"/>
          <w:b/>
        </w:rPr>
        <w:t xml:space="preserve">DO </w:t>
      </w:r>
      <w:r w:rsidR="0041556B">
        <w:rPr>
          <w:rStyle w:val="fontstyle01"/>
          <w:b/>
        </w:rPr>
        <w:t>ESTADO DE MINAS GERAIS</w:t>
      </w:r>
    </w:p>
    <w:p w:rsidR="0041556B" w:rsidRDefault="0041556B" w:rsidP="0041556B">
      <w:pPr>
        <w:spacing w:line="276" w:lineRule="auto"/>
        <w:jc w:val="both"/>
        <w:rPr>
          <w:rStyle w:val="fontstyle01"/>
          <w:color w:val="auto"/>
        </w:rPr>
      </w:pPr>
      <w:r w:rsidRPr="00685803">
        <w:rPr>
          <w:rStyle w:val="fontstyle01"/>
          <w:color w:val="auto"/>
        </w:rPr>
        <w:t xml:space="preserve">Esta seção apresenta </w:t>
      </w:r>
      <w:r>
        <w:rPr>
          <w:rStyle w:val="fontstyle01"/>
          <w:color w:val="auto"/>
        </w:rPr>
        <w:t>estatísticas do quantitativo de servidores ativos</w:t>
      </w:r>
      <w:r w:rsidR="009210C5">
        <w:rPr>
          <w:rStyle w:val="fontstyle01"/>
          <w:color w:val="auto"/>
        </w:rPr>
        <w:t>,</w:t>
      </w:r>
      <w:r>
        <w:rPr>
          <w:rStyle w:val="fontstyle01"/>
          <w:color w:val="auto"/>
        </w:rPr>
        <w:t xml:space="preserve"> inativos</w:t>
      </w:r>
      <w:r w:rsidR="009210C5">
        <w:rPr>
          <w:rStyle w:val="fontstyle01"/>
          <w:color w:val="auto"/>
        </w:rPr>
        <w:t xml:space="preserve"> e pensionistas </w:t>
      </w:r>
      <w:r>
        <w:rPr>
          <w:rStyle w:val="fontstyle01"/>
          <w:color w:val="auto"/>
        </w:rPr>
        <w:t xml:space="preserve">tanto </w:t>
      </w:r>
      <w:r w:rsidR="009210C5">
        <w:rPr>
          <w:rStyle w:val="fontstyle01"/>
          <w:color w:val="auto"/>
        </w:rPr>
        <w:t xml:space="preserve">do RPPS quanto dos </w:t>
      </w:r>
      <w:r>
        <w:rPr>
          <w:rStyle w:val="fontstyle01"/>
          <w:color w:val="auto"/>
        </w:rPr>
        <w:t>militares. Os dados relativos ao período compreendido entre os anos de 2013 e 2016 foram obtidos através dos Anexos de Metas Fiscais das Leis de Diretrizes Orçamentárias (</w:t>
      </w:r>
      <w:proofErr w:type="spellStart"/>
      <w:r>
        <w:rPr>
          <w:rStyle w:val="fontstyle01"/>
          <w:color w:val="auto"/>
        </w:rPr>
        <w:t>LDOs</w:t>
      </w:r>
      <w:proofErr w:type="spellEnd"/>
      <w:r>
        <w:rPr>
          <w:rStyle w:val="fontstyle01"/>
          <w:color w:val="auto"/>
        </w:rPr>
        <w:t>) do Governo de Minas Gerais</w:t>
      </w:r>
      <w:r>
        <w:rPr>
          <w:rStyle w:val="Refdenotaderodap"/>
          <w:rFonts w:ascii="ArialMT" w:hAnsi="ArialMT"/>
          <w:sz w:val="24"/>
          <w:szCs w:val="24"/>
        </w:rPr>
        <w:footnoteReference w:id="6"/>
      </w:r>
      <w:r>
        <w:rPr>
          <w:rStyle w:val="fontstyle01"/>
          <w:color w:val="auto"/>
        </w:rPr>
        <w:t>. Os quantitativos relativos a 2017 tiveram como base os Relatórios de Avaliações Atuariais do FUNFIP e do IPSM.</w:t>
      </w:r>
    </w:p>
    <w:p w:rsidR="0041556B" w:rsidRDefault="009210C5" w:rsidP="0041556B">
      <w:pPr>
        <w:spacing w:line="276" w:lineRule="auto"/>
        <w:jc w:val="both"/>
        <w:rPr>
          <w:rStyle w:val="fontstyle01"/>
          <w:color w:val="auto"/>
        </w:rPr>
      </w:pPr>
      <w:r>
        <w:rPr>
          <w:rStyle w:val="fontstyle01"/>
          <w:color w:val="auto"/>
        </w:rPr>
        <w:t>No que diz respeito aos servidores cobertos pelo RPPS</w:t>
      </w:r>
      <w:r w:rsidR="008C04D0">
        <w:rPr>
          <w:rStyle w:val="fontstyle01"/>
          <w:color w:val="auto"/>
        </w:rPr>
        <w:t xml:space="preserve"> e militares</w:t>
      </w:r>
      <w:r>
        <w:rPr>
          <w:rStyle w:val="fontstyle01"/>
          <w:color w:val="auto"/>
        </w:rPr>
        <w:t>, e</w:t>
      </w:r>
      <w:r w:rsidR="0041556B">
        <w:rPr>
          <w:rStyle w:val="fontstyle01"/>
          <w:color w:val="auto"/>
        </w:rPr>
        <w:t>m 2016</w:t>
      </w:r>
      <w:r w:rsidR="0041556B">
        <w:rPr>
          <w:rStyle w:val="fontstyle01"/>
          <w:color w:val="auto"/>
        </w:rPr>
        <w:t>,</w:t>
      </w:r>
      <w:r w:rsidR="0041556B">
        <w:rPr>
          <w:rStyle w:val="fontstyle01"/>
          <w:color w:val="auto"/>
        </w:rPr>
        <w:t xml:space="preserve"> </w:t>
      </w:r>
      <w:r>
        <w:rPr>
          <w:rStyle w:val="fontstyle01"/>
          <w:color w:val="auto"/>
        </w:rPr>
        <w:t>o número total era de</w:t>
      </w:r>
      <w:r w:rsidR="0041556B">
        <w:rPr>
          <w:rStyle w:val="fontstyle01"/>
          <w:color w:val="auto"/>
        </w:rPr>
        <w:t xml:space="preserve"> 482.443</w:t>
      </w:r>
      <w:r>
        <w:rPr>
          <w:rStyle w:val="fontstyle01"/>
          <w:color w:val="auto"/>
        </w:rPr>
        <w:t xml:space="preserve">, sendo que o número de inativos (266.365) já superava o de ativos (216.078) em </w:t>
      </w:r>
      <w:r w:rsidR="0041556B">
        <w:rPr>
          <w:rStyle w:val="fontstyle01"/>
          <w:color w:val="auto"/>
        </w:rPr>
        <w:t>23,3% (Gráfico 1)</w:t>
      </w:r>
      <w:r w:rsidR="008C04D0">
        <w:rPr>
          <w:rStyle w:val="Refdenotaderodap"/>
          <w:rFonts w:ascii="ArialMT" w:hAnsi="ArialMT"/>
          <w:sz w:val="24"/>
          <w:szCs w:val="24"/>
        </w:rPr>
        <w:footnoteReference w:id="7"/>
      </w:r>
      <w:r w:rsidR="0041556B">
        <w:rPr>
          <w:rStyle w:val="fontstyle01"/>
          <w:color w:val="auto"/>
        </w:rPr>
        <w:t xml:space="preserve">. </w:t>
      </w:r>
    </w:p>
    <w:p w:rsidR="0041556B" w:rsidRDefault="0041556B" w:rsidP="0041556B">
      <w:pPr>
        <w:spacing w:after="0" w:line="276" w:lineRule="auto"/>
        <w:jc w:val="both"/>
        <w:rPr>
          <w:rStyle w:val="fontstyle01"/>
          <w:rFonts w:asciiTheme="majorHAnsi" w:hAnsiTheme="majorHAnsi" w:cstheme="majorHAnsi"/>
          <w:b/>
          <w:color w:val="auto"/>
        </w:rPr>
      </w:pPr>
    </w:p>
    <w:p w:rsidR="0041556B" w:rsidRPr="00AC29E6" w:rsidRDefault="0041556B" w:rsidP="0041556B">
      <w:pPr>
        <w:spacing w:after="0" w:line="276" w:lineRule="auto"/>
        <w:jc w:val="both"/>
        <w:rPr>
          <w:rStyle w:val="fontstyle01"/>
          <w:rFonts w:asciiTheme="majorHAnsi" w:hAnsiTheme="majorHAnsi" w:cstheme="majorHAnsi"/>
          <w:b/>
          <w:color w:val="auto"/>
        </w:rPr>
      </w:pPr>
      <w:r>
        <w:rPr>
          <w:rStyle w:val="fontstyle01"/>
          <w:rFonts w:asciiTheme="majorHAnsi" w:hAnsiTheme="majorHAnsi" w:cstheme="majorHAnsi"/>
          <w:b/>
          <w:color w:val="auto"/>
        </w:rPr>
        <w:t>Gráfico 1 – Quantitativo e Percentual de Servidores Ativos e Inativos, Civis e Militares, por Sexo</w:t>
      </w:r>
    </w:p>
    <w:tbl>
      <w:tblPr>
        <w:tblStyle w:val="Tabelacomgrade"/>
        <w:tblW w:w="0" w:type="auto"/>
        <w:tblLook w:val="04A0" w:firstRow="1" w:lastRow="0" w:firstColumn="1" w:lastColumn="0" w:noHBand="0" w:noVBand="1"/>
      </w:tblPr>
      <w:tblGrid>
        <w:gridCol w:w="4207"/>
        <w:gridCol w:w="4287"/>
      </w:tblGrid>
      <w:tr w:rsidR="0041556B" w:rsidTr="00874F40">
        <w:tc>
          <w:tcPr>
            <w:tcW w:w="4207" w:type="dxa"/>
          </w:tcPr>
          <w:p w:rsidR="0041556B" w:rsidRPr="00AC29E6" w:rsidRDefault="0041556B" w:rsidP="00874F40">
            <w:pPr>
              <w:spacing w:line="276" w:lineRule="auto"/>
              <w:jc w:val="center"/>
              <w:rPr>
                <w:rStyle w:val="fontstyle01"/>
                <w:b/>
                <w:noProof/>
                <w:color w:val="auto"/>
                <w:sz w:val="20"/>
                <w:szCs w:val="20"/>
                <w:lang w:eastAsia="pt-BR"/>
              </w:rPr>
            </w:pPr>
            <w:r w:rsidRPr="00AC29E6">
              <w:rPr>
                <w:rStyle w:val="fontstyle01"/>
                <w:rFonts w:asciiTheme="majorHAnsi" w:hAnsiTheme="majorHAnsi" w:cstheme="majorHAnsi"/>
                <w:b/>
                <w:noProof/>
                <w:color w:val="auto"/>
                <w:sz w:val="20"/>
                <w:szCs w:val="20"/>
                <w:lang w:eastAsia="pt-BR"/>
              </w:rPr>
              <w:t>Número de Servidores Ativos e Inativos Civis e Militares de acordo com o sexo.</w:t>
            </w:r>
          </w:p>
          <w:p w:rsidR="0041556B" w:rsidRDefault="0041556B" w:rsidP="00874F40">
            <w:pPr>
              <w:spacing w:line="276" w:lineRule="auto"/>
              <w:ind w:left="-108"/>
              <w:jc w:val="center"/>
              <w:rPr>
                <w:rStyle w:val="fontstyle01"/>
                <w:b/>
                <w:color w:val="auto"/>
              </w:rPr>
            </w:pPr>
            <w:r w:rsidRPr="000E293D">
              <w:rPr>
                <w:rStyle w:val="fontstyle01"/>
                <w:b/>
                <w:noProof/>
                <w:color w:val="auto"/>
                <w:lang w:eastAsia="pt-BR"/>
              </w:rPr>
              <w:drawing>
                <wp:inline distT="0" distB="0" distL="0" distR="0" wp14:anchorId="35EC34B9" wp14:editId="41AF67C3">
                  <wp:extent cx="2646947" cy="741513"/>
                  <wp:effectExtent l="0" t="0" r="1270" b="19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4632" cy="754871"/>
                          </a:xfrm>
                          <a:prstGeom prst="rect">
                            <a:avLst/>
                          </a:prstGeom>
                          <a:noFill/>
                          <a:ln>
                            <a:noFill/>
                          </a:ln>
                        </pic:spPr>
                      </pic:pic>
                    </a:graphicData>
                  </a:graphic>
                </wp:inline>
              </w:drawing>
            </w:r>
          </w:p>
        </w:tc>
        <w:tc>
          <w:tcPr>
            <w:tcW w:w="4287" w:type="dxa"/>
          </w:tcPr>
          <w:p w:rsidR="0041556B" w:rsidRPr="00AC29E6" w:rsidRDefault="0041556B" w:rsidP="00874F40">
            <w:pPr>
              <w:spacing w:line="276" w:lineRule="auto"/>
              <w:jc w:val="center"/>
              <w:rPr>
                <w:rStyle w:val="fontstyle01"/>
                <w:rFonts w:asciiTheme="majorHAnsi" w:hAnsiTheme="majorHAnsi" w:cstheme="majorHAnsi"/>
                <w:b/>
                <w:noProof/>
                <w:color w:val="auto"/>
                <w:sz w:val="20"/>
                <w:szCs w:val="20"/>
                <w:lang w:eastAsia="pt-BR"/>
              </w:rPr>
            </w:pPr>
            <w:r w:rsidRPr="00AC29E6">
              <w:rPr>
                <w:rStyle w:val="fontstyle01"/>
                <w:rFonts w:asciiTheme="majorHAnsi" w:hAnsiTheme="majorHAnsi" w:cstheme="majorHAnsi"/>
                <w:b/>
                <w:noProof/>
                <w:color w:val="auto"/>
                <w:sz w:val="20"/>
                <w:szCs w:val="20"/>
                <w:lang w:eastAsia="pt-BR"/>
              </w:rPr>
              <w:t>Percentual Geral de Servidores Ativos e Inativos Civis e Militares de acordo com o sexo.</w:t>
            </w:r>
          </w:p>
          <w:p w:rsidR="0041556B" w:rsidRPr="00AC29E6" w:rsidRDefault="0041556B" w:rsidP="00874F40">
            <w:pPr>
              <w:spacing w:line="276" w:lineRule="auto"/>
              <w:ind w:left="-88"/>
              <w:jc w:val="center"/>
              <w:rPr>
                <w:rStyle w:val="fontstyle01"/>
                <w:b/>
                <w:noProof/>
                <w:color w:val="auto"/>
                <w:sz w:val="20"/>
                <w:szCs w:val="20"/>
                <w:lang w:eastAsia="pt-BR"/>
              </w:rPr>
            </w:pPr>
            <w:r w:rsidRPr="000E293D">
              <w:rPr>
                <w:rStyle w:val="fontstyle01"/>
                <w:b/>
                <w:noProof/>
                <w:color w:val="auto"/>
                <w:sz w:val="20"/>
                <w:szCs w:val="20"/>
                <w:lang w:eastAsia="pt-BR"/>
              </w:rPr>
              <w:drawing>
                <wp:inline distT="0" distB="0" distL="0" distR="0" wp14:anchorId="012C736B" wp14:editId="21547F9A">
                  <wp:extent cx="2687884" cy="752981"/>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307" cy="766266"/>
                          </a:xfrm>
                          <a:prstGeom prst="rect">
                            <a:avLst/>
                          </a:prstGeom>
                          <a:noFill/>
                          <a:ln>
                            <a:noFill/>
                          </a:ln>
                        </pic:spPr>
                      </pic:pic>
                    </a:graphicData>
                  </a:graphic>
                </wp:inline>
              </w:drawing>
            </w:r>
          </w:p>
        </w:tc>
      </w:tr>
      <w:tr w:rsidR="0041556B" w:rsidTr="00874F40">
        <w:tc>
          <w:tcPr>
            <w:tcW w:w="8494" w:type="dxa"/>
            <w:gridSpan w:val="2"/>
          </w:tcPr>
          <w:p w:rsidR="0041556B" w:rsidRDefault="0041556B" w:rsidP="00874F40">
            <w:pPr>
              <w:spacing w:line="276" w:lineRule="auto"/>
              <w:ind w:left="-108"/>
              <w:jc w:val="both"/>
              <w:rPr>
                <w:rStyle w:val="fontstyle01"/>
                <w:b/>
                <w:color w:val="auto"/>
              </w:rPr>
            </w:pPr>
            <w:r w:rsidRPr="000E293D">
              <w:rPr>
                <w:rStyle w:val="fontstyle01"/>
                <w:b/>
                <w:noProof/>
                <w:color w:val="auto"/>
                <w:lang w:eastAsia="pt-BR"/>
              </w:rPr>
              <w:drawing>
                <wp:inline distT="0" distB="0" distL="0" distR="0" wp14:anchorId="41B00579" wp14:editId="18CEBFB9">
                  <wp:extent cx="5396865" cy="313294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981" cy="3134173"/>
                          </a:xfrm>
                          <a:prstGeom prst="rect">
                            <a:avLst/>
                          </a:prstGeom>
                          <a:noFill/>
                          <a:ln>
                            <a:noFill/>
                          </a:ln>
                        </pic:spPr>
                      </pic:pic>
                    </a:graphicData>
                  </a:graphic>
                </wp:inline>
              </w:drawing>
            </w:r>
          </w:p>
        </w:tc>
      </w:tr>
    </w:tbl>
    <w:p w:rsidR="0041556B" w:rsidRPr="0041556B" w:rsidRDefault="0041556B" w:rsidP="0041556B">
      <w:pPr>
        <w:spacing w:line="276" w:lineRule="auto"/>
        <w:jc w:val="both"/>
        <w:rPr>
          <w:rStyle w:val="fontstyle01"/>
          <w:rFonts w:asciiTheme="majorHAnsi" w:hAnsiTheme="majorHAnsi" w:cstheme="majorHAnsi"/>
          <w:color w:val="auto"/>
        </w:rPr>
      </w:pPr>
      <w:r w:rsidRPr="0041556B">
        <w:rPr>
          <w:rStyle w:val="fontstyle01"/>
          <w:rFonts w:asciiTheme="majorHAnsi" w:hAnsiTheme="majorHAnsi" w:cstheme="majorHAnsi"/>
          <w:color w:val="auto"/>
        </w:rPr>
        <w:t>Fonte: Anexo de Metas Fiscais da LDO e Avaliação Atuarial do FUNFIP</w:t>
      </w:r>
    </w:p>
    <w:p w:rsidR="0041556B" w:rsidRDefault="0041556B" w:rsidP="0041556B">
      <w:pPr>
        <w:spacing w:line="276" w:lineRule="auto"/>
        <w:jc w:val="both"/>
        <w:rPr>
          <w:rStyle w:val="fontstyle01"/>
          <w:color w:val="auto"/>
        </w:rPr>
      </w:pPr>
      <w:r>
        <w:rPr>
          <w:rStyle w:val="fontstyle01"/>
          <w:color w:val="auto"/>
        </w:rPr>
        <w:lastRenderedPageBreak/>
        <w:t>Do quantitativo total (482.443), os servidores militares perfaziam 76.576 (em 2016), sendo 29.945 inativos e 46.581 ativos. Dessa forma a relação entre ativos e inativos era de 1,56. Entre os 405.917 servidores civis, 169.497 eram ativos e 236.420 aposentados.</w:t>
      </w:r>
      <w:r w:rsidRPr="00BE1C78">
        <w:rPr>
          <w:rStyle w:val="fontstyle01"/>
        </w:rPr>
        <w:t xml:space="preserve"> </w:t>
      </w:r>
      <w:r>
        <w:rPr>
          <w:rStyle w:val="fontstyle01"/>
          <w:color w:val="auto"/>
        </w:rPr>
        <w:t xml:space="preserve">Dessa forma, observa-se uma relação de 0,72 ativos para cada inativo </w:t>
      </w:r>
      <w:r>
        <w:rPr>
          <w:rStyle w:val="Refdenotaderodap"/>
          <w:rFonts w:ascii="ArialMT" w:hAnsi="ArialMT"/>
          <w:sz w:val="24"/>
          <w:szCs w:val="24"/>
        </w:rPr>
        <w:footnoteReference w:id="8"/>
      </w:r>
      <w:r>
        <w:rPr>
          <w:rStyle w:val="fontstyle01"/>
          <w:color w:val="auto"/>
        </w:rPr>
        <w:t xml:space="preserve">. </w:t>
      </w:r>
    </w:p>
    <w:p w:rsidR="0041556B" w:rsidRDefault="0041556B" w:rsidP="0041556B">
      <w:pPr>
        <w:spacing w:line="276" w:lineRule="auto"/>
        <w:jc w:val="both"/>
        <w:rPr>
          <w:rStyle w:val="fontstyle01"/>
          <w:color w:val="auto"/>
        </w:rPr>
      </w:pPr>
      <w:r>
        <w:rPr>
          <w:rStyle w:val="fontstyle01"/>
          <w:color w:val="auto"/>
        </w:rPr>
        <w:t>Ainda em relação ao quantitativo total, 316.803 (65,7%) eram do sexo feminino, divididos em 114.497 em atividade e 202.306 aposentadas. Entre os 165.640 servidores do sexo masculino, 101.581 eram ativos e 64.059 inativos.</w:t>
      </w:r>
    </w:p>
    <w:p w:rsidR="0041556B" w:rsidRDefault="0041556B" w:rsidP="0041556B">
      <w:pPr>
        <w:spacing w:line="276" w:lineRule="auto"/>
        <w:jc w:val="both"/>
        <w:rPr>
          <w:rStyle w:val="fontstyle01"/>
          <w:color w:val="auto"/>
        </w:rPr>
      </w:pPr>
      <w:r>
        <w:rPr>
          <w:rStyle w:val="fontstyle01"/>
          <w:color w:val="auto"/>
        </w:rPr>
        <w:t>O Gráfico 1 mostra que grande proporção de inativos se concentra em servidores civis do sexo feminino (201.181). O fato das professoras contarem com aposentadoria especial e de serem expressivo contingente do quadro de servidores trouxe com consequência esse resultado.</w:t>
      </w:r>
    </w:p>
    <w:p w:rsidR="0041556B" w:rsidRDefault="0041556B" w:rsidP="0041556B">
      <w:pPr>
        <w:spacing w:line="276" w:lineRule="auto"/>
        <w:jc w:val="both"/>
        <w:rPr>
          <w:rStyle w:val="fontstyle01"/>
          <w:color w:val="auto"/>
        </w:rPr>
      </w:pPr>
      <w:r>
        <w:rPr>
          <w:rStyle w:val="fontstyle01"/>
          <w:color w:val="auto"/>
        </w:rPr>
        <w:t>A próxima subseção mostra a evolução no número de servidores civis ativos e inativos entre 2012 e 2017</w:t>
      </w:r>
      <w:r>
        <w:rPr>
          <w:rStyle w:val="Refdenotaderodap"/>
          <w:rFonts w:ascii="ArialMT" w:hAnsi="ArialMT"/>
          <w:sz w:val="24"/>
          <w:szCs w:val="24"/>
        </w:rPr>
        <w:footnoteReference w:id="9"/>
      </w:r>
      <w:r>
        <w:rPr>
          <w:rStyle w:val="fontstyle01"/>
          <w:color w:val="auto"/>
        </w:rPr>
        <w:t xml:space="preserve">. </w:t>
      </w:r>
    </w:p>
    <w:p w:rsidR="0041556B" w:rsidRPr="00DC471A" w:rsidRDefault="0041556B" w:rsidP="0041556B">
      <w:pPr>
        <w:spacing w:line="276" w:lineRule="auto"/>
        <w:jc w:val="both"/>
        <w:rPr>
          <w:rStyle w:val="fontstyle01"/>
          <w:color w:val="auto"/>
        </w:rPr>
      </w:pPr>
    </w:p>
    <w:p w:rsidR="0041556B" w:rsidRPr="004674F6" w:rsidRDefault="0041556B" w:rsidP="0041556B">
      <w:pPr>
        <w:spacing w:line="276" w:lineRule="auto"/>
        <w:jc w:val="both"/>
        <w:rPr>
          <w:rStyle w:val="fontstyle01"/>
          <w:b/>
          <w:color w:val="auto"/>
        </w:rPr>
      </w:pPr>
      <w:r>
        <w:rPr>
          <w:rStyle w:val="fontstyle01"/>
          <w:b/>
          <w:color w:val="auto"/>
        </w:rPr>
        <w:t>3.1</w:t>
      </w:r>
      <w:r>
        <w:rPr>
          <w:rStyle w:val="fontstyle01"/>
          <w:b/>
          <w:color w:val="auto"/>
        </w:rPr>
        <w:tab/>
        <w:t xml:space="preserve">Evolução do </w:t>
      </w:r>
      <w:r w:rsidRPr="004674F6">
        <w:rPr>
          <w:rStyle w:val="fontstyle01"/>
          <w:b/>
          <w:color w:val="auto"/>
        </w:rPr>
        <w:t xml:space="preserve">Quantitativo de Servidores </w:t>
      </w:r>
      <w:r>
        <w:rPr>
          <w:rStyle w:val="fontstyle01"/>
          <w:b/>
          <w:color w:val="auto"/>
        </w:rPr>
        <w:t>Civis (</w:t>
      </w:r>
      <w:r w:rsidRPr="004674F6">
        <w:rPr>
          <w:rStyle w:val="fontstyle01"/>
          <w:b/>
          <w:color w:val="auto"/>
        </w:rPr>
        <w:t>Ativos</w:t>
      </w:r>
      <w:r>
        <w:rPr>
          <w:rStyle w:val="fontstyle01"/>
          <w:b/>
          <w:color w:val="auto"/>
        </w:rPr>
        <w:t xml:space="preserve"> e Inativos)</w:t>
      </w:r>
    </w:p>
    <w:p w:rsidR="0041556B" w:rsidRDefault="0041556B" w:rsidP="0041556B">
      <w:pPr>
        <w:pStyle w:val="B-Grf-T"/>
        <w:spacing w:before="0" w:after="0" w:line="276" w:lineRule="auto"/>
        <w:ind w:left="0" w:firstLine="0"/>
        <w:jc w:val="both"/>
        <w:rPr>
          <w:rFonts w:ascii="Arial" w:hAnsi="Arial"/>
          <w:color w:val="auto"/>
          <w:szCs w:val="24"/>
        </w:rPr>
      </w:pPr>
    </w:p>
    <w:p w:rsidR="0041556B" w:rsidRDefault="0041556B" w:rsidP="0041556B">
      <w:pPr>
        <w:pStyle w:val="B-Grf-T"/>
        <w:spacing w:before="0" w:after="0" w:line="276" w:lineRule="auto"/>
        <w:ind w:left="0" w:firstLine="0"/>
        <w:jc w:val="both"/>
        <w:rPr>
          <w:rFonts w:ascii="Arial" w:hAnsi="Arial"/>
          <w:color w:val="auto"/>
          <w:szCs w:val="24"/>
        </w:rPr>
      </w:pPr>
      <w:r>
        <w:rPr>
          <w:rFonts w:ascii="Arial" w:hAnsi="Arial"/>
          <w:color w:val="auto"/>
          <w:szCs w:val="24"/>
        </w:rPr>
        <w:t>Entre os anos de 2012 e 2017 o número de servidores civis cobertos pelo RPPS caiu de 440.985 (-3,1%). Os ativos passaram de 218.185 em 2012 para 186.849 em 2017 (-14,4%). Já os inativos aumentaram de 222.800 para 240.490 (+7,9%). O Gráfico 2 apresenta os dados levando em consideração o sexo do servidor.</w:t>
      </w:r>
    </w:p>
    <w:p w:rsidR="0041556B" w:rsidRDefault="0041556B" w:rsidP="0041556B">
      <w:pPr>
        <w:pStyle w:val="B-Grf-T"/>
        <w:spacing w:before="0" w:after="0" w:line="276" w:lineRule="auto"/>
        <w:ind w:left="0" w:firstLine="0"/>
        <w:jc w:val="both"/>
        <w:rPr>
          <w:rFonts w:ascii="Arial" w:hAnsi="Arial"/>
          <w:color w:val="auto"/>
          <w:szCs w:val="24"/>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t xml:space="preserve">Gráfico </w:t>
      </w:r>
      <w:r>
        <w:rPr>
          <w:rFonts w:ascii="Arial" w:hAnsi="Arial"/>
          <w:b/>
          <w:color w:val="auto"/>
          <w:sz w:val="20"/>
          <w:szCs w:val="20"/>
        </w:rPr>
        <w:t>2</w:t>
      </w:r>
      <w:r w:rsidRPr="00014343">
        <w:rPr>
          <w:rFonts w:ascii="Arial" w:hAnsi="Arial"/>
          <w:b/>
          <w:color w:val="auto"/>
          <w:sz w:val="20"/>
          <w:szCs w:val="20"/>
        </w:rPr>
        <w:t xml:space="preserve">: Evolução do número de servidores ativos </w:t>
      </w:r>
      <w:r>
        <w:rPr>
          <w:rFonts w:ascii="Arial" w:hAnsi="Arial"/>
          <w:b/>
          <w:color w:val="auto"/>
          <w:sz w:val="20"/>
          <w:szCs w:val="20"/>
        </w:rPr>
        <w:t xml:space="preserve">e </w:t>
      </w:r>
      <w:proofErr w:type="spellStart"/>
      <w:r>
        <w:rPr>
          <w:rFonts w:ascii="Arial" w:hAnsi="Arial"/>
          <w:b/>
          <w:color w:val="auto"/>
          <w:sz w:val="20"/>
          <w:szCs w:val="20"/>
        </w:rPr>
        <w:t>intativos</w:t>
      </w:r>
      <w:proofErr w:type="spellEnd"/>
      <w:r>
        <w:rPr>
          <w:rFonts w:ascii="Arial" w:hAnsi="Arial"/>
          <w:b/>
          <w:color w:val="auto"/>
          <w:sz w:val="20"/>
          <w:szCs w:val="20"/>
        </w:rPr>
        <w:t xml:space="preserve"> </w:t>
      </w:r>
      <w:r w:rsidRPr="00014343">
        <w:rPr>
          <w:rFonts w:ascii="Arial" w:hAnsi="Arial"/>
          <w:b/>
          <w:color w:val="auto"/>
          <w:sz w:val="20"/>
          <w:szCs w:val="20"/>
        </w:rPr>
        <w:t xml:space="preserve">com cobertura do </w:t>
      </w:r>
      <w:r>
        <w:rPr>
          <w:rFonts w:ascii="Arial" w:hAnsi="Arial"/>
          <w:b/>
          <w:color w:val="auto"/>
          <w:sz w:val="20"/>
          <w:szCs w:val="20"/>
        </w:rPr>
        <w:t>RPPS</w:t>
      </w:r>
      <w:r w:rsidRPr="00014343">
        <w:rPr>
          <w:rFonts w:ascii="Arial" w:hAnsi="Arial"/>
          <w:b/>
          <w:color w:val="auto"/>
          <w:sz w:val="20"/>
          <w:szCs w:val="20"/>
        </w:rPr>
        <w:t xml:space="preserve"> – 2012</w:t>
      </w:r>
      <w:r>
        <w:rPr>
          <w:rFonts w:ascii="Arial" w:hAnsi="Arial"/>
          <w:b/>
          <w:color w:val="auto"/>
          <w:sz w:val="20"/>
          <w:szCs w:val="20"/>
        </w:rPr>
        <w:t>-</w:t>
      </w:r>
      <w:r w:rsidRPr="00014343">
        <w:rPr>
          <w:rFonts w:ascii="Arial" w:hAnsi="Arial"/>
          <w:b/>
          <w:color w:val="auto"/>
          <w:sz w:val="20"/>
          <w:szCs w:val="20"/>
        </w:rPr>
        <w:t>2017</w:t>
      </w:r>
      <w:r w:rsidRPr="00014343">
        <w:rPr>
          <w:rFonts w:ascii="Arial" w:hAnsi="Arial"/>
          <w:b/>
          <w:noProof/>
          <w:color w:val="auto"/>
          <w:sz w:val="20"/>
          <w:szCs w:val="20"/>
        </w:rPr>
        <w:t xml:space="preserve">  </w:t>
      </w:r>
    </w:p>
    <w:p w:rsidR="0041556B" w:rsidRPr="00CE6517" w:rsidRDefault="0041556B" w:rsidP="0041556B">
      <w:pPr>
        <w:pStyle w:val="B-Grf-T"/>
        <w:spacing w:before="0" w:after="0" w:line="276" w:lineRule="auto"/>
        <w:ind w:left="0" w:firstLine="0"/>
        <w:rPr>
          <w:color w:val="FF0000"/>
        </w:rPr>
      </w:pPr>
      <w:r w:rsidRPr="00DC224C">
        <w:rPr>
          <w:noProof/>
        </w:rPr>
        <w:drawing>
          <wp:inline distT="0" distB="0" distL="0" distR="0" wp14:anchorId="4E9DE663" wp14:editId="1A9C3710">
            <wp:extent cx="5394325" cy="2503358"/>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1747" cy="2516084"/>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 xml:space="preserve">Fonte: Relatório de Avaliação Atuarial e Anexo de Metas Fiscais das </w:t>
      </w:r>
      <w:proofErr w:type="spellStart"/>
      <w:r w:rsidRPr="00014343">
        <w:rPr>
          <w:rFonts w:ascii="Arial" w:hAnsi="Arial"/>
          <w:sz w:val="18"/>
          <w:szCs w:val="18"/>
        </w:rPr>
        <w:t>LDO</w:t>
      </w:r>
      <w:r>
        <w:rPr>
          <w:rFonts w:ascii="Arial" w:hAnsi="Arial"/>
          <w:sz w:val="18"/>
          <w:szCs w:val="18"/>
        </w:rPr>
        <w:t>s</w:t>
      </w:r>
      <w:proofErr w:type="spellEnd"/>
      <w:r w:rsidRPr="00014343">
        <w:rPr>
          <w:rFonts w:ascii="Arial" w:hAnsi="Arial"/>
          <w:sz w:val="18"/>
          <w:szCs w:val="18"/>
        </w:rPr>
        <w:t>.</w:t>
      </w:r>
    </w:p>
    <w:p w:rsidR="0041556B" w:rsidRPr="00DC224C" w:rsidRDefault="0041556B" w:rsidP="0041556B">
      <w:pPr>
        <w:spacing w:line="276" w:lineRule="auto"/>
        <w:jc w:val="both"/>
        <w:rPr>
          <w:rStyle w:val="fontstyle01"/>
          <w:color w:val="auto"/>
        </w:rPr>
      </w:pPr>
      <w:r>
        <w:rPr>
          <w:rStyle w:val="fontstyle01"/>
          <w:color w:val="auto"/>
        </w:rPr>
        <w:lastRenderedPageBreak/>
        <w:t>O Gráfico 3 apresenta a evolução do volume de servidores civis em número índice para quatro grupos: servidores do sexo feminino em atividade ou aposentadas e servidores do sexo masculino com as mesmas características.</w:t>
      </w:r>
    </w:p>
    <w:p w:rsidR="0041556B" w:rsidRDefault="0041556B" w:rsidP="0041556B">
      <w:pPr>
        <w:spacing w:line="276" w:lineRule="auto"/>
        <w:jc w:val="both"/>
        <w:rPr>
          <w:rStyle w:val="fontstyle01"/>
          <w:b/>
          <w:color w:val="auto"/>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t xml:space="preserve">Gráfico </w:t>
      </w:r>
      <w:r>
        <w:rPr>
          <w:rFonts w:ascii="Arial" w:hAnsi="Arial"/>
          <w:b/>
          <w:color w:val="auto"/>
          <w:sz w:val="20"/>
          <w:szCs w:val="20"/>
        </w:rPr>
        <w:t>3</w:t>
      </w:r>
      <w:r w:rsidRPr="00014343">
        <w:rPr>
          <w:rFonts w:ascii="Arial" w:hAnsi="Arial"/>
          <w:b/>
          <w:color w:val="auto"/>
          <w:sz w:val="20"/>
          <w:szCs w:val="20"/>
        </w:rPr>
        <w:t xml:space="preserve">: Evolução </w:t>
      </w:r>
      <w:r>
        <w:rPr>
          <w:rFonts w:ascii="Arial" w:hAnsi="Arial"/>
          <w:b/>
          <w:color w:val="auto"/>
          <w:sz w:val="20"/>
          <w:szCs w:val="20"/>
        </w:rPr>
        <w:t xml:space="preserve">Índice volume </w:t>
      </w:r>
      <w:r w:rsidRPr="00014343">
        <w:rPr>
          <w:rFonts w:ascii="Arial" w:hAnsi="Arial"/>
          <w:b/>
          <w:color w:val="auto"/>
          <w:sz w:val="20"/>
          <w:szCs w:val="20"/>
        </w:rPr>
        <w:t xml:space="preserve">de servidores ativos </w:t>
      </w:r>
      <w:r>
        <w:rPr>
          <w:rFonts w:ascii="Arial" w:hAnsi="Arial"/>
          <w:b/>
          <w:color w:val="auto"/>
          <w:sz w:val="20"/>
          <w:szCs w:val="20"/>
        </w:rPr>
        <w:t xml:space="preserve">e inativos </w:t>
      </w:r>
      <w:r w:rsidRPr="00014343">
        <w:rPr>
          <w:rFonts w:ascii="Arial" w:hAnsi="Arial"/>
          <w:b/>
          <w:color w:val="auto"/>
          <w:sz w:val="20"/>
          <w:szCs w:val="20"/>
        </w:rPr>
        <w:t xml:space="preserve">com cobertura do </w:t>
      </w:r>
      <w:r>
        <w:rPr>
          <w:rFonts w:ascii="Arial" w:hAnsi="Arial"/>
          <w:b/>
          <w:color w:val="auto"/>
          <w:sz w:val="20"/>
          <w:szCs w:val="20"/>
        </w:rPr>
        <w:t>RPPS</w:t>
      </w:r>
      <w:r w:rsidRPr="00014343">
        <w:rPr>
          <w:rFonts w:ascii="Arial" w:hAnsi="Arial"/>
          <w:b/>
          <w:color w:val="auto"/>
          <w:sz w:val="20"/>
          <w:szCs w:val="20"/>
        </w:rPr>
        <w:t xml:space="preserve"> – 2012</w:t>
      </w:r>
      <w:r>
        <w:rPr>
          <w:rFonts w:ascii="Arial" w:hAnsi="Arial"/>
          <w:b/>
          <w:color w:val="auto"/>
          <w:sz w:val="20"/>
          <w:szCs w:val="20"/>
        </w:rPr>
        <w:t>-</w:t>
      </w:r>
      <w:r w:rsidRPr="00014343">
        <w:rPr>
          <w:rFonts w:ascii="Arial" w:hAnsi="Arial"/>
          <w:b/>
          <w:color w:val="auto"/>
          <w:sz w:val="20"/>
          <w:szCs w:val="20"/>
        </w:rPr>
        <w:t>2017</w:t>
      </w:r>
      <w:r w:rsidRPr="00014343">
        <w:rPr>
          <w:rFonts w:ascii="Arial" w:hAnsi="Arial"/>
          <w:b/>
          <w:noProof/>
          <w:color w:val="auto"/>
          <w:sz w:val="20"/>
          <w:szCs w:val="20"/>
        </w:rPr>
        <w:t xml:space="preserve">  </w:t>
      </w:r>
    </w:p>
    <w:p w:rsidR="0041556B" w:rsidRPr="00CE6517" w:rsidRDefault="0041556B" w:rsidP="0041556B">
      <w:pPr>
        <w:pStyle w:val="B-Grf-T"/>
        <w:spacing w:before="0" w:after="0" w:line="276" w:lineRule="auto"/>
        <w:ind w:left="0" w:firstLine="0"/>
        <w:rPr>
          <w:color w:val="FF0000"/>
        </w:rPr>
      </w:pPr>
      <w:r w:rsidRPr="00DC224C">
        <w:rPr>
          <w:noProof/>
        </w:rPr>
        <w:drawing>
          <wp:inline distT="0" distB="0" distL="0" distR="0" wp14:anchorId="75F92525" wp14:editId="7212EF74">
            <wp:extent cx="5400040" cy="3272599"/>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72599"/>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Default="0041556B" w:rsidP="0041556B">
      <w:pPr>
        <w:spacing w:line="276" w:lineRule="auto"/>
        <w:jc w:val="both"/>
        <w:rPr>
          <w:rStyle w:val="fontstyle01"/>
          <w:b/>
          <w:color w:val="auto"/>
        </w:rPr>
      </w:pPr>
    </w:p>
    <w:p w:rsidR="0041556B" w:rsidRDefault="0041556B" w:rsidP="0041556B">
      <w:pPr>
        <w:spacing w:line="276" w:lineRule="auto"/>
        <w:jc w:val="both"/>
        <w:rPr>
          <w:rStyle w:val="fontstyle01"/>
          <w:color w:val="auto"/>
        </w:rPr>
      </w:pPr>
      <w:r>
        <w:rPr>
          <w:rStyle w:val="fontstyle01"/>
          <w:color w:val="auto"/>
        </w:rPr>
        <w:t>A queda de 3,1% do quantitativo verificada nos 5 anos em análise foi puxada pelo decréscimo no volume de servidores do sexo feminino (-27,1%). Esse grupo representava 47,9% do total em 2017. Note que entre os ativos do sexo masculino houve incremento de 21,5% no número de servidores.</w:t>
      </w:r>
    </w:p>
    <w:p w:rsidR="0041556B" w:rsidRDefault="0041556B" w:rsidP="0041556B">
      <w:pPr>
        <w:spacing w:line="276" w:lineRule="auto"/>
        <w:jc w:val="both"/>
        <w:rPr>
          <w:rStyle w:val="fontstyle01"/>
          <w:color w:val="auto"/>
        </w:rPr>
      </w:pPr>
      <w:r>
        <w:rPr>
          <w:rStyle w:val="fontstyle01"/>
          <w:color w:val="auto"/>
        </w:rPr>
        <w:t>A próxima subseção apresenta a evolução do quantitativo de servidores ativos entre 2012 e 2017.</w:t>
      </w:r>
    </w:p>
    <w:p w:rsidR="0041556B" w:rsidRDefault="0041556B" w:rsidP="0041556B">
      <w:pPr>
        <w:spacing w:line="276" w:lineRule="auto"/>
        <w:jc w:val="both"/>
        <w:rPr>
          <w:rStyle w:val="fontstyle01"/>
          <w:b/>
          <w:color w:val="auto"/>
        </w:rPr>
      </w:pPr>
    </w:p>
    <w:p w:rsidR="0041556B" w:rsidRPr="004674F6" w:rsidRDefault="0041556B" w:rsidP="0041556B">
      <w:pPr>
        <w:spacing w:line="276" w:lineRule="auto"/>
        <w:jc w:val="both"/>
        <w:rPr>
          <w:rStyle w:val="fontstyle01"/>
          <w:b/>
          <w:color w:val="auto"/>
        </w:rPr>
      </w:pPr>
      <w:r>
        <w:rPr>
          <w:rStyle w:val="fontstyle01"/>
          <w:b/>
          <w:color w:val="auto"/>
        </w:rPr>
        <w:t>3</w:t>
      </w:r>
      <w:r>
        <w:rPr>
          <w:rStyle w:val="fontstyle01"/>
          <w:b/>
          <w:color w:val="auto"/>
        </w:rPr>
        <w:t>.2</w:t>
      </w:r>
      <w:r>
        <w:rPr>
          <w:rStyle w:val="fontstyle01"/>
          <w:b/>
          <w:color w:val="auto"/>
        </w:rPr>
        <w:tab/>
        <w:t xml:space="preserve">Evolução do </w:t>
      </w:r>
      <w:r w:rsidRPr="004674F6">
        <w:rPr>
          <w:rStyle w:val="fontstyle01"/>
          <w:b/>
          <w:color w:val="auto"/>
        </w:rPr>
        <w:t xml:space="preserve">Quantitativo de Servidores </w:t>
      </w:r>
      <w:r>
        <w:rPr>
          <w:rStyle w:val="fontstyle01"/>
          <w:b/>
          <w:color w:val="auto"/>
        </w:rPr>
        <w:t xml:space="preserve">Civis </w:t>
      </w:r>
      <w:r w:rsidRPr="004674F6">
        <w:rPr>
          <w:rStyle w:val="fontstyle01"/>
          <w:b/>
          <w:color w:val="auto"/>
        </w:rPr>
        <w:t>Ativos</w:t>
      </w:r>
    </w:p>
    <w:p w:rsidR="0041556B" w:rsidRDefault="0041556B" w:rsidP="0041556B">
      <w:pPr>
        <w:spacing w:line="276" w:lineRule="auto"/>
        <w:jc w:val="both"/>
        <w:rPr>
          <w:rStyle w:val="fontstyle01"/>
          <w:color w:val="auto"/>
        </w:rPr>
      </w:pPr>
    </w:p>
    <w:p w:rsidR="0041556B" w:rsidRDefault="0041556B" w:rsidP="0041556B">
      <w:pPr>
        <w:spacing w:line="276" w:lineRule="auto"/>
        <w:jc w:val="both"/>
        <w:rPr>
          <w:rStyle w:val="fontstyle01"/>
          <w:color w:val="auto"/>
        </w:rPr>
      </w:pPr>
      <w:r>
        <w:rPr>
          <w:rStyle w:val="fontstyle01"/>
          <w:color w:val="auto"/>
        </w:rPr>
        <w:t>O número de servidores civis ativos cobertos pelo RPPS em dezembro de 2017 era de 186.849. Em apenas cinco anos, houve queda de 14,4% (variação média de -3,1% ao ano), já que em 2012 o quantitativo era de 218.185 (Gráf. 4).</w:t>
      </w:r>
    </w:p>
    <w:p w:rsidR="0041556B" w:rsidRDefault="0041556B" w:rsidP="0041556B">
      <w:pPr>
        <w:pStyle w:val="B-Grf-T"/>
        <w:spacing w:before="0" w:after="0" w:line="276" w:lineRule="auto"/>
        <w:ind w:left="0" w:firstLine="0"/>
        <w:jc w:val="both"/>
        <w:rPr>
          <w:rFonts w:ascii="Arial" w:hAnsi="Arial"/>
          <w:color w:val="auto"/>
          <w:sz w:val="20"/>
          <w:szCs w:val="20"/>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lastRenderedPageBreak/>
        <w:t xml:space="preserve">Gráfico </w:t>
      </w:r>
      <w:r>
        <w:rPr>
          <w:rFonts w:ascii="Arial" w:hAnsi="Arial"/>
          <w:b/>
          <w:color w:val="auto"/>
          <w:sz w:val="20"/>
          <w:szCs w:val="20"/>
        </w:rPr>
        <w:t>4</w:t>
      </w:r>
      <w:r w:rsidRPr="00014343">
        <w:rPr>
          <w:rFonts w:ascii="Arial" w:hAnsi="Arial"/>
          <w:b/>
          <w:color w:val="auto"/>
          <w:sz w:val="20"/>
          <w:szCs w:val="20"/>
        </w:rPr>
        <w:t xml:space="preserve">: Evolução do número de servidores ativos com cobertura do </w:t>
      </w:r>
      <w:r>
        <w:rPr>
          <w:rFonts w:ascii="Arial" w:hAnsi="Arial"/>
          <w:b/>
          <w:color w:val="auto"/>
          <w:sz w:val="20"/>
          <w:szCs w:val="20"/>
        </w:rPr>
        <w:t>RPPS</w:t>
      </w:r>
      <w:r w:rsidRPr="00014343">
        <w:rPr>
          <w:rFonts w:ascii="Arial" w:hAnsi="Arial"/>
          <w:b/>
          <w:color w:val="auto"/>
          <w:sz w:val="20"/>
          <w:szCs w:val="20"/>
        </w:rPr>
        <w:t xml:space="preserve"> – 2012</w:t>
      </w:r>
      <w:r>
        <w:rPr>
          <w:rFonts w:ascii="Arial" w:hAnsi="Arial"/>
          <w:b/>
          <w:color w:val="auto"/>
          <w:sz w:val="20"/>
          <w:szCs w:val="20"/>
        </w:rPr>
        <w:t>-</w:t>
      </w:r>
      <w:r w:rsidRPr="00014343">
        <w:rPr>
          <w:rFonts w:ascii="Arial" w:hAnsi="Arial"/>
          <w:b/>
          <w:color w:val="auto"/>
          <w:sz w:val="20"/>
          <w:szCs w:val="20"/>
        </w:rPr>
        <w:t>2017</w:t>
      </w:r>
      <w:r w:rsidRPr="00014343">
        <w:rPr>
          <w:rFonts w:ascii="Arial" w:hAnsi="Arial"/>
          <w:b/>
          <w:noProof/>
          <w:color w:val="auto"/>
          <w:sz w:val="20"/>
          <w:szCs w:val="20"/>
        </w:rPr>
        <w:t xml:space="preserve">  </w:t>
      </w:r>
    </w:p>
    <w:p w:rsidR="0041556B" w:rsidRPr="00CE6517" w:rsidRDefault="0041556B" w:rsidP="0041556B">
      <w:pPr>
        <w:pStyle w:val="B-Grf-T"/>
        <w:spacing w:before="0" w:after="0" w:line="276" w:lineRule="auto"/>
        <w:ind w:left="0" w:firstLine="0"/>
        <w:rPr>
          <w:color w:val="FF0000"/>
        </w:rPr>
      </w:pPr>
      <w:r w:rsidRPr="001C55B3">
        <w:rPr>
          <w:noProof/>
        </w:rPr>
        <w:drawing>
          <wp:inline distT="0" distB="0" distL="0" distR="0" wp14:anchorId="5B792E73" wp14:editId="52F7CE9D">
            <wp:extent cx="5400040" cy="2935151"/>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35151"/>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Default="0041556B" w:rsidP="0041556B">
      <w:pPr>
        <w:spacing w:line="276" w:lineRule="auto"/>
        <w:jc w:val="both"/>
        <w:rPr>
          <w:rStyle w:val="fontstyle01"/>
          <w:color w:val="auto"/>
        </w:rPr>
      </w:pPr>
    </w:p>
    <w:p w:rsidR="0041556B" w:rsidRDefault="0041556B" w:rsidP="0041556B">
      <w:pPr>
        <w:spacing w:line="276" w:lineRule="auto"/>
        <w:jc w:val="both"/>
        <w:rPr>
          <w:rStyle w:val="fontstyle01"/>
          <w:color w:val="auto"/>
        </w:rPr>
      </w:pPr>
      <w:r w:rsidRPr="00014343">
        <w:rPr>
          <w:rStyle w:val="fontstyle01"/>
          <w:color w:val="auto"/>
        </w:rPr>
        <w:t>Levando em consideração o sexo do servidor, observa-se</w:t>
      </w:r>
      <w:r>
        <w:rPr>
          <w:rStyle w:val="fontstyle01"/>
          <w:color w:val="auto"/>
        </w:rPr>
        <w:t xml:space="preserve"> que o número de mulheres em atividade foi responsável pela queda do agregado. Com variação de -27,1% (média de -6,1% ao ano), as mulheres passaram a representar 62,8% do total de ativos. Em 2012 esse contingente representava 73,8% do total.</w:t>
      </w:r>
    </w:p>
    <w:p w:rsidR="0041556B" w:rsidRDefault="0041556B" w:rsidP="0041556B">
      <w:pPr>
        <w:spacing w:line="276" w:lineRule="auto"/>
        <w:jc w:val="both"/>
        <w:rPr>
          <w:rStyle w:val="fontstyle01"/>
        </w:rPr>
      </w:pPr>
      <w:r>
        <w:rPr>
          <w:rStyle w:val="fontstyle01"/>
        </w:rPr>
        <w:t>A expressiva queda no número de servidores civis ativos provavelmente tem se dado em função da possibilidade de mudança nas regras de aposentadoria. Uma hipótese para a concentração (da queda) em servidores do sexo feminino consiste nas incertezas relativas à insegurança jurídica entre aqueles que foram efetivados pela Lei 100/2007. Provavelmente várias professoras que se encontravam nessa situação e tinham condições de se aposentar o fizeram para não correr o risco de perda do cargo.</w:t>
      </w:r>
    </w:p>
    <w:p w:rsidR="0041556B" w:rsidRDefault="0041556B" w:rsidP="0041556B">
      <w:pPr>
        <w:spacing w:line="276" w:lineRule="auto"/>
        <w:jc w:val="both"/>
        <w:rPr>
          <w:rStyle w:val="fontstyle01"/>
        </w:rPr>
      </w:pPr>
      <w:r>
        <w:rPr>
          <w:rStyle w:val="fontstyle01"/>
        </w:rPr>
        <w:t xml:space="preserve">Segundo o Relatório de Avaliação Atuarial do FUNFIP, no ano de 2017 o número de professores em atividade no serviço público estadual com cobertura do fundo perfazia 94.139, ou seja, 50,4% do total de servidores (Gráf. 6) </w:t>
      </w:r>
      <w:r>
        <w:rPr>
          <w:rStyle w:val="Refdenotaderodap"/>
          <w:rFonts w:ascii="ArialMT" w:hAnsi="ArialMT"/>
          <w:color w:val="000000"/>
          <w:sz w:val="24"/>
          <w:szCs w:val="24"/>
        </w:rPr>
        <w:footnoteReference w:id="10"/>
      </w:r>
      <w:r>
        <w:rPr>
          <w:rStyle w:val="fontstyle01"/>
        </w:rPr>
        <w:t xml:space="preserve"> . Em 2014 esse percentual era de 45,8%, uma vez que o número de docentes em atividade era 99.983. O que explicaria essa queda? </w:t>
      </w:r>
      <w:r w:rsidRPr="004674F6">
        <w:rPr>
          <w:rStyle w:val="fontstyle01"/>
          <w:highlight w:val="yellow"/>
        </w:rPr>
        <w:t>(LEI 100?)</w:t>
      </w:r>
    </w:p>
    <w:p w:rsidR="0041556B" w:rsidRDefault="0041556B" w:rsidP="0041556B">
      <w:pPr>
        <w:spacing w:line="276" w:lineRule="auto"/>
        <w:jc w:val="both"/>
        <w:rPr>
          <w:rStyle w:val="fontstyle01"/>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lastRenderedPageBreak/>
        <w:t xml:space="preserve">Gráfico </w:t>
      </w:r>
      <w:r>
        <w:rPr>
          <w:rFonts w:ascii="Arial" w:hAnsi="Arial"/>
          <w:b/>
          <w:color w:val="auto"/>
          <w:sz w:val="20"/>
          <w:szCs w:val="20"/>
        </w:rPr>
        <w:t>6</w:t>
      </w:r>
      <w:r w:rsidRPr="00014343">
        <w:rPr>
          <w:rFonts w:ascii="Arial" w:hAnsi="Arial"/>
          <w:b/>
          <w:color w:val="auto"/>
          <w:sz w:val="20"/>
          <w:szCs w:val="20"/>
        </w:rPr>
        <w:t xml:space="preserve">: Evolução </w:t>
      </w:r>
      <w:r>
        <w:rPr>
          <w:rFonts w:ascii="Arial" w:hAnsi="Arial"/>
          <w:b/>
          <w:color w:val="auto"/>
          <w:sz w:val="20"/>
          <w:szCs w:val="20"/>
        </w:rPr>
        <w:t>número de Servidores Professores em atividade com</w:t>
      </w:r>
      <w:r w:rsidRPr="00014343">
        <w:rPr>
          <w:rFonts w:ascii="Arial" w:hAnsi="Arial"/>
          <w:b/>
          <w:color w:val="auto"/>
          <w:sz w:val="20"/>
          <w:szCs w:val="20"/>
        </w:rPr>
        <w:t xml:space="preserve"> cobertura do </w:t>
      </w:r>
      <w:r>
        <w:rPr>
          <w:rFonts w:ascii="Arial" w:hAnsi="Arial"/>
          <w:b/>
          <w:color w:val="auto"/>
          <w:sz w:val="20"/>
          <w:szCs w:val="20"/>
        </w:rPr>
        <w:t>RPPS</w:t>
      </w:r>
      <w:r w:rsidRPr="00014343">
        <w:rPr>
          <w:rFonts w:ascii="Arial" w:hAnsi="Arial"/>
          <w:b/>
          <w:color w:val="auto"/>
          <w:sz w:val="20"/>
          <w:szCs w:val="20"/>
        </w:rPr>
        <w:t xml:space="preserve"> – 201</w:t>
      </w:r>
      <w:r>
        <w:rPr>
          <w:rFonts w:ascii="Arial" w:hAnsi="Arial"/>
          <w:b/>
          <w:color w:val="auto"/>
          <w:sz w:val="20"/>
          <w:szCs w:val="20"/>
        </w:rPr>
        <w:t>4-</w:t>
      </w:r>
      <w:r w:rsidRPr="00014343">
        <w:rPr>
          <w:rFonts w:ascii="Arial" w:hAnsi="Arial"/>
          <w:b/>
          <w:color w:val="auto"/>
          <w:sz w:val="20"/>
          <w:szCs w:val="20"/>
        </w:rPr>
        <w:t>2017</w:t>
      </w:r>
      <w:r w:rsidRPr="00014343">
        <w:rPr>
          <w:rFonts w:ascii="Arial" w:hAnsi="Arial"/>
          <w:b/>
          <w:noProof/>
          <w:color w:val="auto"/>
          <w:sz w:val="20"/>
          <w:szCs w:val="20"/>
        </w:rPr>
        <w:t xml:space="preserve">  </w:t>
      </w:r>
    </w:p>
    <w:p w:rsidR="0041556B" w:rsidRPr="00CE6517" w:rsidRDefault="0041556B" w:rsidP="0041556B">
      <w:pPr>
        <w:pStyle w:val="B-Grf-T"/>
        <w:spacing w:before="0" w:after="0" w:line="276" w:lineRule="auto"/>
        <w:ind w:left="0" w:firstLine="0"/>
        <w:rPr>
          <w:color w:val="FF0000"/>
        </w:rPr>
      </w:pPr>
      <w:r w:rsidRPr="00777C84">
        <w:rPr>
          <w:noProof/>
        </w:rPr>
        <w:drawing>
          <wp:inline distT="0" distB="0" distL="0" distR="0" wp14:anchorId="07BE38E7" wp14:editId="27999D8F">
            <wp:extent cx="5398585" cy="292308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069" cy="2929299"/>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Default="0041556B" w:rsidP="0041556B">
      <w:pPr>
        <w:spacing w:line="276" w:lineRule="auto"/>
        <w:jc w:val="both"/>
        <w:rPr>
          <w:rStyle w:val="fontstyle01"/>
          <w:b/>
        </w:rPr>
      </w:pPr>
    </w:p>
    <w:p w:rsidR="0041556B" w:rsidRPr="004674F6" w:rsidRDefault="0041556B" w:rsidP="0041556B">
      <w:pPr>
        <w:spacing w:line="276" w:lineRule="auto"/>
        <w:jc w:val="both"/>
        <w:rPr>
          <w:rStyle w:val="fontstyle01"/>
          <w:b/>
          <w:color w:val="auto"/>
        </w:rPr>
      </w:pPr>
      <w:r>
        <w:rPr>
          <w:rStyle w:val="fontstyle01"/>
          <w:b/>
          <w:color w:val="auto"/>
        </w:rPr>
        <w:t>3.3</w:t>
      </w:r>
      <w:r>
        <w:rPr>
          <w:rStyle w:val="fontstyle01"/>
          <w:b/>
          <w:color w:val="auto"/>
        </w:rPr>
        <w:tab/>
        <w:t xml:space="preserve">Evolução do </w:t>
      </w:r>
      <w:r w:rsidRPr="004674F6">
        <w:rPr>
          <w:rStyle w:val="fontstyle01"/>
          <w:b/>
          <w:color w:val="auto"/>
        </w:rPr>
        <w:t xml:space="preserve">Quantitativo de Servidores </w:t>
      </w:r>
      <w:r>
        <w:rPr>
          <w:rStyle w:val="fontstyle01"/>
          <w:b/>
          <w:color w:val="auto"/>
        </w:rPr>
        <w:t xml:space="preserve">Civis </w:t>
      </w:r>
      <w:r w:rsidRPr="004674F6">
        <w:rPr>
          <w:rStyle w:val="fontstyle01"/>
          <w:b/>
          <w:color w:val="auto"/>
        </w:rPr>
        <w:t>Ativos</w:t>
      </w:r>
    </w:p>
    <w:p w:rsidR="0041556B" w:rsidRDefault="0041556B" w:rsidP="0041556B">
      <w:pPr>
        <w:spacing w:line="276" w:lineRule="auto"/>
        <w:jc w:val="both"/>
        <w:rPr>
          <w:rStyle w:val="fontstyle01"/>
          <w:color w:val="auto"/>
        </w:rPr>
      </w:pPr>
    </w:p>
    <w:p w:rsidR="0041556B" w:rsidRDefault="0041556B" w:rsidP="0041556B">
      <w:pPr>
        <w:spacing w:line="276" w:lineRule="auto"/>
        <w:jc w:val="both"/>
        <w:rPr>
          <w:rStyle w:val="fontstyle01"/>
          <w:color w:val="auto"/>
        </w:rPr>
      </w:pPr>
      <w:r>
        <w:rPr>
          <w:rStyle w:val="fontstyle01"/>
          <w:color w:val="auto"/>
        </w:rPr>
        <w:t>O número de servidores civis inativos cobertos pelo RPPS em dezembro de 2017 era 240.490, valor 7,9% superior ao ano de 2012, que apresentou contingente de 222.800 (Gráfico 7).</w:t>
      </w:r>
    </w:p>
    <w:p w:rsidR="0041556B" w:rsidRDefault="0041556B" w:rsidP="0041556B">
      <w:pPr>
        <w:spacing w:line="276" w:lineRule="auto"/>
        <w:jc w:val="both"/>
        <w:rPr>
          <w:rStyle w:val="fontstyle01"/>
          <w:color w:val="auto"/>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t xml:space="preserve">Gráfico </w:t>
      </w:r>
      <w:r>
        <w:rPr>
          <w:rFonts w:ascii="Arial" w:hAnsi="Arial"/>
          <w:b/>
          <w:color w:val="auto"/>
          <w:sz w:val="20"/>
          <w:szCs w:val="20"/>
        </w:rPr>
        <w:t>7</w:t>
      </w:r>
      <w:r w:rsidRPr="00014343">
        <w:rPr>
          <w:rFonts w:ascii="Arial" w:hAnsi="Arial"/>
          <w:b/>
          <w:color w:val="auto"/>
          <w:sz w:val="20"/>
          <w:szCs w:val="20"/>
        </w:rPr>
        <w:t xml:space="preserve">: Evolução do número de </w:t>
      </w:r>
      <w:r>
        <w:rPr>
          <w:rFonts w:ascii="Arial" w:hAnsi="Arial"/>
          <w:b/>
          <w:color w:val="auto"/>
          <w:sz w:val="20"/>
          <w:szCs w:val="20"/>
        </w:rPr>
        <w:t>Inativos</w:t>
      </w:r>
      <w:r w:rsidRPr="00014343">
        <w:rPr>
          <w:rFonts w:ascii="Arial" w:hAnsi="Arial"/>
          <w:b/>
          <w:color w:val="auto"/>
          <w:sz w:val="20"/>
          <w:szCs w:val="20"/>
        </w:rPr>
        <w:t xml:space="preserve"> </w:t>
      </w:r>
      <w:r>
        <w:rPr>
          <w:rFonts w:ascii="Arial" w:hAnsi="Arial"/>
          <w:b/>
          <w:color w:val="auto"/>
          <w:sz w:val="20"/>
          <w:szCs w:val="20"/>
        </w:rPr>
        <w:t>cobertos pelo RPPS por sexo</w:t>
      </w:r>
      <w:r w:rsidRPr="00014343">
        <w:rPr>
          <w:rFonts w:ascii="Arial" w:hAnsi="Arial"/>
          <w:b/>
          <w:color w:val="auto"/>
          <w:sz w:val="20"/>
          <w:szCs w:val="20"/>
        </w:rPr>
        <w:t xml:space="preserve"> – 2012</w:t>
      </w:r>
      <w:r>
        <w:rPr>
          <w:rFonts w:ascii="Arial" w:hAnsi="Arial"/>
          <w:b/>
          <w:color w:val="auto"/>
          <w:sz w:val="20"/>
          <w:szCs w:val="20"/>
        </w:rPr>
        <w:t>-</w:t>
      </w:r>
      <w:r w:rsidRPr="00014343">
        <w:rPr>
          <w:rFonts w:ascii="Arial" w:hAnsi="Arial"/>
          <w:b/>
          <w:color w:val="auto"/>
          <w:sz w:val="20"/>
          <w:szCs w:val="20"/>
        </w:rPr>
        <w:t>2017</w:t>
      </w:r>
      <w:r w:rsidRPr="00014343">
        <w:rPr>
          <w:rFonts w:ascii="Arial" w:hAnsi="Arial"/>
          <w:b/>
          <w:noProof/>
          <w:color w:val="auto"/>
          <w:sz w:val="20"/>
          <w:szCs w:val="20"/>
        </w:rPr>
        <w:t xml:space="preserve">  </w:t>
      </w:r>
    </w:p>
    <w:p w:rsidR="0041556B" w:rsidRPr="00CE6517" w:rsidRDefault="0041556B" w:rsidP="0041556B">
      <w:pPr>
        <w:pStyle w:val="B-Grf-T"/>
        <w:spacing w:before="0" w:after="0" w:line="276" w:lineRule="auto"/>
        <w:ind w:left="0" w:firstLine="0"/>
        <w:rPr>
          <w:color w:val="FF0000"/>
        </w:rPr>
      </w:pPr>
      <w:r w:rsidRPr="0077152C">
        <w:rPr>
          <w:noProof/>
        </w:rPr>
        <w:drawing>
          <wp:inline distT="0" distB="0" distL="0" distR="0" wp14:anchorId="4B3E2DCC" wp14:editId="2B6FC374">
            <wp:extent cx="5380301" cy="2795665"/>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787" cy="2803192"/>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Default="0041556B" w:rsidP="0041556B">
      <w:pPr>
        <w:spacing w:line="276" w:lineRule="auto"/>
        <w:jc w:val="both"/>
        <w:rPr>
          <w:rStyle w:val="fontstyle01"/>
          <w:color w:val="auto"/>
        </w:rPr>
      </w:pPr>
      <w:r>
        <w:rPr>
          <w:rStyle w:val="fontstyle01"/>
          <w:color w:val="auto"/>
        </w:rPr>
        <w:lastRenderedPageBreak/>
        <w:t>Nota-se que entre 2013 e 2017 o número de inativos vem crescendo em média 6,9% ao ano.</w:t>
      </w:r>
    </w:p>
    <w:p w:rsidR="0041556B" w:rsidRDefault="0041556B" w:rsidP="0041556B">
      <w:pPr>
        <w:spacing w:line="276" w:lineRule="auto"/>
        <w:jc w:val="both"/>
        <w:rPr>
          <w:rStyle w:val="fontstyle01"/>
          <w:b/>
        </w:rPr>
      </w:pPr>
    </w:p>
    <w:p w:rsidR="0041556B" w:rsidRPr="00E86004" w:rsidRDefault="0041556B" w:rsidP="0041556B">
      <w:pPr>
        <w:spacing w:line="276" w:lineRule="auto"/>
        <w:jc w:val="both"/>
        <w:rPr>
          <w:rStyle w:val="fontstyle01"/>
          <w:b/>
        </w:rPr>
      </w:pPr>
      <w:r>
        <w:rPr>
          <w:rStyle w:val="fontstyle01"/>
          <w:b/>
        </w:rPr>
        <w:t>3.4</w:t>
      </w:r>
      <w:r>
        <w:rPr>
          <w:rStyle w:val="fontstyle01"/>
          <w:b/>
        </w:rPr>
        <w:tab/>
      </w:r>
      <w:r w:rsidRPr="00E86004">
        <w:rPr>
          <w:rStyle w:val="fontstyle01"/>
          <w:b/>
        </w:rPr>
        <w:t xml:space="preserve"> </w:t>
      </w:r>
      <w:r>
        <w:rPr>
          <w:rStyle w:val="fontstyle01"/>
          <w:b/>
        </w:rPr>
        <w:t>Idade dos Servidores Civis Ativos</w:t>
      </w: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t xml:space="preserve">Gráfico </w:t>
      </w:r>
      <w:r>
        <w:rPr>
          <w:rFonts w:ascii="Arial" w:hAnsi="Arial"/>
          <w:b/>
          <w:color w:val="auto"/>
          <w:sz w:val="20"/>
          <w:szCs w:val="20"/>
        </w:rPr>
        <w:t>8</w:t>
      </w:r>
      <w:r w:rsidRPr="00014343">
        <w:rPr>
          <w:rFonts w:ascii="Arial" w:hAnsi="Arial"/>
          <w:b/>
          <w:color w:val="auto"/>
          <w:sz w:val="20"/>
          <w:szCs w:val="20"/>
        </w:rPr>
        <w:t xml:space="preserve">: </w:t>
      </w:r>
      <w:r>
        <w:rPr>
          <w:rFonts w:ascii="Arial" w:hAnsi="Arial"/>
          <w:b/>
          <w:color w:val="auto"/>
          <w:sz w:val="20"/>
          <w:szCs w:val="20"/>
        </w:rPr>
        <w:t>Distribuição da Idade dos Servidores Ativos</w:t>
      </w:r>
      <w:r>
        <w:rPr>
          <w:rFonts w:ascii="Arial" w:hAnsi="Arial"/>
          <w:b/>
          <w:noProof/>
          <w:color w:val="auto"/>
          <w:sz w:val="20"/>
          <w:szCs w:val="20"/>
        </w:rPr>
        <w:t xml:space="preserve"> (Quantitativo)</w:t>
      </w:r>
    </w:p>
    <w:p w:rsidR="0041556B" w:rsidRPr="00CE6517" w:rsidRDefault="0041556B" w:rsidP="0041556B">
      <w:pPr>
        <w:pStyle w:val="B-Grf-T"/>
        <w:spacing w:before="0" w:after="0" w:line="276" w:lineRule="auto"/>
        <w:ind w:left="0" w:firstLine="0"/>
        <w:rPr>
          <w:color w:val="FF0000"/>
        </w:rPr>
      </w:pPr>
      <w:r w:rsidRPr="004932EE">
        <w:rPr>
          <w:noProof/>
        </w:rPr>
        <w:drawing>
          <wp:inline distT="0" distB="0" distL="0" distR="0" wp14:anchorId="79A9F288" wp14:editId="07CA50DB">
            <wp:extent cx="5400040" cy="2931992"/>
            <wp:effectExtent l="0" t="0" r="0" b="19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931992"/>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Default="0041556B" w:rsidP="0041556B">
      <w:pPr>
        <w:spacing w:line="276" w:lineRule="auto"/>
        <w:jc w:val="both"/>
        <w:rPr>
          <w:rStyle w:val="fontstyle01"/>
          <w:b/>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t xml:space="preserve">Gráfico </w:t>
      </w:r>
      <w:r>
        <w:rPr>
          <w:rFonts w:ascii="Arial" w:hAnsi="Arial"/>
          <w:b/>
          <w:color w:val="auto"/>
          <w:sz w:val="20"/>
          <w:szCs w:val="20"/>
        </w:rPr>
        <w:t>9</w:t>
      </w:r>
      <w:r w:rsidRPr="00014343">
        <w:rPr>
          <w:rFonts w:ascii="Arial" w:hAnsi="Arial"/>
          <w:b/>
          <w:color w:val="auto"/>
          <w:sz w:val="20"/>
          <w:szCs w:val="20"/>
        </w:rPr>
        <w:t xml:space="preserve">: </w:t>
      </w:r>
      <w:r>
        <w:rPr>
          <w:rFonts w:ascii="Arial" w:hAnsi="Arial"/>
          <w:b/>
          <w:color w:val="auto"/>
          <w:sz w:val="20"/>
          <w:szCs w:val="20"/>
        </w:rPr>
        <w:t>Distribuição da Idade dos Servidores Ativos</w:t>
      </w:r>
      <w:r>
        <w:rPr>
          <w:rFonts w:ascii="Arial" w:hAnsi="Arial"/>
          <w:b/>
          <w:noProof/>
          <w:color w:val="auto"/>
          <w:sz w:val="20"/>
          <w:szCs w:val="20"/>
        </w:rPr>
        <w:t xml:space="preserve"> (Porcentagem)</w:t>
      </w:r>
    </w:p>
    <w:p w:rsidR="0041556B" w:rsidRPr="00CE6517" w:rsidRDefault="0041556B" w:rsidP="0041556B">
      <w:pPr>
        <w:pStyle w:val="B-Grf-T"/>
        <w:spacing w:before="0" w:after="0" w:line="276" w:lineRule="auto"/>
        <w:ind w:left="0" w:firstLine="0"/>
        <w:rPr>
          <w:color w:val="FF0000"/>
        </w:rPr>
      </w:pPr>
      <w:r w:rsidRPr="004932EE">
        <w:rPr>
          <w:noProof/>
        </w:rPr>
        <w:drawing>
          <wp:inline distT="0" distB="0" distL="0" distR="0" wp14:anchorId="778CA85D" wp14:editId="6A23EA93">
            <wp:extent cx="5400040" cy="2998392"/>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98392"/>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Default="0041556B" w:rsidP="0041556B">
      <w:pPr>
        <w:spacing w:line="276" w:lineRule="auto"/>
        <w:jc w:val="both"/>
        <w:rPr>
          <w:rStyle w:val="fontstyle01"/>
          <w:b/>
        </w:rPr>
      </w:pPr>
    </w:p>
    <w:p w:rsidR="0041556B" w:rsidRDefault="0041556B" w:rsidP="0041556B">
      <w:pPr>
        <w:spacing w:line="276" w:lineRule="auto"/>
        <w:jc w:val="both"/>
        <w:rPr>
          <w:rStyle w:val="fontstyle01"/>
          <w:b/>
        </w:rPr>
      </w:pPr>
      <w:r>
        <w:rPr>
          <w:rStyle w:val="fontstyle01"/>
          <w:b/>
        </w:rPr>
        <w:lastRenderedPageBreak/>
        <w:t>3.5</w:t>
      </w:r>
      <w:r>
        <w:rPr>
          <w:rStyle w:val="fontstyle01"/>
          <w:b/>
        </w:rPr>
        <w:tab/>
      </w:r>
      <w:r w:rsidRPr="00E86004">
        <w:rPr>
          <w:rStyle w:val="fontstyle01"/>
          <w:b/>
        </w:rPr>
        <w:t xml:space="preserve"> </w:t>
      </w:r>
      <w:r>
        <w:rPr>
          <w:rStyle w:val="fontstyle01"/>
          <w:b/>
        </w:rPr>
        <w:t>Idade dos Servidores Civis Inativos</w:t>
      </w:r>
    </w:p>
    <w:p w:rsidR="0041556B" w:rsidRPr="00E86004" w:rsidRDefault="0041556B" w:rsidP="0041556B">
      <w:pPr>
        <w:spacing w:line="276" w:lineRule="auto"/>
        <w:jc w:val="both"/>
        <w:rPr>
          <w:rStyle w:val="fontstyle01"/>
          <w:b/>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t xml:space="preserve">Gráfico </w:t>
      </w:r>
      <w:r>
        <w:rPr>
          <w:rFonts w:ascii="Arial" w:hAnsi="Arial"/>
          <w:b/>
          <w:color w:val="auto"/>
          <w:sz w:val="20"/>
          <w:szCs w:val="20"/>
        </w:rPr>
        <w:t>10</w:t>
      </w:r>
      <w:r w:rsidRPr="00014343">
        <w:rPr>
          <w:rFonts w:ascii="Arial" w:hAnsi="Arial"/>
          <w:b/>
          <w:color w:val="auto"/>
          <w:sz w:val="20"/>
          <w:szCs w:val="20"/>
        </w:rPr>
        <w:t xml:space="preserve">: </w:t>
      </w:r>
      <w:r>
        <w:rPr>
          <w:rFonts w:ascii="Arial" w:hAnsi="Arial"/>
          <w:b/>
          <w:color w:val="auto"/>
          <w:sz w:val="20"/>
          <w:szCs w:val="20"/>
        </w:rPr>
        <w:t>Distribuição da Idade dos Servidores Inativos (Quantitativo)</w:t>
      </w:r>
      <w:r w:rsidRPr="00014343">
        <w:rPr>
          <w:rFonts w:ascii="Arial" w:hAnsi="Arial"/>
          <w:b/>
          <w:noProof/>
          <w:color w:val="auto"/>
          <w:sz w:val="20"/>
          <w:szCs w:val="20"/>
        </w:rPr>
        <w:t xml:space="preserve">  </w:t>
      </w:r>
    </w:p>
    <w:p w:rsidR="0041556B" w:rsidRPr="00CE6517" w:rsidRDefault="0041556B" w:rsidP="0041556B">
      <w:pPr>
        <w:pStyle w:val="B-Grf-T"/>
        <w:spacing w:before="0" w:after="0" w:line="276" w:lineRule="auto"/>
        <w:ind w:left="0" w:firstLine="0"/>
        <w:rPr>
          <w:color w:val="FF0000"/>
        </w:rPr>
      </w:pPr>
      <w:r w:rsidRPr="004932EE">
        <w:rPr>
          <w:noProof/>
        </w:rPr>
        <w:drawing>
          <wp:inline distT="0" distB="0" distL="0" distR="0" wp14:anchorId="7EEAEDBA" wp14:editId="15AF0118">
            <wp:extent cx="5400040" cy="3100984"/>
            <wp:effectExtent l="0" t="0" r="0" b="444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00984"/>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Default="0041556B" w:rsidP="0041556B">
      <w:pPr>
        <w:spacing w:line="276" w:lineRule="auto"/>
        <w:jc w:val="both"/>
        <w:rPr>
          <w:rStyle w:val="fontstyle01"/>
          <w:b/>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Pr>
          <w:rFonts w:ascii="Arial" w:hAnsi="Arial"/>
          <w:b/>
          <w:color w:val="auto"/>
          <w:sz w:val="20"/>
          <w:szCs w:val="20"/>
        </w:rPr>
        <w:t>G</w:t>
      </w:r>
      <w:r w:rsidRPr="00014343">
        <w:rPr>
          <w:rFonts w:ascii="Arial" w:hAnsi="Arial"/>
          <w:b/>
          <w:color w:val="auto"/>
          <w:sz w:val="20"/>
          <w:szCs w:val="20"/>
        </w:rPr>
        <w:t xml:space="preserve">ráfico </w:t>
      </w:r>
      <w:r>
        <w:rPr>
          <w:rFonts w:ascii="Arial" w:hAnsi="Arial"/>
          <w:b/>
          <w:color w:val="auto"/>
          <w:sz w:val="20"/>
          <w:szCs w:val="20"/>
        </w:rPr>
        <w:t>11</w:t>
      </w:r>
      <w:r w:rsidRPr="00014343">
        <w:rPr>
          <w:rFonts w:ascii="Arial" w:hAnsi="Arial"/>
          <w:b/>
          <w:color w:val="auto"/>
          <w:sz w:val="20"/>
          <w:szCs w:val="20"/>
        </w:rPr>
        <w:t xml:space="preserve">: </w:t>
      </w:r>
      <w:r>
        <w:rPr>
          <w:rFonts w:ascii="Arial" w:hAnsi="Arial"/>
          <w:b/>
          <w:color w:val="auto"/>
          <w:sz w:val="20"/>
          <w:szCs w:val="20"/>
        </w:rPr>
        <w:t>Distribuição da Idade dos Servidores Inativos (Porcentagem)</w:t>
      </w:r>
    </w:p>
    <w:p w:rsidR="0041556B" w:rsidRPr="00CE6517" w:rsidRDefault="0041556B" w:rsidP="0041556B">
      <w:pPr>
        <w:pStyle w:val="B-Grf-T"/>
        <w:spacing w:before="0" w:after="0" w:line="276" w:lineRule="auto"/>
        <w:ind w:left="0" w:firstLine="0"/>
        <w:rPr>
          <w:color w:val="FF0000"/>
        </w:rPr>
      </w:pPr>
      <w:r w:rsidRPr="004932EE">
        <w:rPr>
          <w:noProof/>
        </w:rPr>
        <w:drawing>
          <wp:inline distT="0" distB="0" distL="0" distR="0" wp14:anchorId="75C9A765" wp14:editId="5427B7F0">
            <wp:extent cx="5400040" cy="3100984"/>
            <wp:effectExtent l="0" t="0" r="0" b="444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00984"/>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Default="0041556B" w:rsidP="0041556B">
      <w:pPr>
        <w:spacing w:line="276" w:lineRule="auto"/>
        <w:jc w:val="both"/>
        <w:rPr>
          <w:rStyle w:val="fontstyle01"/>
          <w:b/>
        </w:rPr>
      </w:pPr>
    </w:p>
    <w:p w:rsidR="0041556B" w:rsidRDefault="0041556B" w:rsidP="0041556B">
      <w:pPr>
        <w:spacing w:line="276" w:lineRule="auto"/>
        <w:jc w:val="both"/>
        <w:rPr>
          <w:rStyle w:val="fontstyle01"/>
        </w:rPr>
      </w:pPr>
    </w:p>
    <w:p w:rsidR="0041556B" w:rsidRPr="00E86004" w:rsidRDefault="0041556B" w:rsidP="0041556B">
      <w:pPr>
        <w:spacing w:line="276" w:lineRule="auto"/>
        <w:jc w:val="both"/>
        <w:rPr>
          <w:rStyle w:val="fontstyle01"/>
          <w:b/>
        </w:rPr>
      </w:pPr>
      <w:r>
        <w:rPr>
          <w:rStyle w:val="fontstyle01"/>
          <w:b/>
        </w:rPr>
        <w:lastRenderedPageBreak/>
        <w:t>3.6</w:t>
      </w:r>
      <w:r>
        <w:rPr>
          <w:rStyle w:val="fontstyle01"/>
          <w:b/>
        </w:rPr>
        <w:tab/>
      </w:r>
      <w:r w:rsidRPr="00E86004">
        <w:rPr>
          <w:rStyle w:val="fontstyle01"/>
          <w:b/>
        </w:rPr>
        <w:t>Salário Médio de Contribuição</w:t>
      </w:r>
    </w:p>
    <w:p w:rsidR="0041556B" w:rsidRDefault="0041556B" w:rsidP="0041556B">
      <w:pPr>
        <w:spacing w:line="276" w:lineRule="auto"/>
        <w:jc w:val="both"/>
        <w:rPr>
          <w:rStyle w:val="fontstyle01"/>
        </w:rPr>
      </w:pPr>
    </w:p>
    <w:p w:rsidR="0041556B" w:rsidRDefault="0041556B" w:rsidP="0041556B">
      <w:pPr>
        <w:spacing w:line="276" w:lineRule="auto"/>
        <w:jc w:val="both"/>
        <w:rPr>
          <w:rStyle w:val="fontstyle01"/>
          <w:b/>
          <w:color w:val="auto"/>
        </w:rPr>
      </w:pPr>
      <w:r>
        <w:rPr>
          <w:rStyle w:val="fontstyle01"/>
          <w:b/>
          <w:color w:val="auto"/>
        </w:rPr>
        <w:t>3.7</w:t>
      </w:r>
      <w:r>
        <w:rPr>
          <w:rStyle w:val="fontstyle01"/>
          <w:b/>
          <w:color w:val="auto"/>
        </w:rPr>
        <w:tab/>
      </w:r>
      <w:r w:rsidRPr="004674F6">
        <w:rPr>
          <w:rStyle w:val="fontstyle01"/>
          <w:b/>
          <w:color w:val="auto"/>
        </w:rPr>
        <w:t xml:space="preserve">Quantitativo de </w:t>
      </w:r>
      <w:r>
        <w:rPr>
          <w:rStyle w:val="fontstyle01"/>
          <w:b/>
          <w:color w:val="auto"/>
        </w:rPr>
        <w:t>Pensionistas</w:t>
      </w:r>
    </w:p>
    <w:p w:rsidR="0041556B" w:rsidRDefault="0041556B" w:rsidP="0041556B">
      <w:pPr>
        <w:spacing w:line="276" w:lineRule="auto"/>
        <w:jc w:val="both"/>
        <w:rPr>
          <w:rStyle w:val="fontstyle01"/>
          <w:color w:val="auto"/>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t xml:space="preserve">Gráfico </w:t>
      </w:r>
      <w:r>
        <w:rPr>
          <w:rFonts w:ascii="Arial" w:hAnsi="Arial"/>
          <w:b/>
          <w:color w:val="auto"/>
          <w:sz w:val="20"/>
          <w:szCs w:val="20"/>
        </w:rPr>
        <w:t>12</w:t>
      </w:r>
      <w:r w:rsidRPr="00014343">
        <w:rPr>
          <w:rFonts w:ascii="Arial" w:hAnsi="Arial"/>
          <w:b/>
          <w:color w:val="auto"/>
          <w:sz w:val="20"/>
          <w:szCs w:val="20"/>
        </w:rPr>
        <w:t xml:space="preserve">: Evolução do número de </w:t>
      </w:r>
      <w:r>
        <w:rPr>
          <w:rFonts w:ascii="Arial" w:hAnsi="Arial"/>
          <w:b/>
          <w:color w:val="auto"/>
          <w:sz w:val="20"/>
          <w:szCs w:val="20"/>
        </w:rPr>
        <w:t>Aposentados</w:t>
      </w:r>
      <w:r w:rsidRPr="00014343">
        <w:rPr>
          <w:rFonts w:ascii="Arial" w:hAnsi="Arial"/>
          <w:b/>
          <w:color w:val="auto"/>
          <w:sz w:val="20"/>
          <w:szCs w:val="20"/>
        </w:rPr>
        <w:t xml:space="preserve"> </w:t>
      </w:r>
      <w:r>
        <w:rPr>
          <w:rFonts w:ascii="Arial" w:hAnsi="Arial"/>
          <w:b/>
          <w:color w:val="auto"/>
          <w:sz w:val="20"/>
          <w:szCs w:val="20"/>
        </w:rPr>
        <w:t>cobertos pelo RPPS por sexo</w:t>
      </w:r>
      <w:r w:rsidRPr="00014343">
        <w:rPr>
          <w:rFonts w:ascii="Arial" w:hAnsi="Arial"/>
          <w:b/>
          <w:color w:val="auto"/>
          <w:sz w:val="20"/>
          <w:szCs w:val="20"/>
        </w:rPr>
        <w:t xml:space="preserve"> – 2012</w:t>
      </w:r>
      <w:r>
        <w:rPr>
          <w:rFonts w:ascii="Arial" w:hAnsi="Arial"/>
          <w:b/>
          <w:color w:val="auto"/>
          <w:sz w:val="20"/>
          <w:szCs w:val="20"/>
        </w:rPr>
        <w:t>-</w:t>
      </w:r>
      <w:r w:rsidRPr="00014343">
        <w:rPr>
          <w:rFonts w:ascii="Arial" w:hAnsi="Arial"/>
          <w:b/>
          <w:color w:val="auto"/>
          <w:sz w:val="20"/>
          <w:szCs w:val="20"/>
        </w:rPr>
        <w:t>2017</w:t>
      </w:r>
      <w:r w:rsidRPr="00014343">
        <w:rPr>
          <w:rFonts w:ascii="Arial" w:hAnsi="Arial"/>
          <w:b/>
          <w:noProof/>
          <w:color w:val="auto"/>
          <w:sz w:val="20"/>
          <w:szCs w:val="20"/>
        </w:rPr>
        <w:t xml:space="preserve">  </w:t>
      </w:r>
    </w:p>
    <w:p w:rsidR="0041556B" w:rsidRPr="00CE6517" w:rsidRDefault="0041556B" w:rsidP="0041556B">
      <w:pPr>
        <w:pStyle w:val="B-Grf-T"/>
        <w:spacing w:before="0" w:after="0" w:line="276" w:lineRule="auto"/>
        <w:ind w:left="0" w:firstLine="0"/>
        <w:rPr>
          <w:color w:val="FF0000"/>
        </w:rPr>
      </w:pPr>
      <w:r w:rsidRPr="001A388B">
        <w:rPr>
          <w:noProof/>
        </w:rPr>
        <w:drawing>
          <wp:inline distT="0" distB="0" distL="0" distR="0" wp14:anchorId="12C861E9" wp14:editId="2C60D474">
            <wp:extent cx="5400040" cy="292013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20137"/>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Default="0041556B" w:rsidP="0041556B">
      <w:pPr>
        <w:spacing w:line="276" w:lineRule="auto"/>
        <w:jc w:val="both"/>
        <w:rPr>
          <w:rStyle w:val="fontstyle01"/>
          <w:color w:val="auto"/>
        </w:rPr>
      </w:pPr>
    </w:p>
    <w:p w:rsidR="0041556B" w:rsidRPr="000D7D8C" w:rsidRDefault="0041556B" w:rsidP="0041556B">
      <w:pPr>
        <w:pStyle w:val="B-Grf-T"/>
        <w:spacing w:before="0" w:after="0" w:line="276" w:lineRule="auto"/>
        <w:ind w:left="0" w:firstLine="0"/>
        <w:jc w:val="both"/>
        <w:rPr>
          <w:rFonts w:ascii="Arial" w:hAnsi="Arial"/>
          <w:color w:val="auto"/>
          <w:sz w:val="20"/>
          <w:szCs w:val="20"/>
        </w:rPr>
      </w:pPr>
    </w:p>
    <w:p w:rsidR="0041556B" w:rsidRDefault="0041556B" w:rsidP="0041556B">
      <w:pPr>
        <w:pStyle w:val="B-Grf-T"/>
        <w:spacing w:before="0" w:after="0" w:line="276" w:lineRule="auto"/>
        <w:ind w:left="0" w:firstLine="0"/>
        <w:jc w:val="both"/>
        <w:rPr>
          <w:rFonts w:ascii="Arial" w:hAnsi="Arial"/>
          <w:b/>
          <w:color w:val="auto"/>
          <w:sz w:val="20"/>
          <w:szCs w:val="20"/>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t xml:space="preserve">Gráfico </w:t>
      </w:r>
      <w:r>
        <w:rPr>
          <w:rFonts w:ascii="Arial" w:hAnsi="Arial"/>
          <w:b/>
          <w:color w:val="auto"/>
          <w:sz w:val="20"/>
          <w:szCs w:val="20"/>
        </w:rPr>
        <w:t>13</w:t>
      </w:r>
      <w:r w:rsidRPr="00014343">
        <w:rPr>
          <w:rFonts w:ascii="Arial" w:hAnsi="Arial"/>
          <w:b/>
          <w:color w:val="auto"/>
          <w:sz w:val="20"/>
          <w:szCs w:val="20"/>
        </w:rPr>
        <w:t xml:space="preserve">: Evolução </w:t>
      </w:r>
      <w:r>
        <w:rPr>
          <w:rFonts w:ascii="Arial" w:hAnsi="Arial"/>
          <w:b/>
          <w:color w:val="auto"/>
          <w:sz w:val="20"/>
          <w:szCs w:val="20"/>
        </w:rPr>
        <w:t xml:space="preserve">número de Servidores Civis Ativos e Inativos </w:t>
      </w:r>
      <w:r w:rsidRPr="00014343">
        <w:rPr>
          <w:rFonts w:ascii="Arial" w:hAnsi="Arial"/>
          <w:b/>
          <w:color w:val="auto"/>
          <w:sz w:val="20"/>
          <w:szCs w:val="20"/>
        </w:rPr>
        <w:t>– 201</w:t>
      </w:r>
      <w:r>
        <w:rPr>
          <w:rFonts w:ascii="Arial" w:hAnsi="Arial"/>
          <w:b/>
          <w:color w:val="auto"/>
          <w:sz w:val="20"/>
          <w:szCs w:val="20"/>
        </w:rPr>
        <w:t>3-</w:t>
      </w:r>
      <w:r w:rsidRPr="00014343">
        <w:rPr>
          <w:rFonts w:ascii="Arial" w:hAnsi="Arial"/>
          <w:b/>
          <w:color w:val="auto"/>
          <w:sz w:val="20"/>
          <w:szCs w:val="20"/>
        </w:rPr>
        <w:t>2017</w:t>
      </w:r>
      <w:r w:rsidRPr="00014343">
        <w:rPr>
          <w:rFonts w:ascii="Arial" w:hAnsi="Arial"/>
          <w:b/>
          <w:noProof/>
          <w:color w:val="auto"/>
          <w:sz w:val="20"/>
          <w:szCs w:val="20"/>
        </w:rPr>
        <w:t xml:space="preserve">  </w:t>
      </w:r>
    </w:p>
    <w:p w:rsidR="0041556B" w:rsidRPr="00CE6517" w:rsidRDefault="0041556B" w:rsidP="0041556B">
      <w:pPr>
        <w:pStyle w:val="B-Grf-T"/>
        <w:spacing w:before="0" w:after="0" w:line="276" w:lineRule="auto"/>
        <w:ind w:left="0" w:firstLine="0"/>
        <w:rPr>
          <w:color w:val="FF0000"/>
        </w:rPr>
      </w:pPr>
      <w:r w:rsidRPr="000D7D8C">
        <w:rPr>
          <w:noProof/>
        </w:rPr>
        <w:drawing>
          <wp:inline distT="0" distB="0" distL="0" distR="0" wp14:anchorId="19C33172" wp14:editId="704CAAF1">
            <wp:extent cx="5400040" cy="263514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35142"/>
                    </a:xfrm>
                    <a:prstGeom prst="rect">
                      <a:avLst/>
                    </a:prstGeom>
                    <a:noFill/>
                    <a:ln>
                      <a:noFill/>
                    </a:ln>
                  </pic:spPr>
                </pic:pic>
              </a:graphicData>
            </a:graphic>
          </wp:inline>
        </w:drawing>
      </w:r>
    </w:p>
    <w:p w:rsidR="0041556B" w:rsidRDefault="0041556B" w:rsidP="0041556B">
      <w:pPr>
        <w:pStyle w:val="B-Grf-T"/>
        <w:spacing w:before="0" w:after="0" w:line="276" w:lineRule="auto"/>
        <w:ind w:left="0" w:firstLine="0"/>
        <w:jc w:val="both"/>
        <w:rPr>
          <w:rFonts w:ascii="Arial" w:hAnsi="Arial"/>
          <w:sz w:val="18"/>
          <w:szCs w:val="18"/>
        </w:rPr>
      </w:pPr>
      <w:r w:rsidRPr="00014343">
        <w:rPr>
          <w:rFonts w:ascii="Arial" w:hAnsi="Arial"/>
          <w:sz w:val="18"/>
          <w:szCs w:val="18"/>
        </w:rPr>
        <w:t>Fonte: Relatório de Avaliação Atuarial e Anexo de Metas Fiscais das Leis de Diretrizes Orçamentárias (LDO).</w:t>
      </w:r>
    </w:p>
    <w:p w:rsidR="0041556B" w:rsidRPr="00A4526D" w:rsidRDefault="0041556B" w:rsidP="0041556B">
      <w:pPr>
        <w:pStyle w:val="B-Grf-T"/>
        <w:spacing w:before="0" w:after="0" w:line="276" w:lineRule="auto"/>
        <w:ind w:left="0" w:firstLine="0"/>
        <w:jc w:val="both"/>
        <w:rPr>
          <w:rStyle w:val="fontstyle01"/>
          <w:rFonts w:ascii="Arial" w:hAnsi="Arial"/>
          <w:sz w:val="20"/>
          <w:szCs w:val="20"/>
        </w:rPr>
      </w:pPr>
    </w:p>
    <w:p w:rsidR="0041556B" w:rsidRPr="00014343" w:rsidRDefault="0041556B" w:rsidP="0041556B">
      <w:pPr>
        <w:pStyle w:val="B-Grf-T"/>
        <w:spacing w:before="0" w:after="0" w:line="276" w:lineRule="auto"/>
        <w:ind w:left="0" w:firstLine="0"/>
        <w:jc w:val="both"/>
        <w:rPr>
          <w:rFonts w:ascii="Arial" w:hAnsi="Arial"/>
          <w:b/>
          <w:noProof/>
          <w:color w:val="auto"/>
          <w:sz w:val="20"/>
          <w:szCs w:val="20"/>
        </w:rPr>
      </w:pPr>
      <w:r w:rsidRPr="00014343">
        <w:rPr>
          <w:rFonts w:ascii="Arial" w:hAnsi="Arial"/>
          <w:b/>
          <w:color w:val="auto"/>
          <w:sz w:val="20"/>
          <w:szCs w:val="20"/>
        </w:rPr>
        <w:lastRenderedPageBreak/>
        <w:t xml:space="preserve">Gráfico </w:t>
      </w:r>
      <w:r>
        <w:rPr>
          <w:rFonts w:ascii="Arial" w:hAnsi="Arial"/>
          <w:b/>
          <w:color w:val="auto"/>
          <w:sz w:val="20"/>
          <w:szCs w:val="20"/>
        </w:rPr>
        <w:t>14</w:t>
      </w:r>
      <w:r w:rsidRPr="00014343">
        <w:rPr>
          <w:rFonts w:ascii="Arial" w:hAnsi="Arial"/>
          <w:b/>
          <w:color w:val="auto"/>
          <w:sz w:val="20"/>
          <w:szCs w:val="20"/>
        </w:rPr>
        <w:t xml:space="preserve">: Evolução </w:t>
      </w:r>
      <w:r>
        <w:rPr>
          <w:rFonts w:ascii="Arial" w:hAnsi="Arial"/>
          <w:b/>
          <w:color w:val="auto"/>
          <w:sz w:val="20"/>
          <w:szCs w:val="20"/>
        </w:rPr>
        <w:t xml:space="preserve">da Folha Mensal de Salários de Contribuição de Ativos e </w:t>
      </w:r>
      <w:proofErr w:type="gramStart"/>
      <w:r>
        <w:rPr>
          <w:rFonts w:ascii="Arial" w:hAnsi="Arial"/>
          <w:b/>
          <w:color w:val="auto"/>
          <w:sz w:val="20"/>
          <w:szCs w:val="20"/>
        </w:rPr>
        <w:t xml:space="preserve">Inativos </w:t>
      </w:r>
      <w:r w:rsidRPr="00014343">
        <w:rPr>
          <w:rFonts w:ascii="Arial" w:hAnsi="Arial"/>
          <w:b/>
          <w:color w:val="auto"/>
          <w:sz w:val="20"/>
          <w:szCs w:val="20"/>
        </w:rPr>
        <w:t xml:space="preserve"> 201</w:t>
      </w:r>
      <w:r>
        <w:rPr>
          <w:rFonts w:ascii="Arial" w:hAnsi="Arial"/>
          <w:b/>
          <w:color w:val="auto"/>
          <w:sz w:val="20"/>
          <w:szCs w:val="20"/>
        </w:rPr>
        <w:t>3</w:t>
      </w:r>
      <w:proofErr w:type="gramEnd"/>
      <w:r>
        <w:rPr>
          <w:rFonts w:ascii="Arial" w:hAnsi="Arial"/>
          <w:b/>
          <w:color w:val="auto"/>
          <w:sz w:val="20"/>
          <w:szCs w:val="20"/>
        </w:rPr>
        <w:t>-</w:t>
      </w:r>
      <w:r w:rsidRPr="00014343">
        <w:rPr>
          <w:rFonts w:ascii="Arial" w:hAnsi="Arial"/>
          <w:b/>
          <w:color w:val="auto"/>
          <w:sz w:val="20"/>
          <w:szCs w:val="20"/>
        </w:rPr>
        <w:t>2017</w:t>
      </w:r>
      <w:r w:rsidRPr="00014343">
        <w:rPr>
          <w:rFonts w:ascii="Arial" w:hAnsi="Arial"/>
          <w:b/>
          <w:noProof/>
          <w:color w:val="auto"/>
          <w:sz w:val="20"/>
          <w:szCs w:val="20"/>
        </w:rPr>
        <w:t xml:space="preserve">  </w:t>
      </w:r>
    </w:p>
    <w:p w:rsidR="0041556B" w:rsidRPr="00CE6517" w:rsidRDefault="0041556B" w:rsidP="0041556B">
      <w:pPr>
        <w:pStyle w:val="B-Grf-T"/>
        <w:spacing w:before="0" w:after="0" w:line="276" w:lineRule="auto"/>
        <w:ind w:left="0" w:firstLine="0"/>
        <w:rPr>
          <w:color w:val="FF0000"/>
        </w:rPr>
      </w:pPr>
      <w:r w:rsidRPr="00556CA9">
        <w:rPr>
          <w:noProof/>
        </w:rPr>
        <w:drawing>
          <wp:inline distT="0" distB="0" distL="0" distR="0" wp14:anchorId="4846D929" wp14:editId="6105CC3D">
            <wp:extent cx="5400040" cy="3066987"/>
            <wp:effectExtent l="0" t="0" r="0" b="63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66987"/>
                    </a:xfrm>
                    <a:prstGeom prst="rect">
                      <a:avLst/>
                    </a:prstGeom>
                    <a:noFill/>
                    <a:ln>
                      <a:noFill/>
                    </a:ln>
                  </pic:spPr>
                </pic:pic>
              </a:graphicData>
            </a:graphic>
          </wp:inline>
        </w:drawing>
      </w:r>
    </w:p>
    <w:p w:rsidR="0041556B" w:rsidRPr="00014343" w:rsidRDefault="0041556B" w:rsidP="0041556B">
      <w:pPr>
        <w:pStyle w:val="B-Grf-T"/>
        <w:spacing w:before="0" w:after="0" w:line="276" w:lineRule="auto"/>
        <w:ind w:left="0" w:firstLine="0"/>
        <w:jc w:val="both"/>
        <w:rPr>
          <w:rFonts w:ascii="Arial" w:hAnsi="Arial"/>
          <w:sz w:val="20"/>
          <w:szCs w:val="20"/>
        </w:rPr>
      </w:pPr>
      <w:r w:rsidRPr="00014343">
        <w:rPr>
          <w:rFonts w:ascii="Arial" w:hAnsi="Arial"/>
          <w:sz w:val="18"/>
          <w:szCs w:val="18"/>
        </w:rPr>
        <w:t>Fonte: Relatório de Avaliação Atuarial e Anexo de Metas Fiscais das Leis de Diretrizes Orçamentárias (LDO).</w:t>
      </w:r>
    </w:p>
    <w:p w:rsidR="0041556B" w:rsidRPr="004674F6" w:rsidRDefault="0041556B" w:rsidP="0041556B">
      <w:pPr>
        <w:spacing w:line="276" w:lineRule="auto"/>
        <w:jc w:val="both"/>
        <w:rPr>
          <w:rStyle w:val="fontstyle01"/>
          <w:b/>
          <w:color w:val="auto"/>
        </w:rPr>
      </w:pPr>
    </w:p>
    <w:p w:rsidR="0041556B" w:rsidRDefault="0041556B" w:rsidP="0041556B">
      <w:pPr>
        <w:spacing w:line="276" w:lineRule="auto"/>
        <w:jc w:val="both"/>
        <w:rPr>
          <w:rStyle w:val="fontstyle01"/>
          <w:b/>
        </w:rPr>
      </w:pPr>
    </w:p>
    <w:p w:rsidR="0041556B" w:rsidRDefault="0041556B" w:rsidP="0041556B">
      <w:pPr>
        <w:spacing w:line="276" w:lineRule="auto"/>
        <w:jc w:val="both"/>
        <w:rPr>
          <w:rStyle w:val="fontstyle01"/>
          <w:b/>
        </w:rPr>
      </w:pPr>
      <w:r>
        <w:rPr>
          <w:rStyle w:val="fontstyle01"/>
          <w:b/>
        </w:rPr>
        <w:t>3.8</w:t>
      </w:r>
      <w:r>
        <w:rPr>
          <w:rStyle w:val="fontstyle01"/>
          <w:b/>
        </w:rPr>
        <w:tab/>
        <w:t>Quantitativo de Militares</w:t>
      </w:r>
    </w:p>
    <w:p w:rsidR="0041556B" w:rsidRDefault="0041556B" w:rsidP="0041556B">
      <w:pPr>
        <w:spacing w:line="276" w:lineRule="auto"/>
        <w:jc w:val="both"/>
        <w:rPr>
          <w:rStyle w:val="fontstyle01"/>
          <w:color w:val="auto"/>
        </w:rPr>
      </w:pPr>
      <w:r w:rsidRPr="002C0F4C">
        <w:rPr>
          <w:rStyle w:val="fontstyle01"/>
          <w:color w:val="auto"/>
        </w:rPr>
        <w:t xml:space="preserve">O número de </w:t>
      </w:r>
      <w:r>
        <w:rPr>
          <w:rStyle w:val="fontstyle01"/>
          <w:color w:val="auto"/>
        </w:rPr>
        <w:t xml:space="preserve">servidores militares ativos saltou de XX em 2011 para YY em 2017, perfazendo um incremento de x%. Os dados mostram que nos últimos x anos o número de militares na ativa cresceu numa velocidade maior (menor) do que o restante do funcionalismo público. </w:t>
      </w:r>
    </w:p>
    <w:p w:rsidR="0041556B" w:rsidRDefault="0041556B" w:rsidP="0041556B">
      <w:pPr>
        <w:spacing w:line="276" w:lineRule="auto"/>
        <w:jc w:val="both"/>
        <w:rPr>
          <w:rStyle w:val="fontstyle01"/>
          <w:color w:val="auto"/>
        </w:rPr>
      </w:pPr>
      <w:r>
        <w:rPr>
          <w:rStyle w:val="fontstyle01"/>
          <w:color w:val="auto"/>
        </w:rPr>
        <w:t xml:space="preserve">Já o número de aposentados apresentou acréscimo de x% entre os anos de 2012 e 2017, percentual menor (maior) do que os servidores civis. Em 2016 haviam </w:t>
      </w:r>
    </w:p>
    <w:p w:rsidR="00637C70" w:rsidRPr="00420FDA" w:rsidRDefault="00637C70" w:rsidP="00E708D1">
      <w:pPr>
        <w:jc w:val="both"/>
        <w:rPr>
          <w:rStyle w:val="fontstyle01"/>
        </w:rPr>
      </w:pPr>
    </w:p>
    <w:p w:rsidR="00637C70" w:rsidRPr="00637C70" w:rsidRDefault="006C7DBA" w:rsidP="00637C70">
      <w:pPr>
        <w:jc w:val="both"/>
        <w:rPr>
          <w:rFonts w:ascii="Arial" w:hAnsi="Arial" w:cs="Arial"/>
          <w:b/>
          <w:sz w:val="24"/>
        </w:rPr>
      </w:pPr>
      <w:r>
        <w:rPr>
          <w:rStyle w:val="fontstyle01"/>
          <w:b/>
        </w:rPr>
        <w:t>4</w:t>
      </w:r>
      <w:r>
        <w:rPr>
          <w:rStyle w:val="fontstyle01"/>
          <w:b/>
        </w:rPr>
        <w:tab/>
      </w:r>
      <w:r w:rsidR="00637C70" w:rsidRPr="00637C70">
        <w:rPr>
          <w:rFonts w:ascii="Arial" w:hAnsi="Arial" w:cs="Arial"/>
          <w:b/>
          <w:sz w:val="24"/>
        </w:rPr>
        <w:t>EVOLUÇÃO DO DÉFICIT PREVIDENCIÁRIO</w:t>
      </w:r>
      <w:r w:rsidR="00144FE9" w:rsidRPr="00144FE9">
        <w:rPr>
          <w:rStyle w:val="fontstyle01"/>
          <w:b/>
        </w:rPr>
        <w:t xml:space="preserve"> </w:t>
      </w:r>
      <w:r w:rsidR="00144FE9">
        <w:rPr>
          <w:rStyle w:val="fontstyle01"/>
          <w:b/>
        </w:rPr>
        <w:t>DOS SERVIDORES P</w:t>
      </w:r>
      <w:r w:rsidR="00144FE9">
        <w:rPr>
          <w:rStyle w:val="fontstyle01"/>
          <w:rFonts w:hint="eastAsia"/>
          <w:b/>
        </w:rPr>
        <w:t>Ú</w:t>
      </w:r>
      <w:r w:rsidR="00144FE9">
        <w:rPr>
          <w:rStyle w:val="fontstyle01"/>
          <w:b/>
        </w:rPr>
        <w:t>BLICOS</w:t>
      </w:r>
      <w:r w:rsidR="00CD38A3">
        <w:rPr>
          <w:rStyle w:val="fontstyle01"/>
          <w:b/>
        </w:rPr>
        <w:t xml:space="preserve"> DO ESTADO DE MINAS GERAIS (RPPS e militares)</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Pr>
          <w:rFonts w:ascii="Arial" w:hAnsi="Arial" w:cs="Arial"/>
          <w:sz w:val="24"/>
        </w:rPr>
        <w:t xml:space="preserve">Os dados analisados nesta seção têm por base as informações constantes dos Relatórios Resumidos da Execução Orçamentária (RREO, Anexo 4), disponibilizados no site da Secretaria da Fazenda de Minas Gerais. Os dados foram atualizados para 2017 através do IPCA médio anual. </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b/>
          <w:sz w:val="24"/>
        </w:rPr>
      </w:pPr>
      <w:r>
        <w:rPr>
          <w:rFonts w:ascii="Arial" w:hAnsi="Arial" w:cs="Arial"/>
          <w:b/>
          <w:sz w:val="24"/>
        </w:rPr>
        <w:lastRenderedPageBreak/>
        <w:t>4.1</w:t>
      </w:r>
      <w:r>
        <w:rPr>
          <w:rFonts w:ascii="Arial" w:hAnsi="Arial" w:cs="Arial"/>
          <w:b/>
          <w:sz w:val="24"/>
        </w:rPr>
        <w:tab/>
      </w:r>
      <w:r w:rsidRPr="007D588E">
        <w:rPr>
          <w:rFonts w:ascii="Arial" w:hAnsi="Arial" w:cs="Arial"/>
          <w:b/>
          <w:sz w:val="24"/>
        </w:rPr>
        <w:t>O DÉFICIT PREVIDENCIÁRIO EM 2017</w:t>
      </w:r>
    </w:p>
    <w:p w:rsidR="00637C70" w:rsidRPr="00637C70" w:rsidRDefault="00637C70" w:rsidP="00637C70">
      <w:pPr>
        <w:spacing w:after="120" w:line="360" w:lineRule="auto"/>
        <w:jc w:val="both"/>
        <w:rPr>
          <w:rFonts w:ascii="Arial" w:hAnsi="Arial" w:cs="Arial"/>
          <w:sz w:val="24"/>
        </w:rPr>
      </w:pPr>
      <w:r w:rsidRPr="00637C70">
        <w:rPr>
          <w:rFonts w:ascii="Arial" w:hAnsi="Arial" w:cs="Arial"/>
          <w:sz w:val="24"/>
        </w:rPr>
        <w:t>O déficit previdenciário em 2017 será analisado utilizando três conceitos de déficits.</w:t>
      </w:r>
    </w:p>
    <w:p w:rsidR="00637C70" w:rsidRPr="008E00AC" w:rsidRDefault="00637C70" w:rsidP="00637C70">
      <w:pPr>
        <w:spacing w:after="120" w:line="360" w:lineRule="auto"/>
        <w:jc w:val="both"/>
        <w:rPr>
          <w:rFonts w:ascii="Arial" w:hAnsi="Arial" w:cs="Arial"/>
          <w:b/>
          <w:sz w:val="24"/>
        </w:rPr>
      </w:pPr>
      <w:r>
        <w:rPr>
          <w:rFonts w:ascii="Arial" w:hAnsi="Arial" w:cs="Arial"/>
          <w:b/>
          <w:sz w:val="24"/>
        </w:rPr>
        <w:t>4.1.1</w:t>
      </w:r>
      <w:r>
        <w:rPr>
          <w:rFonts w:ascii="Arial" w:hAnsi="Arial" w:cs="Arial"/>
          <w:b/>
          <w:sz w:val="24"/>
        </w:rPr>
        <w:tab/>
        <w:t xml:space="preserve">O déficit segundo três conceitos </w:t>
      </w:r>
    </w:p>
    <w:p w:rsidR="00637C70" w:rsidRDefault="00637C70" w:rsidP="00637C70">
      <w:pPr>
        <w:spacing w:after="120" w:line="360" w:lineRule="auto"/>
        <w:jc w:val="both"/>
        <w:rPr>
          <w:rFonts w:ascii="Arial" w:hAnsi="Arial" w:cs="Arial"/>
          <w:sz w:val="24"/>
        </w:rPr>
      </w:pPr>
      <w:r>
        <w:rPr>
          <w:rFonts w:ascii="Arial" w:hAnsi="Arial" w:cs="Arial"/>
          <w:sz w:val="24"/>
        </w:rPr>
        <w:t xml:space="preserve">Em 2017, quando computadas as receitas e as despesas totais, o déficit do RPPS atingiu R$ 16,4 bilhões, valor 7,3% superior ao observado em 2016 (tabela 1, déficit I). </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sidRPr="004B5E86">
        <w:rPr>
          <w:noProof/>
          <w:lang w:eastAsia="pt-BR"/>
        </w:rPr>
        <w:drawing>
          <wp:inline distT="0" distB="0" distL="0" distR="0" wp14:anchorId="425DBA76" wp14:editId="20C721E7">
            <wp:extent cx="5400040" cy="4072071"/>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72071"/>
                    </a:xfrm>
                    <a:prstGeom prst="rect">
                      <a:avLst/>
                    </a:prstGeom>
                    <a:noFill/>
                    <a:ln>
                      <a:noFill/>
                    </a:ln>
                  </pic:spPr>
                </pic:pic>
              </a:graphicData>
            </a:graphic>
          </wp:inline>
        </w:drawing>
      </w:r>
    </w:p>
    <w:p w:rsidR="00637C70" w:rsidRDefault="00637C70" w:rsidP="00637C70">
      <w:pPr>
        <w:spacing w:after="120" w:line="360" w:lineRule="auto"/>
        <w:jc w:val="both"/>
        <w:rPr>
          <w:rFonts w:ascii="Arial" w:hAnsi="Arial" w:cs="Arial"/>
          <w:sz w:val="24"/>
        </w:rPr>
      </w:pPr>
      <w:r>
        <w:rPr>
          <w:rFonts w:ascii="Arial" w:hAnsi="Arial" w:cs="Arial"/>
          <w:sz w:val="24"/>
        </w:rPr>
        <w:t xml:space="preserve">Quando são consideradas, do lado da receita, apenas as contribuições dos segurados e patronais, que correspondem à quase totalidade da receita total (99,7% em 2017), e, do lado da despesa, somente os benefícios concedidos a título de aposentadorias, reformas, pensões e outros benefícios previdenciários, que correspondem a 95% da despesa total, chega-se a um déficit de R$ 15,3 bilhões em 2017 (tabela 1, déficit II). Esse déficit, que cresceu 6,7% em relação ao de 2016, representa cerca de 93% do déficit I. </w:t>
      </w:r>
    </w:p>
    <w:p w:rsidR="00637C70" w:rsidRDefault="00637C70" w:rsidP="00637C70">
      <w:pPr>
        <w:spacing w:after="120" w:line="360" w:lineRule="auto"/>
        <w:jc w:val="both"/>
        <w:rPr>
          <w:rFonts w:ascii="Arial" w:hAnsi="Arial" w:cs="Arial"/>
          <w:sz w:val="24"/>
        </w:rPr>
      </w:pPr>
      <w:r>
        <w:rPr>
          <w:rFonts w:ascii="Arial" w:hAnsi="Arial" w:cs="Arial"/>
          <w:sz w:val="24"/>
        </w:rPr>
        <w:lastRenderedPageBreak/>
        <w:t xml:space="preserve">Pode-se ainda utilizar um terceiro conceito de déficit (déficit III), que considera, do lado da receita, as contribuições dos segurados e patronais (tal como no conceito de déficit II), e, do lado da despesa, apenas os benefícios concedidos a título de aposentadorias, reformas e pensões, que perfazem pouco mais de 92% da despesa total. Neste caso, o déficit previdenciário de 2017 ficou em R$14,8 bilhões, representando 90% do déficit I. Em relação a 2016, esse déficit é 7,3% maior (tabela 1, déficit III). </w:t>
      </w:r>
    </w:p>
    <w:p w:rsidR="00637C70" w:rsidRDefault="00637C70" w:rsidP="00637C70">
      <w:pPr>
        <w:spacing w:after="120" w:line="360" w:lineRule="auto"/>
        <w:jc w:val="both"/>
        <w:rPr>
          <w:rFonts w:ascii="Arial" w:hAnsi="Arial" w:cs="Arial"/>
          <w:sz w:val="24"/>
        </w:rPr>
      </w:pPr>
      <w:r>
        <w:rPr>
          <w:rFonts w:ascii="Arial" w:hAnsi="Arial" w:cs="Arial"/>
          <w:sz w:val="24"/>
        </w:rPr>
        <w:t xml:space="preserve">A importância do déficit previdenciário pode ser mostrada através de sua comparação com as receitas (conceito I) ou com as contribuições (conceitos II e III). Em 2017, o déficit, pelo conceito I, equivalia a 296% das receitas, o que significa que o valor destas deveria quase quadruplicar para zerá-lo. </w:t>
      </w:r>
    </w:p>
    <w:p w:rsidR="00637C70" w:rsidRDefault="00637C70" w:rsidP="00637C70">
      <w:pPr>
        <w:spacing w:after="120" w:line="360" w:lineRule="auto"/>
        <w:jc w:val="both"/>
        <w:rPr>
          <w:rFonts w:ascii="Arial" w:hAnsi="Arial" w:cs="Arial"/>
          <w:sz w:val="24"/>
        </w:rPr>
      </w:pPr>
      <w:r>
        <w:rPr>
          <w:rFonts w:ascii="Arial" w:hAnsi="Arial" w:cs="Arial"/>
          <w:sz w:val="24"/>
        </w:rPr>
        <w:t xml:space="preserve">A gravidade do déficit se mostra também na sua comparação com a Receita Corrente Líquida (RCL) do estado: em 2017, o déficit (conceito I) atingiu 30% dela. </w:t>
      </w:r>
    </w:p>
    <w:p w:rsidR="00637C70" w:rsidRDefault="00637C70" w:rsidP="00637C70">
      <w:pPr>
        <w:spacing w:after="120" w:line="360" w:lineRule="auto"/>
        <w:jc w:val="both"/>
        <w:rPr>
          <w:rFonts w:ascii="Arial" w:hAnsi="Arial" w:cs="Arial"/>
          <w:sz w:val="24"/>
        </w:rPr>
      </w:pPr>
      <w:r>
        <w:rPr>
          <w:rFonts w:ascii="Arial" w:hAnsi="Arial" w:cs="Arial"/>
          <w:sz w:val="24"/>
        </w:rPr>
        <w:t xml:space="preserve">Cabe notar que, por ambas comparações, o déficit em 2017 agravou-se em relação ao ano anterior. Enquanto a despesa total em 2017 foi 5% maior, a receita total caiu 1,1%, a RCL caiu 0,7% e a receita de contribuições cresceu apenas 0,9%. Na verdade, o mais grave em relação ao déficit previdenciário é sua tendência crescente, tanto em termos absolutos quanto relativos, ou seja, quando comparado às contribuições e à RCL do estado, como será mostrado na próxima </w:t>
      </w:r>
      <w:proofErr w:type="spellStart"/>
      <w:r>
        <w:rPr>
          <w:rFonts w:ascii="Arial" w:hAnsi="Arial" w:cs="Arial"/>
          <w:sz w:val="24"/>
        </w:rPr>
        <w:t>sub-seção</w:t>
      </w:r>
      <w:proofErr w:type="spellEnd"/>
      <w:r>
        <w:rPr>
          <w:rFonts w:ascii="Arial" w:hAnsi="Arial" w:cs="Arial"/>
          <w:sz w:val="24"/>
        </w:rPr>
        <w:t xml:space="preserve">, para o período 2007-2017. </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b/>
          <w:sz w:val="24"/>
        </w:rPr>
      </w:pPr>
      <w:r>
        <w:rPr>
          <w:rFonts w:ascii="Arial" w:hAnsi="Arial" w:cs="Arial"/>
          <w:b/>
          <w:sz w:val="24"/>
        </w:rPr>
        <w:t>4.1.2</w:t>
      </w:r>
      <w:r>
        <w:rPr>
          <w:rFonts w:ascii="Arial" w:hAnsi="Arial" w:cs="Arial"/>
          <w:b/>
          <w:sz w:val="24"/>
        </w:rPr>
        <w:tab/>
        <w:t>Decomposição do d</w:t>
      </w:r>
      <w:r w:rsidRPr="00C37F90">
        <w:rPr>
          <w:rFonts w:ascii="Arial" w:hAnsi="Arial" w:cs="Arial"/>
          <w:b/>
          <w:sz w:val="24"/>
        </w:rPr>
        <w:t>éficit</w:t>
      </w:r>
      <w:r>
        <w:rPr>
          <w:rFonts w:ascii="Arial" w:hAnsi="Arial" w:cs="Arial"/>
          <w:b/>
          <w:sz w:val="24"/>
        </w:rPr>
        <w:t>:</w:t>
      </w:r>
      <w:r w:rsidRPr="00C37F90">
        <w:rPr>
          <w:rFonts w:ascii="Arial" w:hAnsi="Arial" w:cs="Arial"/>
          <w:b/>
          <w:sz w:val="24"/>
        </w:rPr>
        <w:t xml:space="preserve"> servidores civis x militares</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Pr>
          <w:rFonts w:ascii="Arial" w:hAnsi="Arial" w:cs="Arial"/>
          <w:sz w:val="24"/>
        </w:rPr>
        <w:t>As informações do RREO de 2017 permitem, apenas para os anos de 2016 e 2017, decompor o déficit previdenciário em 2 parcelas, referentes aos servidores civis e aos militares. É o que mostra a tabela 2, de acordo com os conceitos II e III de déficit.</w:t>
      </w:r>
    </w:p>
    <w:p w:rsidR="00637C70" w:rsidRDefault="00637C70" w:rsidP="00637C70">
      <w:pPr>
        <w:spacing w:after="120" w:line="360" w:lineRule="auto"/>
        <w:jc w:val="both"/>
        <w:rPr>
          <w:rFonts w:ascii="Arial" w:hAnsi="Arial" w:cs="Arial"/>
          <w:sz w:val="24"/>
        </w:rPr>
      </w:pPr>
      <w:r w:rsidRPr="00F71E49">
        <w:rPr>
          <w:noProof/>
          <w:lang w:eastAsia="pt-BR"/>
        </w:rPr>
        <w:lastRenderedPageBreak/>
        <w:drawing>
          <wp:inline distT="0" distB="0" distL="0" distR="0" wp14:anchorId="126C5703" wp14:editId="6152DB7D">
            <wp:extent cx="5400040" cy="414655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146550"/>
                    </a:xfrm>
                    <a:prstGeom prst="rect">
                      <a:avLst/>
                    </a:prstGeom>
                    <a:noFill/>
                    <a:ln>
                      <a:noFill/>
                    </a:ln>
                  </pic:spPr>
                </pic:pic>
              </a:graphicData>
            </a:graphic>
          </wp:inline>
        </w:drawing>
      </w:r>
    </w:p>
    <w:p w:rsidR="00637C70" w:rsidRDefault="00637C70" w:rsidP="00637C70">
      <w:pPr>
        <w:spacing w:after="120" w:line="360" w:lineRule="auto"/>
        <w:jc w:val="both"/>
        <w:rPr>
          <w:rFonts w:ascii="Arial" w:hAnsi="Arial" w:cs="Arial"/>
          <w:sz w:val="24"/>
        </w:rPr>
      </w:pPr>
      <w:r>
        <w:rPr>
          <w:rFonts w:ascii="Arial" w:hAnsi="Arial" w:cs="Arial"/>
          <w:sz w:val="24"/>
        </w:rPr>
        <w:t xml:space="preserve">Verifica-se que, em 2017, o déficit dos servidores civis respondeu por 69,1% e 68,2% do déficit total, segundo os conceitos II e III, respectivamente (em 2016, esses percentuais foram um pouco menores: 67,9% e 66,8%). </w:t>
      </w:r>
    </w:p>
    <w:p w:rsidR="00637C70" w:rsidRDefault="00637C70" w:rsidP="00637C70">
      <w:pPr>
        <w:spacing w:after="120" w:line="360" w:lineRule="auto"/>
        <w:jc w:val="both"/>
        <w:rPr>
          <w:rFonts w:ascii="Arial" w:hAnsi="Arial" w:cs="Arial"/>
          <w:sz w:val="24"/>
        </w:rPr>
      </w:pPr>
      <w:r>
        <w:rPr>
          <w:rFonts w:ascii="Arial" w:hAnsi="Arial" w:cs="Arial"/>
          <w:sz w:val="24"/>
        </w:rPr>
        <w:t xml:space="preserve">Os militares respondem por quase 1/3 do déficit total. Mas, dado que sua participação no total de beneficiários é bem menor, seu déficit </w:t>
      </w:r>
      <w:r w:rsidRPr="005A43CD">
        <w:rPr>
          <w:rFonts w:ascii="Arial" w:hAnsi="Arial" w:cs="Arial"/>
          <w:sz w:val="24"/>
        </w:rPr>
        <w:t>por beneficiário</w:t>
      </w:r>
      <w:r>
        <w:rPr>
          <w:rFonts w:ascii="Arial" w:hAnsi="Arial" w:cs="Arial"/>
          <w:sz w:val="24"/>
        </w:rPr>
        <w:t xml:space="preserve"> é proporcionalmente maior que o dos servidores civis.  </w:t>
      </w:r>
    </w:p>
    <w:p w:rsidR="00637C70" w:rsidRDefault="00637C70" w:rsidP="00637C70">
      <w:pPr>
        <w:spacing w:after="120" w:line="360" w:lineRule="auto"/>
        <w:jc w:val="both"/>
        <w:rPr>
          <w:rFonts w:ascii="Arial" w:hAnsi="Arial" w:cs="Arial"/>
          <w:sz w:val="24"/>
        </w:rPr>
      </w:pPr>
      <w:r>
        <w:rPr>
          <w:rFonts w:ascii="Arial" w:hAnsi="Arial" w:cs="Arial"/>
          <w:sz w:val="24"/>
        </w:rPr>
        <w:t>O crescimento do déficit da previdência em 2017 se deveu, em sua maior parte, ao crescimento do déficit dos servidores civis, que, respondendo por mais de 2/3 do déficit total, cresceu 3 vezes mais que o déficit dos militares. Cabe observar que o crescimento do déficit dos militares deveu-se à queda na receita de contribuições, enquanto o crescimento do déficit dos civis deveu-se principalmente à elevada taxa de crescimento das despesas com benefícios (6,8%).</w:t>
      </w:r>
    </w:p>
    <w:p w:rsidR="00637C70" w:rsidRDefault="00637C70" w:rsidP="00637C70">
      <w:pPr>
        <w:spacing w:after="120" w:line="360" w:lineRule="auto"/>
        <w:jc w:val="both"/>
        <w:rPr>
          <w:rFonts w:ascii="Arial" w:hAnsi="Arial" w:cs="Arial"/>
          <w:sz w:val="24"/>
        </w:rPr>
      </w:pPr>
    </w:p>
    <w:p w:rsidR="00374829" w:rsidRDefault="00374829" w:rsidP="00637C70">
      <w:pPr>
        <w:spacing w:after="120" w:line="360" w:lineRule="auto"/>
        <w:jc w:val="both"/>
        <w:rPr>
          <w:rFonts w:ascii="Arial" w:hAnsi="Arial" w:cs="Arial"/>
          <w:sz w:val="24"/>
        </w:rPr>
      </w:pPr>
    </w:p>
    <w:p w:rsidR="00374829" w:rsidRDefault="00374829"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b/>
          <w:sz w:val="24"/>
        </w:rPr>
      </w:pPr>
      <w:r>
        <w:rPr>
          <w:rFonts w:ascii="Arial" w:hAnsi="Arial" w:cs="Arial"/>
          <w:b/>
          <w:sz w:val="24"/>
        </w:rPr>
        <w:lastRenderedPageBreak/>
        <w:t>4.1.3</w:t>
      </w:r>
      <w:r>
        <w:rPr>
          <w:rFonts w:ascii="Arial" w:hAnsi="Arial" w:cs="Arial"/>
          <w:b/>
          <w:sz w:val="24"/>
        </w:rPr>
        <w:tab/>
      </w:r>
      <w:r w:rsidRPr="006139E1">
        <w:rPr>
          <w:rFonts w:ascii="Arial" w:hAnsi="Arial" w:cs="Arial"/>
          <w:b/>
          <w:sz w:val="24"/>
        </w:rPr>
        <w:t xml:space="preserve">Contribuições dos servidores </w:t>
      </w:r>
      <w:r w:rsidR="008E7E98">
        <w:rPr>
          <w:rFonts w:ascii="Arial" w:hAnsi="Arial" w:cs="Arial"/>
          <w:b/>
          <w:sz w:val="24"/>
        </w:rPr>
        <w:t>X</w:t>
      </w:r>
      <w:r w:rsidRPr="006139E1">
        <w:rPr>
          <w:rFonts w:ascii="Arial" w:hAnsi="Arial" w:cs="Arial"/>
          <w:b/>
          <w:sz w:val="24"/>
        </w:rPr>
        <w:t xml:space="preserve"> contribuições patronais</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Pr>
          <w:rFonts w:ascii="Arial" w:hAnsi="Arial" w:cs="Arial"/>
          <w:sz w:val="24"/>
        </w:rPr>
        <w:t xml:space="preserve">De acordo com os dados do RREO de 2017 (tabela 2), o valor das contribuições patronais nesse ano superou em 49% o valor das contribuições dos segurados. Quando se consideram apenas os ativos, esse percentual é maior, 91%, embora ainda inferior aos 100% previstos na legislação. </w:t>
      </w:r>
      <w:r w:rsidRPr="00F43C18">
        <w:rPr>
          <w:rFonts w:ascii="Arial" w:hAnsi="Arial" w:cs="Arial"/>
          <w:sz w:val="24"/>
          <w:highlight w:val="yellow"/>
        </w:rPr>
        <w:t>Nesse caso, a contribuição patronal seria o dobro da do servidor e o déficit previdenciário seria cerca de 7,5% menor.</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b/>
          <w:sz w:val="24"/>
        </w:rPr>
      </w:pPr>
      <w:r>
        <w:rPr>
          <w:rFonts w:ascii="Arial" w:hAnsi="Arial" w:cs="Arial"/>
          <w:b/>
          <w:sz w:val="24"/>
        </w:rPr>
        <w:t>4.1.4</w:t>
      </w:r>
      <w:r>
        <w:rPr>
          <w:rFonts w:ascii="Arial" w:hAnsi="Arial" w:cs="Arial"/>
          <w:b/>
          <w:sz w:val="24"/>
        </w:rPr>
        <w:tab/>
      </w:r>
      <w:r w:rsidRPr="001F5059">
        <w:rPr>
          <w:rFonts w:ascii="Arial" w:hAnsi="Arial" w:cs="Arial"/>
          <w:b/>
          <w:sz w:val="24"/>
        </w:rPr>
        <w:t xml:space="preserve">Aposentadorias </w:t>
      </w:r>
      <w:r w:rsidR="00D21B17">
        <w:rPr>
          <w:rFonts w:ascii="Arial" w:hAnsi="Arial" w:cs="Arial"/>
          <w:b/>
          <w:sz w:val="24"/>
        </w:rPr>
        <w:t>X</w:t>
      </w:r>
      <w:r w:rsidRPr="001F5059">
        <w:rPr>
          <w:rFonts w:ascii="Arial" w:hAnsi="Arial" w:cs="Arial"/>
          <w:b/>
          <w:sz w:val="24"/>
        </w:rPr>
        <w:t xml:space="preserve"> pensões</w:t>
      </w:r>
    </w:p>
    <w:p w:rsidR="00637C70" w:rsidRDefault="00637C70" w:rsidP="00637C70">
      <w:pPr>
        <w:spacing w:after="120" w:line="360" w:lineRule="auto"/>
        <w:jc w:val="both"/>
        <w:rPr>
          <w:rFonts w:ascii="Arial" w:hAnsi="Arial" w:cs="Arial"/>
          <w:b/>
          <w:sz w:val="24"/>
        </w:rPr>
      </w:pPr>
    </w:p>
    <w:p w:rsidR="00637C70" w:rsidRPr="00323739" w:rsidRDefault="00637C70" w:rsidP="00637C70">
      <w:pPr>
        <w:spacing w:after="120" w:line="360" w:lineRule="auto"/>
        <w:jc w:val="both"/>
        <w:rPr>
          <w:rFonts w:ascii="Arial" w:hAnsi="Arial" w:cs="Arial"/>
          <w:sz w:val="24"/>
        </w:rPr>
      </w:pPr>
      <w:r>
        <w:rPr>
          <w:rFonts w:ascii="Arial" w:hAnsi="Arial" w:cs="Arial"/>
          <w:sz w:val="24"/>
        </w:rPr>
        <w:t>Em 2017, 80,7% d</w:t>
      </w:r>
      <w:r w:rsidRPr="00323739">
        <w:rPr>
          <w:rFonts w:ascii="Arial" w:hAnsi="Arial" w:cs="Arial"/>
          <w:sz w:val="24"/>
        </w:rPr>
        <w:t xml:space="preserve">o </w:t>
      </w:r>
      <w:r>
        <w:rPr>
          <w:rFonts w:ascii="Arial" w:hAnsi="Arial" w:cs="Arial"/>
          <w:sz w:val="24"/>
        </w:rPr>
        <w:t xml:space="preserve">total de benefícios pagos foram a título de aposentadoria ou reforma, 16,9% foram a título de pensões e 2,4%, a título de outros benefícios. Neste ponto, há uma pequena diferença entre servidores civis e militares: o peso das pensões é maior no caso dos militares (20,9%) do que no dos civis (15,1%). </w:t>
      </w:r>
    </w:p>
    <w:p w:rsidR="00637C70" w:rsidRDefault="00637C70" w:rsidP="00637C70">
      <w:pPr>
        <w:spacing w:after="120" w:line="360" w:lineRule="auto"/>
        <w:jc w:val="both"/>
        <w:rPr>
          <w:rFonts w:ascii="Arial" w:hAnsi="Arial" w:cs="Arial"/>
          <w:sz w:val="24"/>
        </w:rPr>
      </w:pPr>
      <w:r>
        <w:rPr>
          <w:rFonts w:ascii="Arial" w:hAnsi="Arial" w:cs="Arial"/>
          <w:sz w:val="24"/>
        </w:rPr>
        <w:t xml:space="preserve"> </w:t>
      </w:r>
    </w:p>
    <w:p w:rsidR="00637C70" w:rsidRPr="00733C8D" w:rsidRDefault="00637C70" w:rsidP="00637C70">
      <w:pPr>
        <w:spacing w:after="120" w:line="360" w:lineRule="auto"/>
        <w:jc w:val="both"/>
        <w:rPr>
          <w:rFonts w:ascii="Arial" w:hAnsi="Arial" w:cs="Arial"/>
          <w:b/>
          <w:sz w:val="24"/>
        </w:rPr>
      </w:pPr>
      <w:r>
        <w:rPr>
          <w:rFonts w:ascii="Arial" w:hAnsi="Arial" w:cs="Arial"/>
          <w:b/>
          <w:sz w:val="24"/>
        </w:rPr>
        <w:t>4.2</w:t>
      </w:r>
      <w:r>
        <w:rPr>
          <w:rFonts w:ascii="Arial" w:hAnsi="Arial" w:cs="Arial"/>
          <w:b/>
          <w:sz w:val="24"/>
        </w:rPr>
        <w:tab/>
      </w:r>
      <w:r w:rsidRPr="00733C8D">
        <w:rPr>
          <w:rFonts w:ascii="Arial" w:hAnsi="Arial" w:cs="Arial"/>
          <w:b/>
          <w:sz w:val="24"/>
        </w:rPr>
        <w:t xml:space="preserve">A </w:t>
      </w:r>
      <w:r w:rsidR="004731AC" w:rsidRPr="00733C8D">
        <w:rPr>
          <w:rFonts w:ascii="Arial" w:hAnsi="Arial" w:cs="Arial"/>
          <w:b/>
          <w:sz w:val="24"/>
        </w:rPr>
        <w:t>evolução do déficit no período 2007-2017</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b/>
          <w:sz w:val="24"/>
        </w:rPr>
      </w:pPr>
      <w:r>
        <w:rPr>
          <w:rFonts w:ascii="Arial" w:hAnsi="Arial" w:cs="Arial"/>
          <w:b/>
          <w:sz w:val="24"/>
        </w:rPr>
        <w:t>4.2.1</w:t>
      </w:r>
      <w:r>
        <w:rPr>
          <w:rFonts w:ascii="Arial" w:hAnsi="Arial" w:cs="Arial"/>
          <w:b/>
          <w:sz w:val="24"/>
        </w:rPr>
        <w:tab/>
      </w:r>
      <w:r w:rsidRPr="00F62CDE">
        <w:rPr>
          <w:rFonts w:ascii="Arial" w:hAnsi="Arial" w:cs="Arial"/>
          <w:b/>
          <w:sz w:val="24"/>
        </w:rPr>
        <w:t xml:space="preserve">A evolução do déficit </w:t>
      </w:r>
      <w:r>
        <w:rPr>
          <w:rFonts w:ascii="Arial" w:hAnsi="Arial" w:cs="Arial"/>
          <w:b/>
          <w:sz w:val="24"/>
        </w:rPr>
        <w:t>I</w:t>
      </w:r>
    </w:p>
    <w:p w:rsidR="00637C70" w:rsidRPr="00F62CDE" w:rsidRDefault="00637C70" w:rsidP="00637C70">
      <w:pPr>
        <w:spacing w:after="120" w:line="360" w:lineRule="auto"/>
        <w:jc w:val="both"/>
        <w:rPr>
          <w:rFonts w:ascii="Arial" w:hAnsi="Arial" w:cs="Arial"/>
          <w:b/>
          <w:sz w:val="24"/>
        </w:rPr>
      </w:pPr>
    </w:p>
    <w:p w:rsidR="00637C70" w:rsidRDefault="00637C70" w:rsidP="00637C70">
      <w:pPr>
        <w:spacing w:after="120" w:line="360" w:lineRule="auto"/>
        <w:jc w:val="both"/>
        <w:rPr>
          <w:rFonts w:ascii="Arial" w:hAnsi="Arial" w:cs="Arial"/>
          <w:sz w:val="24"/>
        </w:rPr>
      </w:pPr>
      <w:r>
        <w:rPr>
          <w:rFonts w:ascii="Arial" w:hAnsi="Arial" w:cs="Arial"/>
          <w:sz w:val="24"/>
        </w:rPr>
        <w:t xml:space="preserve">O déficit da previdência, no conceito I, passou de R$ 7,3 bilhões em 2007 para R$ 16,5 bilhões em 2017 (em valores constantes de 2017), ou seja, cresceu 126,1% no período, em termos reais, equivalentes a uma taxa anual média de 8,5% (gráficos 1 e 2). </w:t>
      </w:r>
    </w:p>
    <w:p w:rsidR="00637C70" w:rsidRDefault="00637C70" w:rsidP="00637C70">
      <w:pPr>
        <w:spacing w:after="120" w:line="360" w:lineRule="auto"/>
        <w:jc w:val="both"/>
        <w:rPr>
          <w:rFonts w:ascii="Arial" w:hAnsi="Arial" w:cs="Arial"/>
          <w:sz w:val="24"/>
        </w:rPr>
      </w:pPr>
      <w:r>
        <w:rPr>
          <w:rFonts w:ascii="Arial" w:hAnsi="Arial" w:cs="Arial"/>
          <w:sz w:val="24"/>
        </w:rPr>
        <w:t xml:space="preserve">No mesmo período, as receitas cresceram 3,9% ao ano, passando de R$ 3,8 bilhões para R$ 5,6 bilhões. Essa taxa de crescimento não é pequena, superando a taxa de crescimento da Receita Corrente Líquida (2,5% ao </w:t>
      </w:r>
      <w:proofErr w:type="gramStart"/>
      <w:r>
        <w:rPr>
          <w:rFonts w:ascii="Arial" w:hAnsi="Arial" w:cs="Arial"/>
          <w:sz w:val="24"/>
        </w:rPr>
        <w:t>ano)  e</w:t>
      </w:r>
      <w:proofErr w:type="gramEnd"/>
      <w:r>
        <w:rPr>
          <w:rFonts w:ascii="Arial" w:hAnsi="Arial" w:cs="Arial"/>
          <w:sz w:val="24"/>
        </w:rPr>
        <w:t xml:space="preserve"> do PIB (2,8% ao ano) do estado. Mas é muito reduzida frente ao crescimento de 7,1% ao ano das despesas, que dobraram no período, passando de R$ 11,1 bilhões em 2007 para R$ 22,0 bilhões em 2017.</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sidRPr="00744CA2">
        <w:rPr>
          <w:noProof/>
          <w:lang w:eastAsia="pt-BR"/>
        </w:rPr>
        <w:drawing>
          <wp:inline distT="0" distB="0" distL="0" distR="0" wp14:anchorId="42BB3C9A" wp14:editId="2410B2E5">
            <wp:extent cx="5400040" cy="3368457"/>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368457"/>
                    </a:xfrm>
                    <a:prstGeom prst="rect">
                      <a:avLst/>
                    </a:prstGeom>
                  </pic:spPr>
                </pic:pic>
              </a:graphicData>
            </a:graphic>
          </wp:inline>
        </w:drawing>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sidRPr="00744CA2">
        <w:rPr>
          <w:noProof/>
          <w:lang w:eastAsia="pt-BR"/>
        </w:rPr>
        <w:drawing>
          <wp:inline distT="0" distB="0" distL="0" distR="0" wp14:anchorId="2FABB197" wp14:editId="68C8C2BF">
            <wp:extent cx="5400040" cy="3368457"/>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368457"/>
                    </a:xfrm>
                    <a:prstGeom prst="rect">
                      <a:avLst/>
                    </a:prstGeom>
                  </pic:spPr>
                </pic:pic>
              </a:graphicData>
            </a:graphic>
          </wp:inline>
        </w:drawing>
      </w:r>
    </w:p>
    <w:p w:rsidR="00637C70" w:rsidRDefault="00637C70" w:rsidP="00637C70">
      <w:pPr>
        <w:spacing w:after="120" w:line="360" w:lineRule="auto"/>
        <w:jc w:val="both"/>
        <w:rPr>
          <w:rFonts w:ascii="Arial" w:hAnsi="Arial" w:cs="Arial"/>
          <w:sz w:val="24"/>
        </w:rPr>
      </w:pPr>
      <w:r>
        <w:rPr>
          <w:rFonts w:ascii="Arial" w:hAnsi="Arial" w:cs="Arial"/>
          <w:sz w:val="24"/>
        </w:rPr>
        <w:t xml:space="preserve">Pode-se subdividir o período 2007-2017 em 3 </w:t>
      </w:r>
      <w:proofErr w:type="spellStart"/>
      <w:r>
        <w:rPr>
          <w:rFonts w:ascii="Arial" w:hAnsi="Arial" w:cs="Arial"/>
          <w:sz w:val="24"/>
        </w:rPr>
        <w:t>sub-períodos</w:t>
      </w:r>
      <w:proofErr w:type="spellEnd"/>
      <w:r>
        <w:rPr>
          <w:rFonts w:ascii="Arial" w:hAnsi="Arial" w:cs="Arial"/>
          <w:sz w:val="24"/>
        </w:rPr>
        <w:t xml:space="preserve">, conforme a tabela 3. No primeiro, de 2007 a 2009, o déficit cresceu 4% ao ano, menos do que a RCL e mais do que as receitas e despesas previdenciárias, que cresceram 1,6% e 3,2% ao ano, respectivamente.   </w:t>
      </w:r>
    </w:p>
    <w:p w:rsidR="00637C70" w:rsidRDefault="00637C70" w:rsidP="00637C70">
      <w:pPr>
        <w:spacing w:after="120" w:line="360" w:lineRule="auto"/>
        <w:jc w:val="both"/>
        <w:rPr>
          <w:rFonts w:ascii="Arial" w:hAnsi="Arial" w:cs="Arial"/>
          <w:sz w:val="24"/>
        </w:rPr>
      </w:pPr>
      <w:r w:rsidRPr="000B3225">
        <w:rPr>
          <w:noProof/>
        </w:rPr>
        <w:lastRenderedPageBreak/>
        <w:drawing>
          <wp:inline distT="0" distB="0" distL="0" distR="0" wp14:anchorId="78E411DE" wp14:editId="608E74D9">
            <wp:extent cx="5400040" cy="1669928"/>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669928"/>
                    </a:xfrm>
                    <a:prstGeom prst="rect">
                      <a:avLst/>
                    </a:prstGeom>
                    <a:noFill/>
                    <a:ln>
                      <a:noFill/>
                    </a:ln>
                  </pic:spPr>
                </pic:pic>
              </a:graphicData>
            </a:graphic>
          </wp:inline>
        </w:drawing>
      </w:r>
    </w:p>
    <w:p w:rsidR="00637C70" w:rsidRDefault="00637C70" w:rsidP="00637C70">
      <w:pPr>
        <w:spacing w:after="120" w:line="360" w:lineRule="auto"/>
        <w:jc w:val="both"/>
        <w:rPr>
          <w:rFonts w:ascii="Arial" w:hAnsi="Arial" w:cs="Arial"/>
          <w:sz w:val="24"/>
        </w:rPr>
      </w:pPr>
      <w:r>
        <w:rPr>
          <w:rFonts w:ascii="Arial" w:hAnsi="Arial" w:cs="Arial"/>
          <w:sz w:val="24"/>
        </w:rPr>
        <w:t xml:space="preserve">Nos cinco anos entre 2009 e 2014, o ritmo de crescimento do déficit praticamente dobrou (7,8% ao ano), superando o crescimento da RCL. As despesas aumentaram muito (8,9% ao ano), mas, ao contrário do </w:t>
      </w:r>
      <w:proofErr w:type="spellStart"/>
      <w:r>
        <w:rPr>
          <w:rFonts w:ascii="Arial" w:hAnsi="Arial" w:cs="Arial"/>
          <w:sz w:val="24"/>
        </w:rPr>
        <w:t>sub-período</w:t>
      </w:r>
      <w:proofErr w:type="spellEnd"/>
      <w:r>
        <w:rPr>
          <w:rFonts w:ascii="Arial" w:hAnsi="Arial" w:cs="Arial"/>
          <w:sz w:val="24"/>
        </w:rPr>
        <w:t xml:space="preserve"> anterior, as receitas aumentaram ainda mais, ao ritmo de 10,9% ao ano. </w:t>
      </w:r>
    </w:p>
    <w:p w:rsidR="00637C70" w:rsidRDefault="00637C70" w:rsidP="00637C70">
      <w:pPr>
        <w:spacing w:after="120" w:line="360" w:lineRule="auto"/>
        <w:jc w:val="both"/>
        <w:rPr>
          <w:rFonts w:ascii="Arial" w:hAnsi="Arial" w:cs="Arial"/>
          <w:sz w:val="24"/>
        </w:rPr>
      </w:pPr>
      <w:r>
        <w:rPr>
          <w:rFonts w:ascii="Arial" w:hAnsi="Arial" w:cs="Arial"/>
          <w:sz w:val="24"/>
        </w:rPr>
        <w:t xml:space="preserve">Já no triênio seguinte, entre 2014 e 2017, as receitas caíram 5,5% ao ano, enquanto as despesas aumentaram 6,9% ao ano. Com isso, nesse último </w:t>
      </w:r>
      <w:proofErr w:type="spellStart"/>
      <w:r>
        <w:rPr>
          <w:rFonts w:ascii="Arial" w:hAnsi="Arial" w:cs="Arial"/>
          <w:sz w:val="24"/>
        </w:rPr>
        <w:t>sub-período</w:t>
      </w:r>
      <w:proofErr w:type="spellEnd"/>
      <w:r>
        <w:rPr>
          <w:rFonts w:ascii="Arial" w:hAnsi="Arial" w:cs="Arial"/>
          <w:sz w:val="24"/>
        </w:rPr>
        <w:t xml:space="preserve"> o déficit previdenciário cresceu a um ritmo bem mais elevado, de 12,8% ao ano, ao mesmo tempo em que a RCL do estado regredia.  </w:t>
      </w:r>
    </w:p>
    <w:p w:rsidR="00637C70" w:rsidRDefault="00637C70" w:rsidP="00637C70">
      <w:pPr>
        <w:spacing w:after="120" w:line="360" w:lineRule="auto"/>
        <w:jc w:val="both"/>
        <w:rPr>
          <w:rFonts w:ascii="Arial" w:hAnsi="Arial" w:cs="Arial"/>
          <w:sz w:val="24"/>
        </w:rPr>
      </w:pPr>
      <w:r>
        <w:rPr>
          <w:rFonts w:ascii="Arial" w:hAnsi="Arial" w:cs="Arial"/>
          <w:sz w:val="24"/>
        </w:rPr>
        <w:t xml:space="preserve">O gráfico 3 mostra a evolução das relações receitas/despesas previdenciárias e déficit/ RCL do estado no período 2007-2017. </w:t>
      </w:r>
    </w:p>
    <w:p w:rsidR="00637C70" w:rsidRDefault="00637C70" w:rsidP="00637C70">
      <w:pPr>
        <w:spacing w:after="120" w:line="360" w:lineRule="auto"/>
        <w:jc w:val="both"/>
        <w:rPr>
          <w:rFonts w:ascii="Arial" w:hAnsi="Arial" w:cs="Arial"/>
          <w:sz w:val="24"/>
        </w:rPr>
      </w:pPr>
      <w:r>
        <w:rPr>
          <w:rFonts w:ascii="Arial" w:hAnsi="Arial" w:cs="Arial"/>
          <w:sz w:val="24"/>
        </w:rPr>
        <w:t xml:space="preserve">A primeira relação – receitas/despesas – cai ligeiramente entre 2007 e 2009, passando de 34,3% para 33,3%; sobe entre 2009 e 2014, atingindo 36,5% e cai significativamente no período 2014-2017, chegando a 25,2% nesse último ano. O complemento desse percentual mostra a necessidade de financiamento da previdência: em 2017, quase ¾ das despesas previdenciárias necessitavam ser financiadas com outros recursos além das receitas previdenciárias. Cabe lembrar que a forte queda da relação receitas/despesas no último triênio deveu-se mais à queda nas receitas do que ao aumento das despesas, que foi inferior ao do </w:t>
      </w:r>
      <w:proofErr w:type="spellStart"/>
      <w:r>
        <w:rPr>
          <w:rFonts w:ascii="Arial" w:hAnsi="Arial" w:cs="Arial"/>
          <w:sz w:val="24"/>
        </w:rPr>
        <w:t>sub-período</w:t>
      </w:r>
      <w:proofErr w:type="spellEnd"/>
      <w:r>
        <w:rPr>
          <w:rFonts w:ascii="Arial" w:hAnsi="Arial" w:cs="Arial"/>
          <w:sz w:val="24"/>
        </w:rPr>
        <w:t xml:space="preserve"> anterior.</w:t>
      </w:r>
    </w:p>
    <w:p w:rsidR="00637C70" w:rsidRDefault="00637C70" w:rsidP="00637C70">
      <w:pPr>
        <w:spacing w:after="120" w:line="360" w:lineRule="auto"/>
        <w:jc w:val="both"/>
        <w:rPr>
          <w:rFonts w:ascii="Arial" w:hAnsi="Arial" w:cs="Arial"/>
          <w:sz w:val="24"/>
        </w:rPr>
      </w:pPr>
      <w:r>
        <w:rPr>
          <w:rFonts w:ascii="Arial" w:hAnsi="Arial" w:cs="Arial"/>
          <w:sz w:val="24"/>
        </w:rPr>
        <w:t xml:space="preserve">A segunda relação – déficit/RCL -  também recua ligeiramente entre 2007 e 2009, passando de 16,9% para 16,5%, sobe no </w:t>
      </w:r>
      <w:proofErr w:type="spellStart"/>
      <w:r>
        <w:rPr>
          <w:rFonts w:ascii="Arial" w:hAnsi="Arial" w:cs="Arial"/>
          <w:sz w:val="24"/>
        </w:rPr>
        <w:t>sub-período</w:t>
      </w:r>
      <w:proofErr w:type="spellEnd"/>
      <w:r>
        <w:rPr>
          <w:rFonts w:ascii="Arial" w:hAnsi="Arial" w:cs="Arial"/>
          <w:sz w:val="24"/>
        </w:rPr>
        <w:t xml:space="preserve"> seguinte, atingindo 19,6% em 2014 e, a partir daí, cresce rapidamente, chegando a 29,9% em 2017. Seu rápido crescimento no período mais recente deve-se, como visto, não só ao grande aumento do déficit, mas também à queda significativa da RCL do estado.</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sidRPr="00744CA2">
        <w:rPr>
          <w:noProof/>
          <w:lang w:eastAsia="pt-BR"/>
        </w:rPr>
        <w:lastRenderedPageBreak/>
        <w:drawing>
          <wp:inline distT="0" distB="0" distL="0" distR="0" wp14:anchorId="542584C5" wp14:editId="3E634E89">
            <wp:extent cx="5400040" cy="3368457"/>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368457"/>
                    </a:xfrm>
                    <a:prstGeom prst="rect">
                      <a:avLst/>
                    </a:prstGeom>
                  </pic:spPr>
                </pic:pic>
              </a:graphicData>
            </a:graphic>
          </wp:inline>
        </w:drawing>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Pr>
          <w:rFonts w:ascii="Arial" w:hAnsi="Arial" w:cs="Arial"/>
          <w:sz w:val="24"/>
        </w:rPr>
        <w:t>Nas séries analisadas aqui, dois anos surgem como atípicos, 2012 e 2015. Nesses anos, ocorreram grandes elevações nas receitas previdenciárias (40,5% e 63,8%), o que repercutiu em quedas significativas do déficit (5,9% e 13,2%, respectivamente).</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b/>
          <w:sz w:val="24"/>
        </w:rPr>
      </w:pPr>
      <w:r>
        <w:rPr>
          <w:rFonts w:ascii="Arial" w:hAnsi="Arial" w:cs="Arial"/>
          <w:b/>
          <w:sz w:val="24"/>
        </w:rPr>
        <w:t>4.2.2</w:t>
      </w:r>
      <w:r>
        <w:rPr>
          <w:rFonts w:ascii="Arial" w:hAnsi="Arial" w:cs="Arial"/>
          <w:b/>
          <w:sz w:val="24"/>
        </w:rPr>
        <w:tab/>
      </w:r>
      <w:r w:rsidRPr="00F62CDE">
        <w:rPr>
          <w:rFonts w:ascii="Arial" w:hAnsi="Arial" w:cs="Arial"/>
          <w:b/>
          <w:sz w:val="24"/>
        </w:rPr>
        <w:t xml:space="preserve">A evolução </w:t>
      </w:r>
      <w:r>
        <w:rPr>
          <w:rFonts w:ascii="Arial" w:hAnsi="Arial" w:cs="Arial"/>
          <w:b/>
          <w:sz w:val="24"/>
        </w:rPr>
        <w:t>dos déficits II e III</w:t>
      </w:r>
    </w:p>
    <w:p w:rsidR="00637C70" w:rsidRDefault="00637C70" w:rsidP="00637C70">
      <w:pPr>
        <w:spacing w:after="120" w:line="360" w:lineRule="auto"/>
        <w:jc w:val="both"/>
        <w:rPr>
          <w:rFonts w:ascii="Arial" w:hAnsi="Arial" w:cs="Arial"/>
          <w:b/>
          <w:sz w:val="24"/>
        </w:rPr>
      </w:pPr>
    </w:p>
    <w:p w:rsidR="00637C70" w:rsidRDefault="00637C70" w:rsidP="00637C70">
      <w:pPr>
        <w:spacing w:after="120" w:line="360" w:lineRule="auto"/>
        <w:jc w:val="both"/>
        <w:rPr>
          <w:rFonts w:ascii="Arial" w:hAnsi="Arial" w:cs="Arial"/>
          <w:sz w:val="24"/>
        </w:rPr>
      </w:pPr>
      <w:r>
        <w:rPr>
          <w:rFonts w:ascii="Arial" w:hAnsi="Arial" w:cs="Arial"/>
          <w:sz w:val="24"/>
        </w:rPr>
        <w:t>O déficit previdenciário segundo os conceitos II e III cresceu, ao longo do período 2007-2017, 105% (7,4% ao ano) e 108% (7,6% ao ano), portanto, a um ritmo inferior ao crescimento do déficit pelo conceito I (gráficos 4 e 5 e tabela 4).</w:t>
      </w:r>
    </w:p>
    <w:p w:rsidR="00637C70" w:rsidRPr="00F857D8" w:rsidRDefault="00637C70" w:rsidP="00637C70">
      <w:pPr>
        <w:spacing w:after="120" w:line="360" w:lineRule="auto"/>
        <w:jc w:val="both"/>
        <w:rPr>
          <w:rFonts w:ascii="Arial" w:hAnsi="Arial" w:cs="Arial"/>
          <w:sz w:val="24"/>
        </w:rPr>
      </w:pPr>
      <w:r>
        <w:rPr>
          <w:rFonts w:ascii="Arial" w:hAnsi="Arial" w:cs="Arial"/>
          <w:sz w:val="24"/>
        </w:rPr>
        <w:t xml:space="preserve">A evolução dos déficits II e III foi muito semelhante ao observado para o déficit I. No </w:t>
      </w:r>
      <w:proofErr w:type="spellStart"/>
      <w:r>
        <w:rPr>
          <w:rFonts w:ascii="Arial" w:hAnsi="Arial" w:cs="Arial"/>
          <w:sz w:val="24"/>
        </w:rPr>
        <w:t>sub-período</w:t>
      </w:r>
      <w:proofErr w:type="spellEnd"/>
      <w:r>
        <w:rPr>
          <w:rFonts w:ascii="Arial" w:hAnsi="Arial" w:cs="Arial"/>
          <w:sz w:val="24"/>
        </w:rPr>
        <w:t xml:space="preserve"> 2007-2009, seu crescimento foi pequeno (em torno de apenas 1,5% ao ano) e inferior ao do déficit I (que cresceu 4% ao ano); nos </w:t>
      </w:r>
      <w:proofErr w:type="spellStart"/>
      <w:r>
        <w:rPr>
          <w:rFonts w:ascii="Arial" w:hAnsi="Arial" w:cs="Arial"/>
          <w:sz w:val="24"/>
        </w:rPr>
        <w:t>sub-períodos</w:t>
      </w:r>
      <w:proofErr w:type="spellEnd"/>
      <w:r>
        <w:rPr>
          <w:rFonts w:ascii="Arial" w:hAnsi="Arial" w:cs="Arial"/>
          <w:sz w:val="24"/>
        </w:rPr>
        <w:t xml:space="preserve"> seguintes, o ritmo de crescimento foi bem maior e bem próximo ao observado para o déficit I, destacando-se o último triênio, com uma taxa superior a 12% ao ano  (tabela 4), função da queda no valor das contribuições.     </w:t>
      </w:r>
    </w:p>
    <w:p w:rsidR="00637C70" w:rsidRDefault="00637C70" w:rsidP="00637C70">
      <w:pPr>
        <w:spacing w:after="120" w:line="360" w:lineRule="auto"/>
        <w:jc w:val="both"/>
        <w:rPr>
          <w:rFonts w:ascii="Arial" w:hAnsi="Arial" w:cs="Arial"/>
          <w:b/>
          <w:sz w:val="24"/>
        </w:rPr>
      </w:pPr>
      <w:r w:rsidRPr="003B145D">
        <w:rPr>
          <w:noProof/>
        </w:rPr>
        <w:lastRenderedPageBreak/>
        <w:drawing>
          <wp:inline distT="0" distB="0" distL="0" distR="0" wp14:anchorId="02C8B6DD" wp14:editId="691BEEA3">
            <wp:extent cx="5400040" cy="33655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p>
    <w:p w:rsidR="00637C70" w:rsidRPr="00F62CDE" w:rsidRDefault="00637C70" w:rsidP="00637C70">
      <w:pPr>
        <w:spacing w:after="120" w:line="360" w:lineRule="auto"/>
        <w:jc w:val="both"/>
        <w:rPr>
          <w:rFonts w:ascii="Arial" w:hAnsi="Arial" w:cs="Arial"/>
          <w:b/>
          <w:sz w:val="24"/>
        </w:rPr>
      </w:pPr>
      <w:r w:rsidRPr="003B145D">
        <w:rPr>
          <w:noProof/>
        </w:rPr>
        <w:drawing>
          <wp:inline distT="0" distB="0" distL="0" distR="0" wp14:anchorId="6F9EBF74" wp14:editId="3823A6A0">
            <wp:extent cx="5400040" cy="3365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sidRPr="00331D13">
        <w:rPr>
          <w:noProof/>
        </w:rPr>
        <w:lastRenderedPageBreak/>
        <w:drawing>
          <wp:inline distT="0" distB="0" distL="0" distR="0" wp14:anchorId="4ABC07BD" wp14:editId="2A81BFAB">
            <wp:extent cx="5400040" cy="14909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490920"/>
                    </a:xfrm>
                    <a:prstGeom prst="rect">
                      <a:avLst/>
                    </a:prstGeom>
                    <a:noFill/>
                    <a:ln>
                      <a:noFill/>
                    </a:ln>
                  </pic:spPr>
                </pic:pic>
              </a:graphicData>
            </a:graphic>
          </wp:inline>
        </w:drawing>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Pr>
          <w:rFonts w:ascii="Arial" w:hAnsi="Arial" w:cs="Arial"/>
          <w:sz w:val="24"/>
        </w:rPr>
        <w:t xml:space="preserve">Quando se compara a evolução do déficit II e III com a do déficit I, duas diferenças se destacam, quais sejam, seu menor crescimento no período 2007-2009 e seu comportamento divergente no ano de 2015. Nesse ano, houve um grande aumento dos déficits II e III, ao contrário da significativa queda do déficit I, mostrando que o grande aumento das receitas totais decorreu do crescimento de outras receitas que não as contribuições, como será visto na </w:t>
      </w:r>
      <w:proofErr w:type="spellStart"/>
      <w:r>
        <w:rPr>
          <w:rFonts w:ascii="Arial" w:hAnsi="Arial" w:cs="Arial"/>
          <w:sz w:val="24"/>
        </w:rPr>
        <w:t>sub-seção</w:t>
      </w:r>
      <w:proofErr w:type="spellEnd"/>
      <w:r>
        <w:rPr>
          <w:rFonts w:ascii="Arial" w:hAnsi="Arial" w:cs="Arial"/>
          <w:sz w:val="24"/>
        </w:rPr>
        <w:t xml:space="preserve"> seguinte.</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b/>
          <w:sz w:val="24"/>
        </w:rPr>
      </w:pPr>
      <w:r>
        <w:rPr>
          <w:rFonts w:ascii="Arial" w:hAnsi="Arial" w:cs="Arial"/>
          <w:b/>
          <w:sz w:val="24"/>
        </w:rPr>
        <w:t>4.2.3</w:t>
      </w:r>
      <w:r>
        <w:rPr>
          <w:rFonts w:ascii="Arial" w:hAnsi="Arial" w:cs="Arial"/>
          <w:b/>
          <w:sz w:val="24"/>
        </w:rPr>
        <w:tab/>
      </w:r>
      <w:r w:rsidRPr="00C6002D">
        <w:rPr>
          <w:rFonts w:ascii="Arial" w:hAnsi="Arial" w:cs="Arial"/>
          <w:b/>
          <w:sz w:val="24"/>
        </w:rPr>
        <w:t xml:space="preserve">A evolução das contribuições </w:t>
      </w:r>
    </w:p>
    <w:p w:rsidR="00637C70" w:rsidRDefault="00637C70" w:rsidP="00637C70">
      <w:pPr>
        <w:spacing w:after="120" w:line="360" w:lineRule="auto"/>
        <w:jc w:val="both"/>
        <w:rPr>
          <w:rFonts w:ascii="Arial" w:hAnsi="Arial" w:cs="Arial"/>
          <w:sz w:val="24"/>
        </w:rPr>
      </w:pPr>
      <w:r>
        <w:rPr>
          <w:rFonts w:ascii="Arial" w:hAnsi="Arial" w:cs="Arial"/>
          <w:sz w:val="24"/>
        </w:rPr>
        <w:t>As contribuições patronais e dos segurados civis e militares compõem a maior parte da receita total da previdência, variando entre 86,7% em 2011 e 99,7% em 2017 (gráfico 6). As demais fontes de receita incluem “outras receitas de contribuições”, “receita patrimonial”, “receita de serviços”, “outras receitas correntes” e “receitas de capital”.</w:t>
      </w:r>
    </w:p>
    <w:p w:rsidR="00637C70" w:rsidRDefault="00637C70" w:rsidP="00637C70">
      <w:pPr>
        <w:spacing w:after="120" w:line="360" w:lineRule="auto"/>
        <w:jc w:val="both"/>
        <w:rPr>
          <w:rFonts w:ascii="Arial" w:hAnsi="Arial" w:cs="Arial"/>
          <w:sz w:val="24"/>
        </w:rPr>
      </w:pPr>
      <w:r>
        <w:rPr>
          <w:rFonts w:ascii="Arial" w:hAnsi="Arial" w:cs="Arial"/>
          <w:sz w:val="24"/>
        </w:rPr>
        <w:t xml:space="preserve">Entre 2007 e 2017, as contribuições cresceram 56% (4,6% ao ano), sendo que cresceram mais as patronais (73% ou 5,6% ao ano) que as dos segurados (36%% ou 3,2% ao ano) (gráfico 7 e tabela 5).  Até 2012, as contribuições patronais mantiveram-se no mesmo nível das contribuições dos segurados, mas descolaram dessas a partir desse ano (gráfico 6). Assim, sua participação no total das contribuições, que era de 50% em 2012, sobe para 60% em 2017. Cabe notar que, no período mais recente, a queda das contribuições patronais foi a maior responsável pela queda das contribuições totais (ao contrário do período anterior, quando respondeu pela maior parte do grande aumento das contribuições totais). </w:t>
      </w:r>
    </w:p>
    <w:p w:rsidR="00637C70" w:rsidRPr="00762911"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b/>
          <w:sz w:val="24"/>
        </w:rPr>
      </w:pPr>
      <w:r w:rsidRPr="007879EC">
        <w:rPr>
          <w:noProof/>
        </w:rPr>
        <w:lastRenderedPageBreak/>
        <w:drawing>
          <wp:inline distT="0" distB="0" distL="0" distR="0" wp14:anchorId="4EA2CD13" wp14:editId="56A23674">
            <wp:extent cx="5400040" cy="3365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p>
    <w:p w:rsidR="00637C70" w:rsidRDefault="00637C70" w:rsidP="00637C70">
      <w:pPr>
        <w:spacing w:after="120" w:line="360" w:lineRule="auto"/>
        <w:jc w:val="both"/>
        <w:rPr>
          <w:rFonts w:ascii="Arial" w:hAnsi="Arial" w:cs="Arial"/>
          <w:b/>
          <w:sz w:val="24"/>
        </w:rPr>
      </w:pPr>
      <w:r w:rsidRPr="00986439">
        <w:rPr>
          <w:noProof/>
        </w:rPr>
        <w:drawing>
          <wp:inline distT="0" distB="0" distL="0" distR="0" wp14:anchorId="280FF734" wp14:editId="078B516C">
            <wp:extent cx="5400040" cy="33655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r w:rsidRPr="00986439">
        <w:rPr>
          <w:noProof/>
        </w:rPr>
        <w:drawing>
          <wp:inline distT="0" distB="0" distL="0" distR="0" wp14:anchorId="06BF534F" wp14:editId="74EBC494">
            <wp:extent cx="5400040" cy="1447455"/>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447455"/>
                    </a:xfrm>
                    <a:prstGeom prst="rect">
                      <a:avLst/>
                    </a:prstGeom>
                    <a:noFill/>
                    <a:ln>
                      <a:noFill/>
                    </a:ln>
                  </pic:spPr>
                </pic:pic>
              </a:graphicData>
            </a:graphic>
          </wp:inline>
        </w:drawing>
      </w:r>
    </w:p>
    <w:p w:rsidR="00637C70" w:rsidRDefault="00637C70" w:rsidP="00637C70">
      <w:pPr>
        <w:spacing w:after="120" w:line="360" w:lineRule="auto"/>
        <w:jc w:val="both"/>
        <w:rPr>
          <w:rFonts w:ascii="Arial" w:hAnsi="Arial" w:cs="Arial"/>
          <w:b/>
          <w:sz w:val="24"/>
        </w:rPr>
      </w:pPr>
      <w:r w:rsidRPr="00EB0221">
        <w:rPr>
          <w:noProof/>
        </w:rPr>
        <w:lastRenderedPageBreak/>
        <w:drawing>
          <wp:inline distT="0" distB="0" distL="0" distR="0" wp14:anchorId="13E15B87" wp14:editId="478103F6">
            <wp:extent cx="5400040" cy="336550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sz w:val="24"/>
        </w:rPr>
      </w:pPr>
      <w:r>
        <w:rPr>
          <w:rFonts w:ascii="Arial" w:hAnsi="Arial" w:cs="Arial"/>
          <w:sz w:val="24"/>
        </w:rPr>
        <w:t>Das contribuições dos segurados, as dos militares aumentaram mais no período 2007-2017 (116% ou 8% ao ano, contra 17% ou 1,6% ao ano das dos civis), elevando ligeiramente sua participação no total das contribuições (de 9,1% para 12,6%). No período mais recente, sua elevação contrabalançou, em parte, a queda nas contribuições dos segurados civis.</w:t>
      </w:r>
    </w:p>
    <w:p w:rsidR="00637C70" w:rsidRDefault="00637C70" w:rsidP="00637C70">
      <w:pPr>
        <w:spacing w:after="120" w:line="360" w:lineRule="auto"/>
        <w:jc w:val="both"/>
        <w:rPr>
          <w:rFonts w:ascii="Arial" w:hAnsi="Arial" w:cs="Arial"/>
          <w:sz w:val="24"/>
        </w:rPr>
      </w:pPr>
      <w:r>
        <w:rPr>
          <w:rFonts w:ascii="Arial" w:hAnsi="Arial" w:cs="Arial"/>
          <w:sz w:val="24"/>
        </w:rPr>
        <w:t xml:space="preserve">Os gráficos 9, 10 e 11 permitem analisar melhor a evolução das contribuições dos segurados. Verifica-se que apenas as contribuições dos inativos cresceram acima da média, aumentando sua participação no total das contribuições de 17,6% em 2007 para 26,9% em 2017. Na verdade, o crescimento das contribuições dos inativos decorreu principalmente da evolução das contribuições dos inativos militares, cuja participação mais que dobrou no período, passando de 5,6% para 13%. </w:t>
      </w:r>
    </w:p>
    <w:p w:rsidR="00637C70" w:rsidRPr="00154D06" w:rsidRDefault="00637C70" w:rsidP="00637C70">
      <w:pPr>
        <w:spacing w:after="120" w:line="360" w:lineRule="auto"/>
        <w:jc w:val="both"/>
        <w:rPr>
          <w:rFonts w:ascii="Arial" w:hAnsi="Arial" w:cs="Arial"/>
          <w:sz w:val="24"/>
        </w:rPr>
      </w:pPr>
      <w:r>
        <w:rPr>
          <w:rFonts w:ascii="Arial" w:hAnsi="Arial" w:cs="Arial"/>
          <w:sz w:val="24"/>
        </w:rPr>
        <w:t xml:space="preserve"> </w:t>
      </w:r>
    </w:p>
    <w:p w:rsidR="00637C70" w:rsidRDefault="00637C70" w:rsidP="00637C70">
      <w:pPr>
        <w:spacing w:after="120" w:line="360" w:lineRule="auto"/>
        <w:jc w:val="both"/>
        <w:rPr>
          <w:rFonts w:ascii="Arial" w:hAnsi="Arial" w:cs="Arial"/>
          <w:b/>
          <w:sz w:val="24"/>
        </w:rPr>
      </w:pPr>
      <w:r w:rsidRPr="006900E8">
        <w:rPr>
          <w:noProof/>
        </w:rPr>
        <w:lastRenderedPageBreak/>
        <w:drawing>
          <wp:inline distT="0" distB="0" distL="0" distR="0" wp14:anchorId="3B81DDDE" wp14:editId="00295DE7">
            <wp:extent cx="5400040" cy="336550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365500"/>
                    </a:xfrm>
                    <a:prstGeom prst="rect">
                      <a:avLst/>
                    </a:prstGeom>
                  </pic:spPr>
                </pic:pic>
              </a:graphicData>
            </a:graphic>
          </wp:inline>
        </w:drawing>
      </w:r>
    </w:p>
    <w:p w:rsidR="00637C70" w:rsidRPr="00D15AB2" w:rsidRDefault="00637C70" w:rsidP="00637C70">
      <w:pPr>
        <w:spacing w:after="120" w:line="360" w:lineRule="auto"/>
        <w:jc w:val="both"/>
        <w:rPr>
          <w:rFonts w:ascii="Arial" w:hAnsi="Arial" w:cs="Arial"/>
          <w:sz w:val="24"/>
        </w:rPr>
      </w:pPr>
      <w:r>
        <w:rPr>
          <w:rFonts w:ascii="Arial" w:hAnsi="Arial" w:cs="Arial"/>
          <w:sz w:val="24"/>
        </w:rPr>
        <w:t xml:space="preserve">Também foram os militares os responsáveis pela maior parte do crescimento das contribuições dos ativos no período. Assim, enquanto a participação dos ativos civis regredia de 64,3% em 2007 para 51,5% em 2017, a dos ativos militares passou de 14,3% para 18,4%. </w:t>
      </w:r>
    </w:p>
    <w:p w:rsidR="00637C70" w:rsidRDefault="00637C70" w:rsidP="00637C70">
      <w:pPr>
        <w:spacing w:after="120" w:line="360" w:lineRule="auto"/>
        <w:jc w:val="both"/>
        <w:rPr>
          <w:rFonts w:ascii="Arial" w:hAnsi="Arial" w:cs="Arial"/>
          <w:b/>
          <w:sz w:val="24"/>
        </w:rPr>
      </w:pPr>
      <w:r w:rsidRPr="00D839BC">
        <w:rPr>
          <w:noProof/>
        </w:rPr>
        <w:drawing>
          <wp:inline distT="0" distB="0" distL="0" distR="0" wp14:anchorId="4E0408A3" wp14:editId="0BCC2505">
            <wp:extent cx="5400040" cy="33655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p>
    <w:p w:rsidR="00637C70" w:rsidRDefault="00637C70" w:rsidP="00637C70">
      <w:pPr>
        <w:spacing w:after="120" w:line="360" w:lineRule="auto"/>
        <w:jc w:val="both"/>
        <w:rPr>
          <w:rFonts w:ascii="Arial" w:hAnsi="Arial" w:cs="Arial"/>
          <w:b/>
          <w:sz w:val="24"/>
        </w:rPr>
      </w:pPr>
      <w:r w:rsidRPr="00D839BC">
        <w:rPr>
          <w:noProof/>
        </w:rPr>
        <w:lastRenderedPageBreak/>
        <w:drawing>
          <wp:inline distT="0" distB="0" distL="0" distR="0" wp14:anchorId="31B4DD7A" wp14:editId="02A14EB1">
            <wp:extent cx="5400040" cy="3365500"/>
            <wp:effectExtent l="0" t="0" r="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p>
    <w:p w:rsidR="00542A61" w:rsidRDefault="00542A61" w:rsidP="00542A61">
      <w:pPr>
        <w:spacing w:after="120" w:line="360" w:lineRule="auto"/>
        <w:jc w:val="both"/>
      </w:pPr>
      <w:r>
        <w:rPr>
          <w:rFonts w:ascii="Arial" w:hAnsi="Arial" w:cs="Arial"/>
          <w:sz w:val="24"/>
        </w:rPr>
        <w:t>De fato, a tabela 6 mostra que, considerando o período 2007-2017, a contribuição dos militares para o crescimento das contribuições previdenciárias foi maior que a dos civis, tanto no caso dos ativos como no dos inativos. Mas é o crescimento das contribuições patronais que explica a maior parte (70,2%) do crescimento das contribuições previdenciárias no período.</w:t>
      </w:r>
      <w:r>
        <w:t xml:space="preserve"> </w:t>
      </w:r>
    </w:p>
    <w:p w:rsidR="00542A61" w:rsidRDefault="00542A61" w:rsidP="00542A61">
      <w:pPr>
        <w:spacing w:after="120" w:line="360" w:lineRule="auto"/>
        <w:jc w:val="both"/>
      </w:pPr>
    </w:p>
    <w:p w:rsidR="00542A61" w:rsidRDefault="00542A61" w:rsidP="00542A61">
      <w:pPr>
        <w:spacing w:after="120" w:line="360" w:lineRule="auto"/>
        <w:jc w:val="both"/>
        <w:rPr>
          <w:rFonts w:ascii="Arial" w:hAnsi="Arial" w:cs="Arial"/>
          <w:b/>
          <w:sz w:val="24"/>
        </w:rPr>
      </w:pPr>
      <w:r>
        <w:rPr>
          <w:noProof/>
        </w:rPr>
        <w:drawing>
          <wp:inline distT="0" distB="0" distL="0" distR="0">
            <wp:extent cx="5400675" cy="14668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466850"/>
                    </a:xfrm>
                    <a:prstGeom prst="rect">
                      <a:avLst/>
                    </a:prstGeom>
                    <a:noFill/>
                    <a:ln>
                      <a:noFill/>
                    </a:ln>
                  </pic:spPr>
                </pic:pic>
              </a:graphicData>
            </a:graphic>
          </wp:inline>
        </w:drawing>
      </w:r>
    </w:p>
    <w:p w:rsidR="00374829" w:rsidRDefault="00374829" w:rsidP="00637C70">
      <w:pPr>
        <w:spacing w:after="120" w:line="360" w:lineRule="auto"/>
        <w:jc w:val="both"/>
        <w:rPr>
          <w:rFonts w:ascii="Arial" w:hAnsi="Arial" w:cs="Arial"/>
          <w:b/>
          <w:sz w:val="24"/>
        </w:rPr>
      </w:pPr>
    </w:p>
    <w:p w:rsidR="00637C70" w:rsidRDefault="00637C70" w:rsidP="00637C70">
      <w:pPr>
        <w:spacing w:after="120" w:line="360" w:lineRule="auto"/>
        <w:jc w:val="both"/>
        <w:rPr>
          <w:rFonts w:ascii="Arial" w:hAnsi="Arial" w:cs="Arial"/>
          <w:b/>
          <w:sz w:val="24"/>
        </w:rPr>
      </w:pPr>
      <w:r>
        <w:rPr>
          <w:rFonts w:ascii="Arial" w:hAnsi="Arial" w:cs="Arial"/>
          <w:b/>
          <w:sz w:val="24"/>
        </w:rPr>
        <w:t>4.2.4</w:t>
      </w:r>
      <w:r>
        <w:rPr>
          <w:rFonts w:ascii="Arial" w:hAnsi="Arial" w:cs="Arial"/>
          <w:b/>
          <w:sz w:val="24"/>
        </w:rPr>
        <w:tab/>
        <w:t>A evolução dos benefícios</w:t>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Pr>
          <w:rFonts w:ascii="Arial" w:hAnsi="Arial" w:cs="Arial"/>
          <w:sz w:val="24"/>
        </w:rPr>
        <w:t>O pagamento de benefícios constitui a quase totalidade das despesas totais, variando entre 94,6% em 2015 e 99,6% em 2008. As demais despesas referem-</w:t>
      </w:r>
      <w:r>
        <w:rPr>
          <w:rFonts w:ascii="Arial" w:hAnsi="Arial" w:cs="Arial"/>
          <w:sz w:val="24"/>
        </w:rPr>
        <w:lastRenderedPageBreak/>
        <w:t xml:space="preserve">se a despesas com a Administração, outras despesas previdenciárias (que inclui a compensação do RPPS para o RGPS) e despesas previdenciárias do RPPS </w:t>
      </w:r>
      <w:proofErr w:type="spellStart"/>
      <w:r>
        <w:rPr>
          <w:rFonts w:ascii="Arial" w:hAnsi="Arial" w:cs="Arial"/>
          <w:sz w:val="24"/>
        </w:rPr>
        <w:t>intraorçamentárias</w:t>
      </w:r>
      <w:proofErr w:type="spellEnd"/>
      <w:r>
        <w:rPr>
          <w:rFonts w:ascii="Arial" w:hAnsi="Arial" w:cs="Arial"/>
          <w:sz w:val="24"/>
        </w:rPr>
        <w:t xml:space="preserve">. </w:t>
      </w:r>
    </w:p>
    <w:p w:rsidR="00637C70" w:rsidRDefault="00637C70" w:rsidP="00637C70">
      <w:pPr>
        <w:spacing w:after="120" w:line="360" w:lineRule="auto"/>
        <w:jc w:val="both"/>
        <w:rPr>
          <w:rFonts w:ascii="Arial" w:hAnsi="Arial" w:cs="Arial"/>
          <w:sz w:val="24"/>
        </w:rPr>
      </w:pPr>
      <w:r>
        <w:rPr>
          <w:rFonts w:ascii="Arial" w:hAnsi="Arial" w:cs="Arial"/>
          <w:sz w:val="24"/>
        </w:rPr>
        <w:t xml:space="preserve">De 2007 a 2017, os benefícios cresceram 89% (6,6% ao ano), portanto, significativamente mais que as contribuições (56% ou 4,6% ao ano). Os gráficos 12 e 13 e a tabela 6 mostram que os benefícios pagos a militares cresceram mais que os pagos a civis (8,9% ao ano e 5,7% ao ano, respectivamente), de forma que sua participação no total de benefícios passa de 25% em 2007 para 31,1% em 2017 (gráfico 14). </w:t>
      </w:r>
    </w:p>
    <w:p w:rsidR="00637C70" w:rsidRPr="00296E5A" w:rsidRDefault="00637C70" w:rsidP="00637C70">
      <w:pPr>
        <w:spacing w:after="120" w:line="360" w:lineRule="auto"/>
        <w:jc w:val="both"/>
        <w:rPr>
          <w:rFonts w:ascii="Arial" w:hAnsi="Arial" w:cs="Arial"/>
          <w:sz w:val="24"/>
        </w:rPr>
      </w:pPr>
      <w:r>
        <w:rPr>
          <w:rFonts w:ascii="Arial" w:hAnsi="Arial" w:cs="Arial"/>
          <w:sz w:val="24"/>
        </w:rPr>
        <w:t xml:space="preserve"> </w:t>
      </w:r>
    </w:p>
    <w:p w:rsidR="00637C70" w:rsidRDefault="00637C70" w:rsidP="00637C70">
      <w:pPr>
        <w:spacing w:after="120" w:line="360" w:lineRule="auto"/>
        <w:jc w:val="both"/>
        <w:rPr>
          <w:rFonts w:ascii="Arial" w:hAnsi="Arial" w:cs="Arial"/>
          <w:b/>
          <w:sz w:val="24"/>
        </w:rPr>
      </w:pPr>
      <w:r w:rsidRPr="00B255E6">
        <w:rPr>
          <w:noProof/>
        </w:rPr>
        <w:drawing>
          <wp:inline distT="0" distB="0" distL="0" distR="0" wp14:anchorId="015486B7" wp14:editId="22C0C69E">
            <wp:extent cx="5400040" cy="3365500"/>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p>
    <w:p w:rsidR="00637C70" w:rsidRDefault="00637C70" w:rsidP="00637C70">
      <w:pPr>
        <w:spacing w:after="120" w:line="360" w:lineRule="auto"/>
        <w:jc w:val="both"/>
        <w:rPr>
          <w:rFonts w:ascii="Arial" w:hAnsi="Arial" w:cs="Arial"/>
          <w:b/>
          <w:sz w:val="24"/>
        </w:rPr>
      </w:pPr>
      <w:r w:rsidRPr="00B255E6">
        <w:rPr>
          <w:noProof/>
        </w:rPr>
        <w:lastRenderedPageBreak/>
        <w:drawing>
          <wp:inline distT="0" distB="0" distL="0" distR="0" wp14:anchorId="58906558" wp14:editId="368CD8BE">
            <wp:extent cx="5400040" cy="336550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65500"/>
                    </a:xfrm>
                    <a:prstGeom prst="rect">
                      <a:avLst/>
                    </a:prstGeom>
                  </pic:spPr>
                </pic:pic>
              </a:graphicData>
            </a:graphic>
          </wp:inline>
        </w:drawing>
      </w:r>
    </w:p>
    <w:p w:rsidR="00637C70" w:rsidRDefault="00143576" w:rsidP="00637C70">
      <w:pPr>
        <w:spacing w:after="120" w:line="360" w:lineRule="auto"/>
        <w:jc w:val="both"/>
        <w:rPr>
          <w:rFonts w:ascii="Arial" w:hAnsi="Arial" w:cs="Arial"/>
          <w:b/>
          <w:sz w:val="24"/>
        </w:rPr>
      </w:pPr>
      <w:r w:rsidRPr="00433F36">
        <w:rPr>
          <w:noProof/>
        </w:rPr>
        <w:drawing>
          <wp:inline distT="0" distB="0" distL="0" distR="0" wp14:anchorId="6D1D5653" wp14:editId="1985A85D">
            <wp:extent cx="5400040" cy="16452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45285"/>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r w:rsidRPr="005015EE">
        <w:rPr>
          <w:noProof/>
        </w:rPr>
        <w:drawing>
          <wp:inline distT="0" distB="0" distL="0" distR="0" wp14:anchorId="2235F799" wp14:editId="0B685AB6">
            <wp:extent cx="5400040" cy="336550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365500"/>
                    </a:xfrm>
                    <a:prstGeom prst="rect">
                      <a:avLst/>
                    </a:prstGeom>
                  </pic:spPr>
                </pic:pic>
              </a:graphicData>
            </a:graphic>
          </wp:inline>
        </w:drawing>
      </w:r>
    </w:p>
    <w:p w:rsidR="00637C70" w:rsidRPr="00B70D14" w:rsidRDefault="00637C70" w:rsidP="00637C70">
      <w:pPr>
        <w:spacing w:after="120" w:line="360" w:lineRule="auto"/>
        <w:jc w:val="both"/>
        <w:rPr>
          <w:rFonts w:ascii="Arial" w:hAnsi="Arial" w:cs="Arial"/>
          <w:sz w:val="24"/>
        </w:rPr>
      </w:pPr>
      <w:r>
        <w:rPr>
          <w:rFonts w:ascii="Arial" w:hAnsi="Arial" w:cs="Arial"/>
          <w:sz w:val="24"/>
        </w:rPr>
        <w:lastRenderedPageBreak/>
        <w:t xml:space="preserve">Dentre os tipos de benefícios, aqueles pagos a título de aposentadoria/reforma foram os que mais cresceram no período (101%), bem mais que as pensões (54%). Com isso, sua participação no total de benefícios passa de 76% em 2007 para 80,7% em 2017. Note-se que, no último biênio, enquanto as aposentadorias/reformas continuam crescendo em ritmo elevado, as pensões e </w:t>
      </w:r>
      <w:proofErr w:type="gramStart"/>
      <w:r>
        <w:rPr>
          <w:rFonts w:ascii="Arial" w:hAnsi="Arial" w:cs="Arial"/>
          <w:sz w:val="24"/>
        </w:rPr>
        <w:t>outros  benefícios</w:t>
      </w:r>
      <w:proofErr w:type="gramEnd"/>
      <w:r>
        <w:rPr>
          <w:rFonts w:ascii="Arial" w:hAnsi="Arial" w:cs="Arial"/>
          <w:sz w:val="24"/>
        </w:rPr>
        <w:t xml:space="preserve"> recuam ligeiramente. </w:t>
      </w:r>
    </w:p>
    <w:p w:rsidR="00637C70" w:rsidRDefault="00637C70" w:rsidP="00637C70">
      <w:pPr>
        <w:spacing w:after="120" w:line="360" w:lineRule="auto"/>
        <w:jc w:val="both"/>
        <w:rPr>
          <w:rFonts w:ascii="Arial" w:hAnsi="Arial" w:cs="Arial"/>
          <w:b/>
          <w:sz w:val="24"/>
        </w:rPr>
      </w:pPr>
      <w:r w:rsidRPr="00E4700F">
        <w:rPr>
          <w:noProof/>
        </w:rPr>
        <w:drawing>
          <wp:inline distT="0" distB="0" distL="0" distR="0" wp14:anchorId="3D6CBF73" wp14:editId="0FF9759F">
            <wp:extent cx="5400040" cy="336550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r w:rsidRPr="00E4700F">
        <w:rPr>
          <w:noProof/>
        </w:rPr>
        <w:drawing>
          <wp:inline distT="0" distB="0" distL="0" distR="0" wp14:anchorId="70221C3E" wp14:editId="67A25B4D">
            <wp:extent cx="5400040" cy="3365500"/>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65500"/>
                    </a:xfrm>
                    <a:prstGeom prst="rect">
                      <a:avLst/>
                    </a:prstGeom>
                  </pic:spPr>
                </pic:pic>
              </a:graphicData>
            </a:graphic>
          </wp:inline>
        </w:drawing>
      </w:r>
    </w:p>
    <w:p w:rsidR="00637C70" w:rsidRPr="00661292" w:rsidRDefault="00637C70" w:rsidP="00637C70">
      <w:pPr>
        <w:spacing w:after="120" w:line="360" w:lineRule="auto"/>
        <w:jc w:val="both"/>
        <w:rPr>
          <w:rFonts w:ascii="Arial" w:hAnsi="Arial" w:cs="Arial"/>
          <w:sz w:val="24"/>
        </w:rPr>
      </w:pPr>
      <w:r>
        <w:rPr>
          <w:rFonts w:ascii="Arial" w:hAnsi="Arial" w:cs="Arial"/>
          <w:sz w:val="24"/>
        </w:rPr>
        <w:lastRenderedPageBreak/>
        <w:t>Os benefícios pagos a título de reforma aos militares cresceram bem mais que as aposentadorias dos civis (152% e 85%, respectivamente) no período, o mesmo ocorrendo no caso dos benefícios pagos a título de pensão (87% e 39%, respectivamente). No último biênio, entretanto, há uma inversão: as aposentadorias crescem enquanto as reformas mantêm-se praticamente no mesmo nível e as pensões dos civis cai menos que as dos militares.</w:t>
      </w:r>
    </w:p>
    <w:p w:rsidR="00637C70" w:rsidRDefault="00637C70" w:rsidP="00637C70">
      <w:pPr>
        <w:spacing w:after="120" w:line="360" w:lineRule="auto"/>
        <w:jc w:val="both"/>
        <w:rPr>
          <w:rFonts w:ascii="Arial" w:hAnsi="Arial" w:cs="Arial"/>
          <w:b/>
          <w:sz w:val="24"/>
        </w:rPr>
      </w:pPr>
      <w:r w:rsidRPr="00E4700F">
        <w:rPr>
          <w:noProof/>
        </w:rPr>
        <w:drawing>
          <wp:inline distT="0" distB="0" distL="0" distR="0" wp14:anchorId="5A957EA6" wp14:editId="342892CD">
            <wp:extent cx="5400040" cy="336550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r w:rsidRPr="00E4700F">
        <w:rPr>
          <w:noProof/>
        </w:rPr>
        <w:drawing>
          <wp:inline distT="0" distB="0" distL="0" distR="0" wp14:anchorId="13949CEA" wp14:editId="475479B3">
            <wp:extent cx="5400040" cy="3365500"/>
            <wp:effectExtent l="0" t="0" r="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r>
        <w:rPr>
          <w:rFonts w:ascii="Arial" w:hAnsi="Arial" w:cs="Arial"/>
          <w:sz w:val="24"/>
        </w:rPr>
        <w:lastRenderedPageBreak/>
        <w:t>Com isso, considerando-se todo o período, há um aumento da participação das reformas e das pensões dos militares no total de benefícios, ao passo que se observa uma queda da participação das aposentadorias e das pensões dos civis (gráfico 19).</w:t>
      </w:r>
    </w:p>
    <w:p w:rsidR="00637C70" w:rsidRDefault="00637C70" w:rsidP="00637C70">
      <w:pPr>
        <w:spacing w:after="120" w:line="360" w:lineRule="auto"/>
        <w:jc w:val="both"/>
        <w:rPr>
          <w:rFonts w:ascii="Arial" w:hAnsi="Arial" w:cs="Arial"/>
          <w:b/>
          <w:sz w:val="24"/>
        </w:rPr>
      </w:pPr>
      <w:r w:rsidRPr="00E4700F">
        <w:rPr>
          <w:noProof/>
        </w:rPr>
        <w:drawing>
          <wp:inline distT="0" distB="0" distL="0" distR="0" wp14:anchorId="0ECDA6D1" wp14:editId="02854ACA">
            <wp:extent cx="5400040" cy="3370580"/>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370580"/>
                    </a:xfrm>
                    <a:prstGeom prst="rect">
                      <a:avLst/>
                    </a:prstGeom>
                  </pic:spPr>
                </pic:pic>
              </a:graphicData>
            </a:graphic>
          </wp:inline>
        </w:drawing>
      </w:r>
    </w:p>
    <w:p w:rsidR="00637C70" w:rsidRDefault="00637C70" w:rsidP="00637C70">
      <w:pPr>
        <w:spacing w:after="120" w:line="360" w:lineRule="auto"/>
        <w:jc w:val="both"/>
        <w:rPr>
          <w:rFonts w:ascii="Arial" w:hAnsi="Arial" w:cs="Arial"/>
          <w:sz w:val="24"/>
        </w:rPr>
      </w:pPr>
    </w:p>
    <w:p w:rsidR="006E3186" w:rsidRDefault="006E3186" w:rsidP="006E3186">
      <w:pPr>
        <w:spacing w:after="120" w:line="360" w:lineRule="auto"/>
        <w:jc w:val="both"/>
        <w:rPr>
          <w:rFonts w:ascii="Arial" w:hAnsi="Arial" w:cs="Arial"/>
          <w:sz w:val="24"/>
        </w:rPr>
      </w:pPr>
      <w:r>
        <w:rPr>
          <w:rFonts w:ascii="Arial" w:hAnsi="Arial" w:cs="Arial"/>
          <w:sz w:val="24"/>
        </w:rPr>
        <w:t xml:space="preserve">Levando em consideração o nível e a taxa de crescimento dos diversos benefícios, a tabela 7 mostra que: a) os benefícios pagos aos civis responderam por quase 2/3 (62,2%) do crescimento total dos benefícios no período, sendo que somente as aposentadorias responderam por mais da metade (54,6%) dele; b) os benefícios pagos aos militares explicam pouco mais de 1/3 (37,8%) do crescimento total dos benefícios, sendo que somente os benefícios pagos a título de reforma responderam por 31,3%; c) no último </w:t>
      </w:r>
      <w:proofErr w:type="spellStart"/>
      <w:r>
        <w:rPr>
          <w:rFonts w:ascii="Arial" w:hAnsi="Arial" w:cs="Arial"/>
          <w:sz w:val="24"/>
        </w:rPr>
        <w:t>sub-período</w:t>
      </w:r>
      <w:proofErr w:type="spellEnd"/>
      <w:r>
        <w:rPr>
          <w:rFonts w:ascii="Arial" w:hAnsi="Arial" w:cs="Arial"/>
          <w:sz w:val="24"/>
        </w:rPr>
        <w:t xml:space="preserve">, 90% do crescimento do valor dos benefícios foi devido ao crescimento das aposentadorias/pensões. </w:t>
      </w:r>
    </w:p>
    <w:p w:rsidR="006E3186" w:rsidRDefault="006E3186" w:rsidP="006E3186">
      <w:pPr>
        <w:spacing w:after="120" w:line="360" w:lineRule="auto"/>
        <w:jc w:val="both"/>
        <w:rPr>
          <w:rFonts w:ascii="Arial" w:hAnsi="Arial" w:cs="Arial"/>
          <w:sz w:val="24"/>
        </w:rPr>
      </w:pPr>
      <w:r w:rsidRPr="00433F36">
        <w:rPr>
          <w:noProof/>
        </w:rPr>
        <w:drawing>
          <wp:inline distT="0" distB="0" distL="0" distR="0" wp14:anchorId="170B80EB" wp14:editId="2F5D6D19">
            <wp:extent cx="5400040" cy="1362710"/>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362710"/>
                    </a:xfrm>
                    <a:prstGeom prst="rect">
                      <a:avLst/>
                    </a:prstGeom>
                  </pic:spPr>
                </pic:pic>
              </a:graphicData>
            </a:graphic>
          </wp:inline>
        </w:drawing>
      </w:r>
    </w:p>
    <w:p w:rsidR="00637C70" w:rsidRDefault="00637C70" w:rsidP="00637C70">
      <w:pPr>
        <w:spacing w:after="120" w:line="360" w:lineRule="auto"/>
        <w:jc w:val="both"/>
        <w:rPr>
          <w:rFonts w:ascii="Arial" w:hAnsi="Arial" w:cs="Arial"/>
          <w:sz w:val="24"/>
        </w:rPr>
      </w:pPr>
    </w:p>
    <w:p w:rsidR="00637C70" w:rsidRDefault="00637C70" w:rsidP="00637C70">
      <w:pPr>
        <w:spacing w:after="120" w:line="360" w:lineRule="auto"/>
        <w:jc w:val="both"/>
        <w:rPr>
          <w:rFonts w:ascii="Arial" w:hAnsi="Arial" w:cs="Arial"/>
          <w:sz w:val="24"/>
        </w:rPr>
      </w:pPr>
      <w:r>
        <w:rPr>
          <w:rFonts w:ascii="Arial" w:hAnsi="Arial" w:cs="Arial"/>
          <w:sz w:val="24"/>
        </w:rPr>
        <w:t>Finalmente, os gráficos 20 e 21 mostram o balanço entre as contribuições e os benefícios dos segurados civis e militares, separadamente. No caso dos civis, o crescimento bem maior dos benefícios que das contribuições leva a um déficit crescente ao longo de todo o período, à exceção do ano de 2009, e a uma queda contínua na relação contribuições/benefícios, que passa de 15,8% em 2007 para 10,6% em 2017.</w:t>
      </w:r>
    </w:p>
    <w:p w:rsidR="00637C70" w:rsidRPr="00282710" w:rsidRDefault="00637C70" w:rsidP="00637C70">
      <w:pPr>
        <w:spacing w:after="120" w:line="360" w:lineRule="auto"/>
        <w:jc w:val="both"/>
        <w:rPr>
          <w:rFonts w:ascii="Arial" w:hAnsi="Arial" w:cs="Arial"/>
          <w:sz w:val="24"/>
        </w:rPr>
      </w:pPr>
      <w:r>
        <w:rPr>
          <w:rFonts w:ascii="Arial" w:hAnsi="Arial" w:cs="Arial"/>
          <w:sz w:val="24"/>
        </w:rPr>
        <w:t xml:space="preserve">Também no caso dos militares, o déficit entre contribuições e benefícios é crescente, embora apresente recuos em 2008, em 2012 e em 2016. A relação contribuições/benefícios, nesse caso, passa de 11,8% em 2007 para 10,8% em 2017, mas, ao longo desse período, apresenta grandes oscilações em 2008 e 2012, quando chega a atingir 32%.  </w:t>
      </w:r>
    </w:p>
    <w:p w:rsidR="00637C70" w:rsidRDefault="00637C70" w:rsidP="00637C70">
      <w:pPr>
        <w:spacing w:after="120" w:line="360" w:lineRule="auto"/>
        <w:jc w:val="both"/>
        <w:rPr>
          <w:rFonts w:ascii="Arial" w:hAnsi="Arial" w:cs="Arial"/>
          <w:b/>
          <w:sz w:val="24"/>
        </w:rPr>
      </w:pPr>
      <w:r w:rsidRPr="00E4700F">
        <w:rPr>
          <w:noProof/>
        </w:rPr>
        <w:drawing>
          <wp:inline distT="0" distB="0" distL="0" distR="0" wp14:anchorId="4E92D6F6" wp14:editId="724D8251">
            <wp:extent cx="5400040" cy="33655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p>
    <w:p w:rsidR="00637C70" w:rsidRDefault="00637C70" w:rsidP="00637C70">
      <w:pPr>
        <w:spacing w:after="120" w:line="360" w:lineRule="auto"/>
        <w:jc w:val="both"/>
        <w:rPr>
          <w:rFonts w:ascii="Arial" w:hAnsi="Arial" w:cs="Arial"/>
          <w:b/>
          <w:sz w:val="24"/>
        </w:rPr>
      </w:pPr>
      <w:r w:rsidRPr="00CB0075">
        <w:rPr>
          <w:noProof/>
        </w:rPr>
        <w:lastRenderedPageBreak/>
        <w:drawing>
          <wp:inline distT="0" distB="0" distL="0" distR="0" wp14:anchorId="228D644C" wp14:editId="254D8FA7">
            <wp:extent cx="5400040" cy="3365500"/>
            <wp:effectExtent l="0" t="0" r="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65500"/>
                    </a:xfrm>
                    <a:prstGeom prst="rect">
                      <a:avLst/>
                    </a:prstGeom>
                  </pic:spPr>
                </pic:pic>
              </a:graphicData>
            </a:graphic>
          </wp:inline>
        </w:drawing>
      </w:r>
    </w:p>
    <w:p w:rsidR="00637C70" w:rsidRDefault="00637C70" w:rsidP="00637C70">
      <w:pPr>
        <w:spacing w:after="120" w:line="360" w:lineRule="auto"/>
        <w:jc w:val="both"/>
        <w:rPr>
          <w:rFonts w:ascii="Arial" w:hAnsi="Arial" w:cs="Arial"/>
          <w:b/>
          <w:sz w:val="24"/>
        </w:rPr>
      </w:pPr>
    </w:p>
    <w:p w:rsidR="00E708D1" w:rsidRDefault="00E708D1" w:rsidP="00156460">
      <w:pPr>
        <w:jc w:val="both"/>
        <w:rPr>
          <w:rStyle w:val="fontstyle01"/>
          <w:b/>
        </w:rPr>
      </w:pPr>
      <w:r>
        <w:rPr>
          <w:rStyle w:val="fontstyle01"/>
          <w:b/>
        </w:rPr>
        <w:t>5</w:t>
      </w:r>
      <w:r>
        <w:rPr>
          <w:rStyle w:val="fontstyle01"/>
          <w:b/>
        </w:rPr>
        <w:tab/>
      </w:r>
      <w:r w:rsidR="007270B2">
        <w:rPr>
          <w:rStyle w:val="fontstyle01"/>
          <w:b/>
        </w:rPr>
        <w:t>CONCLUS</w:t>
      </w:r>
      <w:r w:rsidR="007270B2">
        <w:rPr>
          <w:rStyle w:val="fontstyle01"/>
          <w:rFonts w:hint="eastAsia"/>
          <w:b/>
        </w:rPr>
        <w:t>Õ</w:t>
      </w:r>
      <w:r w:rsidR="007270B2">
        <w:rPr>
          <w:rStyle w:val="fontstyle01"/>
          <w:b/>
        </w:rPr>
        <w:t>ES E RECOMENDA</w:t>
      </w:r>
      <w:r w:rsidR="007270B2">
        <w:rPr>
          <w:rStyle w:val="fontstyle01"/>
          <w:rFonts w:hint="eastAsia"/>
          <w:b/>
        </w:rPr>
        <w:t>ÇÕ</w:t>
      </w:r>
      <w:r w:rsidR="007270B2">
        <w:rPr>
          <w:rStyle w:val="fontstyle01"/>
          <w:b/>
        </w:rPr>
        <w:t>ES</w:t>
      </w:r>
    </w:p>
    <w:p w:rsidR="00321AD9" w:rsidRDefault="00321AD9" w:rsidP="00156460">
      <w:pPr>
        <w:jc w:val="both"/>
      </w:pPr>
    </w:p>
    <w:sectPr w:rsidR="00321AD9">
      <w:foot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111" w:rsidRDefault="005C3111" w:rsidP="007F40BD">
      <w:pPr>
        <w:spacing w:after="0" w:line="240" w:lineRule="auto"/>
      </w:pPr>
      <w:r>
        <w:separator/>
      </w:r>
    </w:p>
  </w:endnote>
  <w:endnote w:type="continuationSeparator" w:id="0">
    <w:p w:rsidR="005C3111" w:rsidRDefault="005C3111" w:rsidP="007F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Bold">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449614"/>
      <w:docPartObj>
        <w:docPartGallery w:val="Page Numbers (Bottom of Page)"/>
        <w:docPartUnique/>
      </w:docPartObj>
    </w:sdtPr>
    <w:sdtEndPr/>
    <w:sdtContent>
      <w:p w:rsidR="00746927" w:rsidRDefault="00746927">
        <w:pPr>
          <w:pStyle w:val="Rodap"/>
          <w:jc w:val="right"/>
        </w:pPr>
        <w:r>
          <w:fldChar w:fldCharType="begin"/>
        </w:r>
        <w:r>
          <w:instrText>PAGE   \* MERGEFORMAT</w:instrText>
        </w:r>
        <w:r>
          <w:fldChar w:fldCharType="separate"/>
        </w:r>
        <w:r>
          <w:t>2</w:t>
        </w:r>
        <w:r>
          <w:fldChar w:fldCharType="end"/>
        </w:r>
      </w:p>
    </w:sdtContent>
  </w:sdt>
  <w:p w:rsidR="00746927" w:rsidRDefault="0074692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111" w:rsidRDefault="005C3111" w:rsidP="007F40BD">
      <w:pPr>
        <w:spacing w:after="0" w:line="240" w:lineRule="auto"/>
      </w:pPr>
      <w:r>
        <w:separator/>
      </w:r>
    </w:p>
  </w:footnote>
  <w:footnote w:type="continuationSeparator" w:id="0">
    <w:p w:rsidR="005C3111" w:rsidRDefault="005C3111" w:rsidP="007F40BD">
      <w:pPr>
        <w:spacing w:after="0" w:line="240" w:lineRule="auto"/>
      </w:pPr>
      <w:r>
        <w:continuationSeparator/>
      </w:r>
    </w:p>
  </w:footnote>
  <w:footnote w:id="1">
    <w:p w:rsidR="00353875" w:rsidRDefault="00353875" w:rsidP="009C59E4">
      <w:pPr>
        <w:pStyle w:val="Textodenotaderodap"/>
        <w:spacing w:after="240"/>
        <w:jc w:val="both"/>
      </w:pPr>
      <w:r w:rsidRPr="00353875">
        <w:rPr>
          <w:rStyle w:val="Refdenotaderodap"/>
          <w:rFonts w:ascii="Arial" w:hAnsi="Arial" w:cs="Arial"/>
        </w:rPr>
        <w:footnoteRef/>
      </w:r>
      <w:r w:rsidRPr="00353875">
        <w:rPr>
          <w:rFonts w:ascii="Arial" w:hAnsi="Arial" w:cs="Arial"/>
        </w:rPr>
        <w:t xml:space="preserve"> </w:t>
      </w:r>
      <w:r w:rsidR="003E5D3C">
        <w:rPr>
          <w:rFonts w:ascii="Arial" w:hAnsi="Arial" w:cs="Arial"/>
        </w:rPr>
        <w:t>Tomando-se o estado de Minas Gerais, e</w:t>
      </w:r>
      <w:r w:rsidRPr="00353875">
        <w:rPr>
          <w:rFonts w:ascii="Arial" w:hAnsi="Arial" w:cs="Arial"/>
          <w:color w:val="000000"/>
        </w:rPr>
        <w:t xml:space="preserve">m 30 anos (1980-2010), o percentual de idosos </w:t>
      </w:r>
      <w:r w:rsidR="000900D3">
        <w:rPr>
          <w:rFonts w:ascii="Arial" w:hAnsi="Arial" w:cs="Arial"/>
          <w:color w:val="000000"/>
        </w:rPr>
        <w:t xml:space="preserve">(60 anos ou mais) </w:t>
      </w:r>
      <w:r w:rsidRPr="00353875">
        <w:rPr>
          <w:rFonts w:ascii="Arial" w:hAnsi="Arial" w:cs="Arial"/>
          <w:color w:val="000000"/>
        </w:rPr>
        <w:t>passou de 6,1% para 11,8%.</w:t>
      </w:r>
    </w:p>
  </w:footnote>
  <w:footnote w:id="2">
    <w:p w:rsidR="006157C6" w:rsidRPr="00010966" w:rsidRDefault="006157C6" w:rsidP="00256FD2">
      <w:pPr>
        <w:spacing w:after="240" w:line="240" w:lineRule="auto"/>
        <w:jc w:val="both"/>
        <w:rPr>
          <w:rFonts w:ascii="ArialMT" w:hAnsi="ArialMT"/>
          <w:color w:val="000000"/>
          <w:sz w:val="20"/>
          <w:szCs w:val="20"/>
        </w:rPr>
      </w:pPr>
      <w:r>
        <w:rPr>
          <w:rStyle w:val="Refdenotaderodap"/>
        </w:rPr>
        <w:footnoteRef/>
      </w:r>
      <w:r>
        <w:t xml:space="preserve"> </w:t>
      </w:r>
      <w:r w:rsidRPr="00010966">
        <w:rPr>
          <w:rFonts w:ascii="ArialMT" w:hAnsi="ArialMT"/>
          <w:color w:val="000000"/>
          <w:sz w:val="20"/>
          <w:szCs w:val="20"/>
        </w:rPr>
        <w:t>Esta seção t</w:t>
      </w:r>
      <w:r w:rsidR="007B43E7">
        <w:rPr>
          <w:rFonts w:ascii="ArialMT" w:hAnsi="ArialMT"/>
          <w:color w:val="000000"/>
          <w:sz w:val="20"/>
          <w:szCs w:val="20"/>
        </w:rPr>
        <w:t xml:space="preserve">em como fonte principal </w:t>
      </w:r>
      <w:r w:rsidRPr="00010966">
        <w:rPr>
          <w:rFonts w:ascii="ArialMT" w:hAnsi="ArialMT"/>
          <w:color w:val="000000"/>
          <w:sz w:val="20"/>
          <w:szCs w:val="20"/>
        </w:rPr>
        <w:t xml:space="preserve">a dissertação de Jean Mattos Duarte: </w:t>
      </w:r>
      <w:r w:rsidR="005621FF" w:rsidRPr="008133B9">
        <w:rPr>
          <w:rStyle w:val="fontstyle01"/>
          <w:rFonts w:ascii="Arial" w:hAnsi="Arial" w:cs="Arial"/>
          <w:b/>
          <w:sz w:val="20"/>
          <w:szCs w:val="20"/>
        </w:rPr>
        <w:t>Regimes Próprios de Previdência Social, trajetória recente e</w:t>
      </w:r>
      <w:r w:rsidR="005621FF">
        <w:rPr>
          <w:rStyle w:val="fontstyle01"/>
          <w:rFonts w:ascii="Arial" w:hAnsi="Arial" w:cs="Arial"/>
          <w:b/>
          <w:sz w:val="20"/>
          <w:szCs w:val="20"/>
        </w:rPr>
        <w:t xml:space="preserve"> </w:t>
      </w:r>
      <w:r w:rsidR="005621FF" w:rsidRPr="008133B9">
        <w:rPr>
          <w:rStyle w:val="fontstyle01"/>
          <w:rFonts w:ascii="Arial" w:hAnsi="Arial" w:cs="Arial"/>
          <w:b/>
          <w:sz w:val="20"/>
          <w:szCs w:val="20"/>
        </w:rPr>
        <w:t>perspectivas: análise a partir do caso do Estado de Minas Gerais</w:t>
      </w:r>
      <w:r w:rsidR="005621FF">
        <w:rPr>
          <w:rStyle w:val="fontstyle01"/>
          <w:rFonts w:ascii="Arial" w:hAnsi="Arial" w:cs="Arial"/>
          <w:b/>
          <w:sz w:val="20"/>
          <w:szCs w:val="20"/>
        </w:rPr>
        <w:t>.</w:t>
      </w:r>
    </w:p>
  </w:footnote>
  <w:footnote w:id="3">
    <w:p w:rsidR="00B64A86" w:rsidRPr="00010966" w:rsidRDefault="00B64A86" w:rsidP="00256FD2">
      <w:pPr>
        <w:spacing w:after="240" w:line="240" w:lineRule="auto"/>
        <w:jc w:val="both"/>
        <w:rPr>
          <w:rFonts w:ascii="ArialMT" w:hAnsi="ArialMT"/>
          <w:color w:val="000000"/>
          <w:sz w:val="20"/>
          <w:szCs w:val="20"/>
        </w:rPr>
      </w:pPr>
      <w:r w:rsidRPr="00010966">
        <w:rPr>
          <w:rFonts w:ascii="ArialMT" w:hAnsi="ArialMT"/>
          <w:color w:val="000000"/>
          <w:sz w:val="20"/>
          <w:szCs w:val="20"/>
        </w:rPr>
        <w:footnoteRef/>
      </w:r>
      <w:r w:rsidRPr="00010966">
        <w:rPr>
          <w:rFonts w:ascii="ArialMT" w:hAnsi="ArialMT"/>
          <w:color w:val="000000"/>
          <w:sz w:val="20"/>
          <w:szCs w:val="20"/>
        </w:rPr>
        <w:t xml:space="preserve"> A Lei nº 9.717/1998 </w:t>
      </w:r>
      <w:r w:rsidR="00187DBD" w:rsidRPr="00353875">
        <w:rPr>
          <w:rFonts w:ascii="Arial" w:hAnsi="Arial" w:cs="Arial"/>
          <w:sz w:val="20"/>
          <w:szCs w:val="20"/>
        </w:rPr>
        <w:t xml:space="preserve">faz uma distinção entre os militares e servidores (civis) ao dispor </w:t>
      </w:r>
      <w:r w:rsidRPr="00010966">
        <w:rPr>
          <w:rFonts w:ascii="ArialMT" w:hAnsi="ArialMT"/>
          <w:color w:val="000000"/>
          <w:sz w:val="20"/>
          <w:szCs w:val="20"/>
        </w:rPr>
        <w:t>sobre as regras gerais para a organização e o funcionamento dos regimes próprios de previdência social dos servidores públicos da União, dos Estados, do Distrito Federal e dos Municípios, dos militares dos Estados e do Distrito Federal e dá outras providências.</w:t>
      </w:r>
    </w:p>
  </w:footnote>
  <w:footnote w:id="4">
    <w:p w:rsidR="007F40BD" w:rsidRPr="005621FF" w:rsidRDefault="007F40BD" w:rsidP="007F40BD">
      <w:pPr>
        <w:pStyle w:val="Textodenotaderodap"/>
        <w:spacing w:after="120"/>
        <w:jc w:val="both"/>
        <w:rPr>
          <w:rFonts w:ascii="Arial" w:hAnsi="Arial" w:cs="Arial"/>
          <w:color w:val="000000"/>
        </w:rPr>
      </w:pPr>
      <w:r w:rsidRPr="005621FF">
        <w:rPr>
          <w:rStyle w:val="Refdenotaderodap"/>
          <w:rFonts w:ascii="Arial" w:hAnsi="Arial" w:cs="Arial"/>
        </w:rPr>
        <w:footnoteRef/>
      </w:r>
      <w:r w:rsidRPr="005621FF">
        <w:rPr>
          <w:rFonts w:ascii="Arial" w:hAnsi="Arial" w:cs="Arial"/>
        </w:rPr>
        <w:t xml:space="preserve"> A LC 64/02 criou também o Fundo de Previdência do Estado de Minas Gerais</w:t>
      </w:r>
      <w:r w:rsidRPr="005621FF">
        <w:rPr>
          <w:rFonts w:ascii="Arial" w:hAnsi="Arial" w:cs="Arial"/>
          <w:sz w:val="22"/>
          <w:szCs w:val="22"/>
        </w:rPr>
        <w:t xml:space="preserve"> (</w:t>
      </w:r>
      <w:proofErr w:type="spellStart"/>
      <w:r w:rsidRPr="005621FF">
        <w:rPr>
          <w:rFonts w:ascii="Arial" w:hAnsi="Arial" w:cs="Arial"/>
        </w:rPr>
        <w:t>Funpemg</w:t>
      </w:r>
      <w:proofErr w:type="spellEnd"/>
      <w:r w:rsidRPr="005621FF">
        <w:rPr>
          <w:rFonts w:ascii="Arial" w:hAnsi="Arial" w:cs="Arial"/>
        </w:rPr>
        <w:t xml:space="preserve">), tendo como segurados obrigatórios os servidores efetivos, de todos os poderes, órgãos e autarquias, cuja nomeação ocorresse a partir de 01/01/2002. Diferentemente do </w:t>
      </w:r>
      <w:proofErr w:type="spellStart"/>
      <w:r w:rsidRPr="005621FF">
        <w:rPr>
          <w:rFonts w:ascii="Arial" w:hAnsi="Arial" w:cs="Arial"/>
        </w:rPr>
        <w:t>Funfip</w:t>
      </w:r>
      <w:proofErr w:type="spellEnd"/>
      <w:r w:rsidRPr="005621FF">
        <w:rPr>
          <w:rFonts w:ascii="Arial" w:hAnsi="Arial" w:cs="Arial"/>
        </w:rPr>
        <w:t xml:space="preserve">, o </w:t>
      </w:r>
      <w:proofErr w:type="spellStart"/>
      <w:r w:rsidRPr="005621FF">
        <w:rPr>
          <w:rFonts w:ascii="Arial" w:hAnsi="Arial" w:cs="Arial"/>
        </w:rPr>
        <w:t>Funpemg</w:t>
      </w:r>
      <w:proofErr w:type="spellEnd"/>
      <w:r w:rsidRPr="005621FF">
        <w:rPr>
          <w:rFonts w:ascii="Arial" w:hAnsi="Arial" w:cs="Arial"/>
        </w:rPr>
        <w:t xml:space="preserve"> seria um fundo capitalizado com constituição de provisões e reservas de longo prazo para suportar os próprios benefícios. A </w:t>
      </w:r>
      <w:r w:rsidRPr="005621FF">
        <w:rPr>
          <w:rFonts w:ascii="Arial" w:hAnsi="Arial" w:cs="Arial"/>
          <w:color w:val="000000"/>
        </w:rPr>
        <w:t xml:space="preserve">Lei Complementar nº 131, de 06/12/2014 extinguiu </w:t>
      </w:r>
      <w:proofErr w:type="spellStart"/>
      <w:r w:rsidRPr="005621FF">
        <w:rPr>
          <w:rFonts w:ascii="Arial" w:hAnsi="Arial" w:cs="Arial"/>
          <w:color w:val="000000"/>
        </w:rPr>
        <w:t>Fumpemg</w:t>
      </w:r>
      <w:proofErr w:type="spellEnd"/>
      <w:r w:rsidRPr="005621FF">
        <w:rPr>
          <w:rFonts w:ascii="Arial" w:hAnsi="Arial" w:cs="Arial"/>
          <w:color w:val="000000"/>
        </w:rPr>
        <w:t xml:space="preserve"> tendo suas receitas sido utilizadas para cobrir as despesas previdenciárias do estado. Co isso, seus segurados foram incorporados ao FUNFIP (DUARTE, J.M., 2017).</w:t>
      </w:r>
    </w:p>
  </w:footnote>
  <w:footnote w:id="5">
    <w:p w:rsidR="00FB5748" w:rsidRDefault="00FB5748" w:rsidP="00FB5748">
      <w:pPr>
        <w:pStyle w:val="Textodenotaderodap"/>
        <w:jc w:val="both"/>
      </w:pPr>
      <w:r>
        <w:rPr>
          <w:rStyle w:val="Refdenotaderodap"/>
        </w:rPr>
        <w:footnoteRef/>
      </w:r>
      <w:r>
        <w:t xml:space="preserve"> </w:t>
      </w:r>
      <w:r w:rsidRPr="00FB5748">
        <w:rPr>
          <w:rStyle w:val="fontstyle01"/>
          <w:sz w:val="20"/>
          <w:szCs w:val="20"/>
        </w:rPr>
        <w:t xml:space="preserve">O </w:t>
      </w:r>
      <w:proofErr w:type="spellStart"/>
      <w:r w:rsidRPr="00FB5748">
        <w:rPr>
          <w:rFonts w:ascii="ArialMT" w:hAnsi="ArialMT"/>
          <w:color w:val="000000"/>
        </w:rPr>
        <w:t>Prevcom</w:t>
      </w:r>
      <w:proofErr w:type="spellEnd"/>
      <w:r w:rsidRPr="00FB5748">
        <w:rPr>
          <w:rFonts w:ascii="ArialMT" w:hAnsi="ArialMT"/>
          <w:color w:val="000000"/>
        </w:rPr>
        <w:t xml:space="preserve">-MG, aprovado por meio da Portaria </w:t>
      </w:r>
      <w:proofErr w:type="spellStart"/>
      <w:r w:rsidRPr="00FB5748">
        <w:rPr>
          <w:rFonts w:ascii="ArialMT" w:hAnsi="ArialMT"/>
          <w:color w:val="000000"/>
        </w:rPr>
        <w:t>Previc</w:t>
      </w:r>
      <w:proofErr w:type="spellEnd"/>
      <w:r w:rsidRPr="00FB5748">
        <w:rPr>
          <w:rFonts w:ascii="ArialMT" w:hAnsi="ArialMT"/>
          <w:color w:val="000000"/>
        </w:rPr>
        <w:t xml:space="preserve"> nº 80, de 11 de fevereiro de 2015</w:t>
      </w:r>
      <w:r>
        <w:rPr>
          <w:rFonts w:ascii="ArialMT" w:hAnsi="ArialMT"/>
          <w:color w:val="000000"/>
        </w:rPr>
        <w:t>.</w:t>
      </w:r>
    </w:p>
  </w:footnote>
  <w:footnote w:id="6">
    <w:p w:rsidR="0041556B" w:rsidRDefault="0041556B" w:rsidP="0041556B">
      <w:pPr>
        <w:pStyle w:val="Textodenotaderodap"/>
        <w:jc w:val="both"/>
      </w:pPr>
      <w:r>
        <w:rPr>
          <w:rStyle w:val="Refdenotaderodap"/>
        </w:rPr>
        <w:footnoteRef/>
      </w:r>
      <w:r>
        <w:t xml:space="preserve"> Os dados do Anexo de Metas Fiscais se baseiam no Relatório de Avaliação Atuarial produzido anualmente pelo Instituto de Previdência dos Servidores de Minas Gerais (IPSEMG) e pelo Instituto de Previdência dos Servidores Militares de Minas Gerais (IPSM).</w:t>
      </w:r>
    </w:p>
  </w:footnote>
  <w:footnote w:id="7">
    <w:p w:rsidR="008C04D0" w:rsidRDefault="008C04D0">
      <w:pPr>
        <w:pStyle w:val="Textodenotaderodap"/>
      </w:pPr>
      <w:r>
        <w:rPr>
          <w:rStyle w:val="Refdenotaderodap"/>
        </w:rPr>
        <w:footnoteRef/>
      </w:r>
      <w:r>
        <w:t xml:space="preserve"> Os pensionistas serão tratados em subseção específica.</w:t>
      </w:r>
    </w:p>
  </w:footnote>
  <w:footnote w:id="8">
    <w:p w:rsidR="0041556B" w:rsidRDefault="0041556B" w:rsidP="0041556B">
      <w:pPr>
        <w:pStyle w:val="Textodenotaderodap"/>
        <w:jc w:val="both"/>
      </w:pPr>
      <w:r>
        <w:rPr>
          <w:rStyle w:val="Refdenotaderodap"/>
        </w:rPr>
        <w:footnoteRef/>
      </w:r>
      <w:r>
        <w:t xml:space="preserve"> E</w:t>
      </w:r>
      <w:r w:rsidRPr="00BE1C78">
        <w:t>ntre as 27 unidades da federação, Minas Gerais apresenta</w:t>
      </w:r>
      <w:r>
        <w:t>va</w:t>
      </w:r>
      <w:r w:rsidRPr="00BE1C78">
        <w:t xml:space="preserve"> a </w:t>
      </w:r>
      <w:r>
        <w:t>menor</w:t>
      </w:r>
      <w:r w:rsidRPr="00BE1C78">
        <w:t xml:space="preserve"> relação entre ativos e inativos</w:t>
      </w:r>
      <w:r>
        <w:t xml:space="preserve"> em 2016</w:t>
      </w:r>
      <w:r w:rsidRPr="00BE1C78">
        <w:t xml:space="preserve"> (Ministério da Fazenda, 201</w:t>
      </w:r>
      <w:r>
        <w:t>6</w:t>
      </w:r>
      <w:r w:rsidRPr="00BE1C78">
        <w:t>)</w:t>
      </w:r>
      <w:r>
        <w:t>, ou seja, a pior situação</w:t>
      </w:r>
      <w:r w:rsidRPr="00BE1C78">
        <w:t>.</w:t>
      </w:r>
    </w:p>
  </w:footnote>
  <w:footnote w:id="9">
    <w:p w:rsidR="0041556B" w:rsidRDefault="0041556B" w:rsidP="0041556B">
      <w:pPr>
        <w:pStyle w:val="Textodenotaderodap"/>
        <w:jc w:val="both"/>
      </w:pPr>
      <w:r>
        <w:rPr>
          <w:rStyle w:val="Refdenotaderodap"/>
        </w:rPr>
        <w:footnoteRef/>
      </w:r>
      <w:r>
        <w:t xml:space="preserve"> Não foi possível analisar a evolução do número de servidores militares, por falta de acesso aos dados.</w:t>
      </w:r>
    </w:p>
  </w:footnote>
  <w:footnote w:id="10">
    <w:p w:rsidR="0041556B" w:rsidRDefault="0041556B" w:rsidP="0041556B">
      <w:pPr>
        <w:pStyle w:val="Textodenotaderodap"/>
        <w:jc w:val="both"/>
      </w:pPr>
      <w:r>
        <w:rPr>
          <w:rStyle w:val="Refdenotaderodap"/>
        </w:rPr>
        <w:footnoteRef/>
      </w:r>
      <w:r>
        <w:t xml:space="preserve"> O Relatório de Avaliação Atuarial passou a ser mais detalhado no ano de 2017, sendo possível quantificar o número de servidores professores de acordo com o sexo.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AF47EB"/>
    <w:multiLevelType w:val="hybridMultilevel"/>
    <w:tmpl w:val="7BB2E8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54FC06C4"/>
    <w:multiLevelType w:val="hybridMultilevel"/>
    <w:tmpl w:val="0AD633F4"/>
    <w:lvl w:ilvl="0" w:tplc="C4D6EF2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5C62AC4"/>
    <w:multiLevelType w:val="hybridMultilevel"/>
    <w:tmpl w:val="3DD0CA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0BD"/>
    <w:rsid w:val="00010966"/>
    <w:rsid w:val="000151A7"/>
    <w:rsid w:val="00017895"/>
    <w:rsid w:val="00024F38"/>
    <w:rsid w:val="00047BCD"/>
    <w:rsid w:val="000712FB"/>
    <w:rsid w:val="000900D3"/>
    <w:rsid w:val="00093456"/>
    <w:rsid w:val="000A46FD"/>
    <w:rsid w:val="000C75CF"/>
    <w:rsid w:val="00143576"/>
    <w:rsid w:val="00144FE9"/>
    <w:rsid w:val="00156460"/>
    <w:rsid w:val="001603D3"/>
    <w:rsid w:val="00163723"/>
    <w:rsid w:val="0018474D"/>
    <w:rsid w:val="00187AAB"/>
    <w:rsid w:val="00187DBD"/>
    <w:rsid w:val="002175F3"/>
    <w:rsid w:val="00226D29"/>
    <w:rsid w:val="002306BE"/>
    <w:rsid w:val="00230959"/>
    <w:rsid w:val="00232055"/>
    <w:rsid w:val="002541D0"/>
    <w:rsid w:val="00256FD2"/>
    <w:rsid w:val="002627EB"/>
    <w:rsid w:val="00262D9F"/>
    <w:rsid w:val="002820B4"/>
    <w:rsid w:val="002A524E"/>
    <w:rsid w:val="002B3370"/>
    <w:rsid w:val="002D7DA8"/>
    <w:rsid w:val="002E5F36"/>
    <w:rsid w:val="00321AD9"/>
    <w:rsid w:val="0032242D"/>
    <w:rsid w:val="00353755"/>
    <w:rsid w:val="00353875"/>
    <w:rsid w:val="00374829"/>
    <w:rsid w:val="00391A86"/>
    <w:rsid w:val="00391C65"/>
    <w:rsid w:val="00397C8F"/>
    <w:rsid w:val="003D26EC"/>
    <w:rsid w:val="003D2BC8"/>
    <w:rsid w:val="003E5D3C"/>
    <w:rsid w:val="0041556B"/>
    <w:rsid w:val="00420FDA"/>
    <w:rsid w:val="00444EA1"/>
    <w:rsid w:val="004607FF"/>
    <w:rsid w:val="004731AC"/>
    <w:rsid w:val="0049310E"/>
    <w:rsid w:val="004A15D5"/>
    <w:rsid w:val="004A3FDC"/>
    <w:rsid w:val="004B5C75"/>
    <w:rsid w:val="004D34B0"/>
    <w:rsid w:val="004E1712"/>
    <w:rsid w:val="00522085"/>
    <w:rsid w:val="00526A9F"/>
    <w:rsid w:val="00542A61"/>
    <w:rsid w:val="00552D37"/>
    <w:rsid w:val="005621FF"/>
    <w:rsid w:val="005868E0"/>
    <w:rsid w:val="00596F16"/>
    <w:rsid w:val="005A09DD"/>
    <w:rsid w:val="005C3111"/>
    <w:rsid w:val="005F269A"/>
    <w:rsid w:val="00603F3D"/>
    <w:rsid w:val="006157C6"/>
    <w:rsid w:val="00615A43"/>
    <w:rsid w:val="00637C70"/>
    <w:rsid w:val="006424C4"/>
    <w:rsid w:val="006717C6"/>
    <w:rsid w:val="00690D57"/>
    <w:rsid w:val="00692C06"/>
    <w:rsid w:val="006B7655"/>
    <w:rsid w:val="006C7DBA"/>
    <w:rsid w:val="006E2883"/>
    <w:rsid w:val="006E3186"/>
    <w:rsid w:val="006F56C3"/>
    <w:rsid w:val="0071479A"/>
    <w:rsid w:val="00723377"/>
    <w:rsid w:val="00724065"/>
    <w:rsid w:val="00725486"/>
    <w:rsid w:val="007270B2"/>
    <w:rsid w:val="00736C91"/>
    <w:rsid w:val="00746927"/>
    <w:rsid w:val="00754AD3"/>
    <w:rsid w:val="007568BB"/>
    <w:rsid w:val="007719D6"/>
    <w:rsid w:val="00780E19"/>
    <w:rsid w:val="0079783B"/>
    <w:rsid w:val="007B43E7"/>
    <w:rsid w:val="007F40BD"/>
    <w:rsid w:val="007F5D7E"/>
    <w:rsid w:val="00852802"/>
    <w:rsid w:val="008857EC"/>
    <w:rsid w:val="008A76F7"/>
    <w:rsid w:val="008B0DAF"/>
    <w:rsid w:val="008C04D0"/>
    <w:rsid w:val="008D4330"/>
    <w:rsid w:val="008E7E98"/>
    <w:rsid w:val="00903A3F"/>
    <w:rsid w:val="0091668D"/>
    <w:rsid w:val="009210C5"/>
    <w:rsid w:val="00941328"/>
    <w:rsid w:val="009807DA"/>
    <w:rsid w:val="009B55DC"/>
    <w:rsid w:val="009C59E4"/>
    <w:rsid w:val="009D2ADA"/>
    <w:rsid w:val="009E18F3"/>
    <w:rsid w:val="00A17D0F"/>
    <w:rsid w:val="00A45EBC"/>
    <w:rsid w:val="00A545EC"/>
    <w:rsid w:val="00A72077"/>
    <w:rsid w:val="00A762E5"/>
    <w:rsid w:val="00AB4EB2"/>
    <w:rsid w:val="00AB646A"/>
    <w:rsid w:val="00AC58AE"/>
    <w:rsid w:val="00AD72B8"/>
    <w:rsid w:val="00B07020"/>
    <w:rsid w:val="00B15B8E"/>
    <w:rsid w:val="00B2087B"/>
    <w:rsid w:val="00B243AA"/>
    <w:rsid w:val="00B3040F"/>
    <w:rsid w:val="00B53ADA"/>
    <w:rsid w:val="00B64A86"/>
    <w:rsid w:val="00B845C5"/>
    <w:rsid w:val="00B93E00"/>
    <w:rsid w:val="00B93ED3"/>
    <w:rsid w:val="00B967F1"/>
    <w:rsid w:val="00BA6306"/>
    <w:rsid w:val="00BB4528"/>
    <w:rsid w:val="00C06054"/>
    <w:rsid w:val="00CC00BE"/>
    <w:rsid w:val="00CC3A9C"/>
    <w:rsid w:val="00CC7C66"/>
    <w:rsid w:val="00CD38A3"/>
    <w:rsid w:val="00CE335A"/>
    <w:rsid w:val="00CE45F7"/>
    <w:rsid w:val="00D128DD"/>
    <w:rsid w:val="00D13153"/>
    <w:rsid w:val="00D15922"/>
    <w:rsid w:val="00D2072A"/>
    <w:rsid w:val="00D21B17"/>
    <w:rsid w:val="00D34F83"/>
    <w:rsid w:val="00D466A2"/>
    <w:rsid w:val="00D51CB7"/>
    <w:rsid w:val="00D56345"/>
    <w:rsid w:val="00D846BB"/>
    <w:rsid w:val="00DA65CE"/>
    <w:rsid w:val="00DB723A"/>
    <w:rsid w:val="00DD0B12"/>
    <w:rsid w:val="00DE5398"/>
    <w:rsid w:val="00DF06E0"/>
    <w:rsid w:val="00E1100C"/>
    <w:rsid w:val="00E12709"/>
    <w:rsid w:val="00E129C1"/>
    <w:rsid w:val="00E43988"/>
    <w:rsid w:val="00E44D91"/>
    <w:rsid w:val="00E45489"/>
    <w:rsid w:val="00E545DB"/>
    <w:rsid w:val="00E6435C"/>
    <w:rsid w:val="00E708D1"/>
    <w:rsid w:val="00E81283"/>
    <w:rsid w:val="00E855A7"/>
    <w:rsid w:val="00E949E6"/>
    <w:rsid w:val="00E97BD2"/>
    <w:rsid w:val="00EA4147"/>
    <w:rsid w:val="00EC1537"/>
    <w:rsid w:val="00EC4A53"/>
    <w:rsid w:val="00EC750B"/>
    <w:rsid w:val="00F00147"/>
    <w:rsid w:val="00F06196"/>
    <w:rsid w:val="00F23E7E"/>
    <w:rsid w:val="00F34A6E"/>
    <w:rsid w:val="00F34C9D"/>
    <w:rsid w:val="00F43C18"/>
    <w:rsid w:val="00F779A1"/>
    <w:rsid w:val="00F91AD0"/>
    <w:rsid w:val="00F924C1"/>
    <w:rsid w:val="00F95E30"/>
    <w:rsid w:val="00FB5748"/>
    <w:rsid w:val="00FB6B20"/>
    <w:rsid w:val="00FB7483"/>
    <w:rsid w:val="00FD1CE2"/>
    <w:rsid w:val="00FE0C27"/>
    <w:rsid w:val="00FE54AD"/>
    <w:rsid w:val="00FE6201"/>
    <w:rsid w:val="00FF1C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8BFCE"/>
  <w15:chartTrackingRefBased/>
  <w15:docId w15:val="{B8B90EFB-DE51-4B31-8F3F-736C554BA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0BD"/>
  </w:style>
  <w:style w:type="paragraph" w:styleId="Ttulo2">
    <w:name w:val="heading 2"/>
    <w:basedOn w:val="Normal"/>
    <w:link w:val="Ttulo2Char"/>
    <w:uiPriority w:val="9"/>
    <w:qFormat/>
    <w:rsid w:val="008B0DA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style01">
    <w:name w:val="fontstyle01"/>
    <w:basedOn w:val="Fontepargpadro"/>
    <w:rsid w:val="007F40BD"/>
    <w:rPr>
      <w:rFonts w:ascii="ArialMT" w:hAnsi="ArialMT" w:hint="default"/>
      <w:b w:val="0"/>
      <w:bCs w:val="0"/>
      <w:i w:val="0"/>
      <w:iCs w:val="0"/>
      <w:color w:val="000000"/>
      <w:sz w:val="24"/>
      <w:szCs w:val="24"/>
    </w:rPr>
  </w:style>
  <w:style w:type="paragraph" w:styleId="Textodenotaderodap">
    <w:name w:val="footnote text"/>
    <w:aliases w:val="Nota de rodapé"/>
    <w:basedOn w:val="Normal"/>
    <w:link w:val="TextodenotaderodapChar"/>
    <w:unhideWhenUsed/>
    <w:rsid w:val="007F40BD"/>
    <w:pPr>
      <w:spacing w:after="0" w:line="240" w:lineRule="auto"/>
    </w:pPr>
    <w:rPr>
      <w:sz w:val="20"/>
      <w:szCs w:val="20"/>
    </w:rPr>
  </w:style>
  <w:style w:type="character" w:customStyle="1" w:styleId="TextodenotaderodapChar">
    <w:name w:val="Texto de nota de rodapé Char"/>
    <w:aliases w:val="Nota de rodapé Char"/>
    <w:basedOn w:val="Fontepargpadro"/>
    <w:link w:val="Textodenotaderodap"/>
    <w:rsid w:val="007F40BD"/>
    <w:rPr>
      <w:sz w:val="20"/>
      <w:szCs w:val="20"/>
    </w:rPr>
  </w:style>
  <w:style w:type="character" w:styleId="Refdenotaderodap">
    <w:name w:val="footnote reference"/>
    <w:basedOn w:val="Fontepargpadro"/>
    <w:uiPriority w:val="99"/>
    <w:semiHidden/>
    <w:unhideWhenUsed/>
    <w:rsid w:val="007F40BD"/>
    <w:rPr>
      <w:vertAlign w:val="superscript"/>
    </w:rPr>
  </w:style>
  <w:style w:type="paragraph" w:styleId="Cabealho">
    <w:name w:val="header"/>
    <w:basedOn w:val="Normal"/>
    <w:link w:val="CabealhoChar"/>
    <w:uiPriority w:val="99"/>
    <w:unhideWhenUsed/>
    <w:rsid w:val="0074692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46927"/>
  </w:style>
  <w:style w:type="paragraph" w:styleId="Rodap">
    <w:name w:val="footer"/>
    <w:basedOn w:val="Normal"/>
    <w:link w:val="RodapChar"/>
    <w:uiPriority w:val="99"/>
    <w:unhideWhenUsed/>
    <w:rsid w:val="00746927"/>
    <w:pPr>
      <w:tabs>
        <w:tab w:val="center" w:pos="4252"/>
        <w:tab w:val="right" w:pos="8504"/>
      </w:tabs>
      <w:spacing w:after="0" w:line="240" w:lineRule="auto"/>
    </w:pPr>
  </w:style>
  <w:style w:type="character" w:customStyle="1" w:styleId="RodapChar">
    <w:name w:val="Rodapé Char"/>
    <w:basedOn w:val="Fontepargpadro"/>
    <w:link w:val="Rodap"/>
    <w:uiPriority w:val="99"/>
    <w:rsid w:val="00746927"/>
  </w:style>
  <w:style w:type="character" w:customStyle="1" w:styleId="fontstyle21">
    <w:name w:val="fontstyle21"/>
    <w:basedOn w:val="Fontepargpadro"/>
    <w:rsid w:val="00321AD9"/>
    <w:rPr>
      <w:rFonts w:ascii="Bold" w:hAnsi="Bold" w:hint="default"/>
      <w:b/>
      <w:bCs/>
      <w:i w:val="0"/>
      <w:iCs w:val="0"/>
      <w:color w:val="000000"/>
      <w:sz w:val="24"/>
      <w:szCs w:val="24"/>
    </w:rPr>
  </w:style>
  <w:style w:type="paragraph" w:styleId="PargrafodaLista">
    <w:name w:val="List Paragraph"/>
    <w:basedOn w:val="Normal"/>
    <w:uiPriority w:val="34"/>
    <w:qFormat/>
    <w:rsid w:val="00420FDA"/>
    <w:pPr>
      <w:ind w:left="720"/>
      <w:contextualSpacing/>
    </w:pPr>
  </w:style>
  <w:style w:type="paragraph" w:styleId="NormalWeb">
    <w:name w:val="Normal (Web)"/>
    <w:basedOn w:val="Normal"/>
    <w:uiPriority w:val="99"/>
    <w:semiHidden/>
    <w:unhideWhenUsed/>
    <w:rsid w:val="000C75C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western">
    <w:name w:val="western"/>
    <w:basedOn w:val="Normal"/>
    <w:rsid w:val="002D7DA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rsid w:val="008B0DAF"/>
    <w:rPr>
      <w:rFonts w:ascii="Times New Roman" w:eastAsia="Times New Roman" w:hAnsi="Times New Roman" w:cs="Times New Roman"/>
      <w:b/>
      <w:bCs/>
      <w:sz w:val="36"/>
      <w:szCs w:val="36"/>
      <w:lang w:eastAsia="pt-BR"/>
    </w:rPr>
  </w:style>
  <w:style w:type="table" w:styleId="Tabelacomgrade">
    <w:name w:val="Table Grid"/>
    <w:basedOn w:val="Tabelanormal"/>
    <w:uiPriority w:val="39"/>
    <w:rsid w:val="006C7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Grf-T">
    <w:name w:val="B-Gráf-T"/>
    <w:basedOn w:val="Normal"/>
    <w:link w:val="B-Grf-TChar"/>
    <w:qFormat/>
    <w:rsid w:val="0041556B"/>
    <w:pPr>
      <w:autoSpaceDE w:val="0"/>
      <w:autoSpaceDN w:val="0"/>
      <w:adjustRightInd w:val="0"/>
      <w:spacing w:before="240" w:after="120" w:line="240" w:lineRule="auto"/>
      <w:ind w:left="1021" w:hanging="1021"/>
    </w:pPr>
    <w:rPr>
      <w:rFonts w:ascii="Trebuchet MS" w:eastAsia="Times New Roman" w:hAnsi="Trebuchet MS" w:cs="Arial"/>
      <w:color w:val="000000"/>
      <w:sz w:val="24"/>
      <w:szCs w:val="14"/>
      <w:lang w:eastAsia="pt-BR"/>
    </w:rPr>
  </w:style>
  <w:style w:type="character" w:customStyle="1" w:styleId="B-Grf-TChar">
    <w:name w:val="B-Gráf-T Char"/>
    <w:basedOn w:val="Fontepargpadro"/>
    <w:link w:val="B-Grf-T"/>
    <w:rsid w:val="0041556B"/>
    <w:rPr>
      <w:rFonts w:ascii="Trebuchet MS" w:eastAsia="Times New Roman" w:hAnsi="Trebuchet MS" w:cs="Arial"/>
      <w:color w:val="000000"/>
      <w:sz w:val="24"/>
      <w:szCs w:val="1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76874">
      <w:bodyDiv w:val="1"/>
      <w:marLeft w:val="0"/>
      <w:marRight w:val="0"/>
      <w:marTop w:val="0"/>
      <w:marBottom w:val="0"/>
      <w:divBdr>
        <w:top w:val="none" w:sz="0" w:space="0" w:color="auto"/>
        <w:left w:val="none" w:sz="0" w:space="0" w:color="auto"/>
        <w:bottom w:val="none" w:sz="0" w:space="0" w:color="auto"/>
        <w:right w:val="none" w:sz="0" w:space="0" w:color="auto"/>
      </w:divBdr>
    </w:div>
    <w:div w:id="304437791">
      <w:bodyDiv w:val="1"/>
      <w:marLeft w:val="0"/>
      <w:marRight w:val="0"/>
      <w:marTop w:val="0"/>
      <w:marBottom w:val="0"/>
      <w:divBdr>
        <w:top w:val="none" w:sz="0" w:space="0" w:color="auto"/>
        <w:left w:val="none" w:sz="0" w:space="0" w:color="auto"/>
        <w:bottom w:val="none" w:sz="0" w:space="0" w:color="auto"/>
        <w:right w:val="none" w:sz="0" w:space="0" w:color="auto"/>
      </w:divBdr>
    </w:div>
    <w:div w:id="842475557">
      <w:bodyDiv w:val="1"/>
      <w:marLeft w:val="0"/>
      <w:marRight w:val="0"/>
      <w:marTop w:val="0"/>
      <w:marBottom w:val="0"/>
      <w:divBdr>
        <w:top w:val="none" w:sz="0" w:space="0" w:color="auto"/>
        <w:left w:val="none" w:sz="0" w:space="0" w:color="auto"/>
        <w:bottom w:val="none" w:sz="0" w:space="0" w:color="auto"/>
        <w:right w:val="none" w:sz="0" w:space="0" w:color="auto"/>
      </w:divBdr>
    </w:div>
    <w:div w:id="909000606">
      <w:bodyDiv w:val="1"/>
      <w:marLeft w:val="0"/>
      <w:marRight w:val="0"/>
      <w:marTop w:val="0"/>
      <w:marBottom w:val="0"/>
      <w:divBdr>
        <w:top w:val="none" w:sz="0" w:space="0" w:color="auto"/>
        <w:left w:val="none" w:sz="0" w:space="0" w:color="auto"/>
        <w:bottom w:val="none" w:sz="0" w:space="0" w:color="auto"/>
        <w:right w:val="none" w:sz="0" w:space="0" w:color="auto"/>
      </w:divBdr>
    </w:div>
    <w:div w:id="951324211">
      <w:bodyDiv w:val="1"/>
      <w:marLeft w:val="0"/>
      <w:marRight w:val="0"/>
      <w:marTop w:val="0"/>
      <w:marBottom w:val="0"/>
      <w:divBdr>
        <w:top w:val="none" w:sz="0" w:space="0" w:color="auto"/>
        <w:left w:val="none" w:sz="0" w:space="0" w:color="auto"/>
        <w:bottom w:val="none" w:sz="0" w:space="0" w:color="auto"/>
        <w:right w:val="none" w:sz="0" w:space="0" w:color="auto"/>
      </w:divBdr>
    </w:div>
    <w:div w:id="1959870082">
      <w:bodyDiv w:val="1"/>
      <w:marLeft w:val="0"/>
      <w:marRight w:val="0"/>
      <w:marTop w:val="0"/>
      <w:marBottom w:val="0"/>
      <w:divBdr>
        <w:top w:val="none" w:sz="0" w:space="0" w:color="auto"/>
        <w:left w:val="none" w:sz="0" w:space="0" w:color="auto"/>
        <w:bottom w:val="none" w:sz="0" w:space="0" w:color="auto"/>
        <w:right w:val="none" w:sz="0" w:space="0" w:color="auto"/>
      </w:divBdr>
    </w:div>
    <w:div w:id="202670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image" Target="media/image4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39C35-EF45-4254-84FB-142C75A8A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35</Pages>
  <Words>5390</Words>
  <Characters>29107</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Beatriz Carneiro Teixeira Pereira</dc:creator>
  <cp:keywords/>
  <dc:description/>
  <cp:lastModifiedBy>Fatima Beatriz Carneiro Teixeira Pereira</cp:lastModifiedBy>
  <cp:revision>23</cp:revision>
  <dcterms:created xsi:type="dcterms:W3CDTF">2018-04-09T18:54:00Z</dcterms:created>
  <dcterms:modified xsi:type="dcterms:W3CDTF">2018-04-10T17:33:00Z</dcterms:modified>
</cp:coreProperties>
</file>