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第二十一届中国研究生电子设计竞赛</w:t>
      </w:r>
    </w:p>
    <w:p>
      <w:pPr>
        <w:jc w:val="center"/>
      </w:pPr>
      <w:r>
        <w:rPr>
          <w:rFonts w:ascii="Noto Sans CJK SC" w:hAnsi="Noto Sans CJK SC" w:eastAsia="Noto Sans CJK SC"/>
          <w:b/>
          <w:color w:val="003F72"/>
          <w:sz w:val="48"/>
        </w:rPr>
        <w:t>商 业 计 划 书</w:t>
      </w:r>
    </w:p>
    <w:p/>
    <w:p/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岗位能力达成学生成长诊断与精准就业智能体系统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fill="EAF3F8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2"/>
              </w:rPr>
              <w:t>学校名称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2"/>
              </w:rPr>
              <w:t>桂林电子科技大学</w:t>
            </w:r>
          </w:p>
        </w:tc>
      </w:tr>
      <w:tr>
        <w:tc>
          <w:tcPr>
            <w:tcW w:type="dxa" w:w="2268"/>
            <w:vAlign w:val="center"/>
            <w:shd w:fill="EAF3F8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2"/>
              </w:rPr>
              <w:t>项目名称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2"/>
              </w:rPr>
              <w:t>岗位能力达成学生成长诊断与精准就业智能体系统</w:t>
            </w:r>
          </w:p>
        </w:tc>
      </w:tr>
      <w:tr>
        <w:tc>
          <w:tcPr>
            <w:tcW w:type="dxa" w:w="2268"/>
            <w:vAlign w:val="center"/>
            <w:shd w:fill="EAF3F8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2"/>
              </w:rPr>
              <w:t>参赛赛道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2"/>
              </w:rPr>
              <w:t>大模型与智能体应用赛道（产业转化方向）</w:t>
            </w:r>
          </w:p>
        </w:tc>
      </w:tr>
      <w:tr>
        <w:tc>
          <w:tcPr>
            <w:tcW w:type="dxa" w:w="2268"/>
            <w:vAlign w:val="center"/>
            <w:shd w:fill="EAF3F8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2"/>
              </w:rPr>
              <w:t>队伍名称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2"/>
              </w:rPr>
              <w:t>智聘未来</w:t>
            </w:r>
          </w:p>
        </w:tc>
      </w:tr>
      <w:tr>
        <w:tc>
          <w:tcPr>
            <w:tcW w:type="dxa" w:w="2268"/>
            <w:vAlign w:val="center"/>
            <w:shd w:fill="EAF3F8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2"/>
              </w:rPr>
              <w:t>联系人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2"/>
              </w:rPr>
              <w:t>冯靖原</w:t>
            </w:r>
          </w:p>
        </w:tc>
      </w:tr>
      <w:tr>
        <w:tc>
          <w:tcPr>
            <w:tcW w:type="dxa" w:w="2268"/>
            <w:vAlign w:val="center"/>
            <w:shd w:fill="EAF3F8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2"/>
              </w:rPr>
              <w:t>电话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2"/>
              </w:rPr>
              <w:t>（待补充）</w:t>
            </w:r>
          </w:p>
        </w:tc>
      </w:tr>
      <w:tr>
        <w:tc>
          <w:tcPr>
            <w:tcW w:type="dxa" w:w="2268"/>
            <w:vAlign w:val="center"/>
            <w:shd w:fill="EAF3F8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2"/>
              </w:rPr>
              <w:t>电子邮件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2"/>
              </w:rPr>
              <w:t>（待补充）</w:t>
            </w:r>
          </w:p>
        </w:tc>
      </w:tr>
      <w:tr>
        <w:tc>
          <w:tcPr>
            <w:tcW w:type="dxa" w:w="2268"/>
            <w:vAlign w:val="center"/>
            <w:shd w:fill="EAF3F8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2"/>
              </w:rPr>
              <w:t>地址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2"/>
              </w:rPr>
              <w:t>广西桂林市桂林电子科技大学</w:t>
            </w:r>
          </w:p>
        </w:tc>
      </w:tr>
    </w:tbl>
    <w:p/>
    <w:p/>
    <w:p>
      <w:pPr>
        <w:jc w:val="center"/>
      </w:pPr>
      <w:r>
        <w:rPr>
          <w:rFonts w:ascii="Noto Sans CJK SC" w:hAnsi="Noto Sans CJK SC" w:eastAsia="Noto Sans CJK SC"/>
          <w:sz w:val="24"/>
        </w:rPr>
        <w:t>2026年6月</w:t>
      </w:r>
    </w:p>
    <w:p>
      <w:r>
        <w:br w:type="page"/>
      </w:r>
    </w:p>
    <w:p>
      <w:pPr>
        <w:pStyle w:val="Heading1"/>
        <w:spacing w:before="240" w:after="200"/>
        <w:jc w:val="left"/>
      </w:pPr>
      <w:r>
        <w:rPr>
          <w:rFonts w:ascii="Noto Sans CJK SC" w:hAnsi="Noto Sans CJK SC" w:eastAsia="Noto Sans CJK SC"/>
          <w:b/>
          <w:color w:val="003058"/>
          <w:sz w:val="32"/>
        </w:rPr>
        <w:t>摘 要</w:t>
      </w:r>
    </w:p>
    <w:p>
      <w:pPr>
        <w:spacing w:after="120" w:line="300" w:lineRule="auto"/>
        <w:ind w:firstLine="560"/>
      </w:pPr>
      <w:r>
        <w:rPr>
          <w:rFonts w:ascii="Noto Sans CJK SC" w:hAnsi="Noto Sans CJK SC" w:eastAsia="Noto Sans CJK SC"/>
          <w:sz w:val="22"/>
        </w:rPr>
        <w:t>高校就业服务普遍存在学生材料分散、能力难量化、岗位推荐缺乏解释、教师个性化指导成本高、企业筛选与人才培养反馈脱节等问题。本项目研发“岗位能力达成学生成长诊断与精准就业智能体系统”，以学生、学校、企业三方协同为主线，利用LangGraph编排智能体工作流，将简历、课程、项目、竞赛和证书等材料转化为专业基础、技术实践、工具技能、职业发展四维能力画像；采用“本地稀疏向量召回与规则评分+大模型语义精排”的混合匹配机制，输出TOP5岗位、能力差距和成长路径，并通过专家规则库、课程—岗位映射、简历优化和模拟面试形成就业服务闭环。项目已完成可运行Web原型，接入679条岗位数据和70条专家规则，登录注册、能力画像、岗位匹配、三方审核、企业端隐私脱敏及主要流程验证均已通过。产品可面向高校就业中心、二级学院、职业院校和招聘企业提供校级SaaS、私有化部署、企业人才专场及学生增值服务，既能降低教师与企业的重复筛选成本，又能帮助学生获得可解释、可执行、可持续追踪的成长方案，并沉淀岗位、课程和能力数据资产，具备规模化推广与持续商业运营价值。</w:t>
      </w:r>
    </w:p>
    <w:p>
      <w:pPr>
        <w:spacing w:after="120" w:line="300" w:lineRule="auto"/>
        <w:ind w:firstLine="560"/>
      </w:pPr>
      <w:r>
        <w:rPr>
          <w:rFonts w:ascii="Noto Sans CJK SC" w:hAnsi="Noto Sans CJK SC" w:eastAsia="Noto Sans CJK SC"/>
          <w:sz w:val="22"/>
        </w:rPr>
        <w:t>关键词：岗位能力达成；精准就业；智能体；简历优化；三方协同；商业计划</w:t>
      </w:r>
    </w:p>
    <w:p>
      <w:r>
        <w:br w:type="page"/>
      </w:r>
    </w:p>
    <w:p>
      <w:pPr>
        <w:pStyle w:val="Heading1"/>
        <w:spacing w:before="240" w:after="200"/>
        <w:jc w:val="left"/>
      </w:pPr>
      <w:r>
        <w:rPr>
          <w:rFonts w:ascii="Noto Sans CJK SC" w:hAnsi="Noto Sans CJK SC" w:eastAsia="Noto Sans CJK SC"/>
          <w:b/>
          <w:color w:val="003058"/>
          <w:sz w:val="32"/>
        </w:rPr>
        <w:t>目 录</w:t>
      </w:r>
    </w:p>
    <w:p>
      <w:pPr>
        <w:spacing w:after="100"/>
        <w:ind w:left="480"/>
      </w:pPr>
      <w:r>
        <w:rPr>
          <w:rFonts w:ascii="Noto Sans CJK SC" w:hAnsi="Noto Sans CJK SC" w:eastAsia="Noto Sans CJK SC"/>
          <w:sz w:val="22"/>
        </w:rPr>
        <w:t>一、项目背景与核心问题</w:t>
      </w:r>
    </w:p>
    <w:p>
      <w:pPr>
        <w:spacing w:after="100"/>
        <w:ind w:left="480"/>
      </w:pPr>
      <w:r>
        <w:rPr>
          <w:rFonts w:ascii="Noto Sans CJK SC" w:hAnsi="Noto Sans CJK SC" w:eastAsia="Noto Sans CJK SC"/>
          <w:sz w:val="22"/>
        </w:rPr>
        <w:t>二、团队基础与成员分工</w:t>
      </w:r>
    </w:p>
    <w:p>
      <w:pPr>
        <w:spacing w:after="100"/>
        <w:ind w:left="480"/>
      </w:pPr>
      <w:r>
        <w:rPr>
          <w:rFonts w:ascii="Noto Sans CJK SC" w:hAnsi="Noto Sans CJK SC" w:eastAsia="Noto Sans CJK SC"/>
          <w:sz w:val="22"/>
        </w:rPr>
        <w:t>三、项目方案与产品内容</w:t>
      </w:r>
    </w:p>
    <w:p>
      <w:pPr>
        <w:spacing w:after="100"/>
        <w:ind w:left="480"/>
      </w:pPr>
      <w:r>
        <w:rPr>
          <w:rFonts w:ascii="Noto Sans CJK SC" w:hAnsi="Noto Sans CJK SC" w:eastAsia="Noto Sans CJK SC"/>
          <w:sz w:val="22"/>
        </w:rPr>
        <w:t>四、核心技术与创新点</w:t>
      </w:r>
    </w:p>
    <w:p>
      <w:pPr>
        <w:spacing w:after="100"/>
        <w:ind w:left="480"/>
      </w:pPr>
      <w:r>
        <w:rPr>
          <w:rFonts w:ascii="Noto Sans CJK SC" w:hAnsi="Noto Sans CJK SC" w:eastAsia="Noto Sans CJK SC"/>
          <w:sz w:val="22"/>
        </w:rPr>
        <w:t>五、样机、系统与关键模块验证情况</w:t>
      </w:r>
    </w:p>
    <w:p>
      <w:pPr>
        <w:spacing w:after="100"/>
        <w:ind w:left="480"/>
      </w:pPr>
      <w:r>
        <w:rPr>
          <w:rFonts w:ascii="Noto Sans CJK SC" w:hAnsi="Noto Sans CJK SC" w:eastAsia="Noto Sans CJK SC"/>
          <w:sz w:val="22"/>
        </w:rPr>
        <w:t>六、行业与市场分析</w:t>
      </w:r>
    </w:p>
    <w:p>
      <w:pPr>
        <w:spacing w:after="100"/>
        <w:ind w:left="480"/>
      </w:pPr>
      <w:r>
        <w:rPr>
          <w:rFonts w:ascii="Noto Sans CJK SC" w:hAnsi="Noto Sans CJK SC" w:eastAsia="Noto Sans CJK SC"/>
          <w:sz w:val="22"/>
        </w:rPr>
        <w:t>七、营销计划</w:t>
      </w:r>
    </w:p>
    <w:p>
      <w:pPr>
        <w:spacing w:after="100"/>
        <w:ind w:left="480"/>
      </w:pPr>
      <w:r>
        <w:rPr>
          <w:rFonts w:ascii="Noto Sans CJK SC" w:hAnsi="Noto Sans CJK SC" w:eastAsia="Noto Sans CJK SC"/>
          <w:sz w:val="22"/>
        </w:rPr>
        <w:t>八、运营管理</w:t>
      </w:r>
    </w:p>
    <w:p>
      <w:pPr>
        <w:spacing w:after="100"/>
        <w:ind w:left="480"/>
      </w:pPr>
      <w:r>
        <w:rPr>
          <w:rFonts w:ascii="Noto Sans CJK SC" w:hAnsi="Noto Sans CJK SC" w:eastAsia="Noto Sans CJK SC"/>
          <w:sz w:val="22"/>
        </w:rPr>
        <w:t>九、财务计划</w:t>
      </w:r>
    </w:p>
    <w:p>
      <w:pPr>
        <w:spacing w:after="100"/>
        <w:ind w:left="480"/>
      </w:pPr>
      <w:r>
        <w:rPr>
          <w:rFonts w:ascii="Noto Sans CJK SC" w:hAnsi="Noto Sans CJK SC" w:eastAsia="Noto Sans CJK SC"/>
          <w:sz w:val="22"/>
        </w:rPr>
        <w:t>十、项目发展路径与实施计划</w:t>
      </w:r>
    </w:p>
    <w:p>
      <w:pPr>
        <w:spacing w:after="100"/>
        <w:ind w:left="480"/>
      </w:pPr>
      <w:r>
        <w:rPr>
          <w:rFonts w:ascii="Noto Sans CJK SC" w:hAnsi="Noto Sans CJK SC" w:eastAsia="Noto Sans CJK SC"/>
          <w:sz w:val="22"/>
        </w:rPr>
        <w:t>十一、商业实现逻辑与资源支撑条件</w:t>
      </w:r>
    </w:p>
    <w:p>
      <w:pPr>
        <w:spacing w:after="100"/>
        <w:ind w:left="480"/>
      </w:pPr>
      <w:r>
        <w:rPr>
          <w:rFonts w:ascii="Noto Sans CJK SC" w:hAnsi="Noto Sans CJK SC" w:eastAsia="Noto Sans CJK SC"/>
          <w:sz w:val="22"/>
        </w:rPr>
        <w:t>十二、风险分析与应对措施</w:t>
      </w:r>
    </w:p>
    <w:p>
      <w:pPr>
        <w:spacing w:after="100"/>
        <w:ind w:left="480"/>
      </w:pPr>
      <w:r>
        <w:rPr>
          <w:rFonts w:ascii="Noto Sans CJK SC" w:hAnsi="Noto Sans CJK SC" w:eastAsia="Noto Sans CJK SC"/>
          <w:sz w:val="22"/>
        </w:rPr>
        <w:t>十三、其他支撑材料</w:t>
      </w:r>
    </w:p>
    <w:p>
      <w:r>
        <w:br w:type="page"/>
      </w:r>
    </w:p>
    <w:p>
      <w:pPr>
        <w:pStyle w:val="Heading1"/>
        <w:spacing w:before="240" w:after="200"/>
        <w:jc w:val="left"/>
      </w:pPr>
      <w:r>
        <w:rPr>
          <w:rFonts w:ascii="Noto Sans CJK SC" w:hAnsi="Noto Sans CJK SC" w:eastAsia="Noto Sans CJK SC"/>
          <w:b/>
          <w:color w:val="003058"/>
          <w:sz w:val="32"/>
        </w:rPr>
        <w:t>一、项目背景与核心问题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004A77"/>
          <w:sz w:val="26"/>
        </w:rPr>
        <w:t>1.1 行业背景</w:t>
      </w:r>
    </w:p>
    <w:p>
      <w:pPr>
        <w:spacing w:after="120" w:line="300" w:lineRule="auto"/>
        <w:ind w:firstLine="560"/>
      </w:pPr>
      <w:r>
        <w:rPr>
          <w:rFonts w:ascii="Noto Sans CJK SC" w:hAnsi="Noto Sans CJK SC" w:eastAsia="Noto Sans CJK SC"/>
          <w:sz w:val="22"/>
        </w:rPr>
        <w:t>高校就业服务正从“信息发布型”向“能力诊断型、过程跟踪型、校企协同型”转变。学生在求职过程中积累了课程、项目、竞赛、证书、简历、实习等大量材料，但这些材料往往分散在不同文档和系统中，难以形成统一能力证据链。学校就业指导教师需要面对大量学生材料，人工审核、岗位推荐和跟踪反馈压力较大；企业则更关注候选人与岗位要求之间的实际匹配度、项目证据和材料真实性。</w:t>
      </w:r>
    </w:p>
    <w:p>
      <w:pPr>
        <w:spacing w:after="120" w:line="300" w:lineRule="auto"/>
        <w:ind w:firstLine="560"/>
      </w:pPr>
      <w:r>
        <w:rPr>
          <w:rFonts w:ascii="Noto Sans CJK SC" w:hAnsi="Noto Sans CJK SC" w:eastAsia="Noto Sans CJK SC"/>
          <w:sz w:val="22"/>
        </w:rPr>
        <w:t>传统就业系统更多停留在岗位发布、简历投递和招聘信息管理层面，难以回答“学生具备哪些能力”“为什么适合某类岗位”“下一步应该补什么能力”“学校培养方案是否支撑岗位要求”等关键问题。本项目以“岗位能力达成”为核心，试图把学生成长、课程培养和企业需求纳入同一条数据链路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004A77"/>
          <w:sz w:val="26"/>
        </w:rPr>
        <w:t>1.2 核心痛点</w:t>
      </w:r>
    </w:p>
    <w:p>
      <w:pPr>
        <w:spacing w:after="80"/>
        <w:ind w:left="360" w:hanging="240"/>
      </w:pPr>
      <w:r>
        <w:rPr>
          <w:rFonts w:ascii="Noto Sans CJK SC" w:hAnsi="Noto Sans CJK SC" w:eastAsia="Noto Sans CJK SC"/>
          <w:sz w:val="22"/>
        </w:rPr>
        <w:t>• 学生侧：简历、课程、项目、证书和自我评价分散，难以形成清晰的能力画像和求职路径。</w:t>
      </w:r>
    </w:p>
    <w:p>
      <w:pPr>
        <w:spacing w:after="80"/>
        <w:ind w:left="360" w:hanging="240"/>
      </w:pPr>
      <w:r>
        <w:rPr>
          <w:rFonts w:ascii="Noto Sans CJK SC" w:hAnsi="Noto Sans CJK SC" w:eastAsia="Noto Sans CJK SC"/>
          <w:sz w:val="22"/>
        </w:rPr>
        <w:t>• 学校侧：就业指导依赖人工经验，缺少可复核、可批量处理、可追踪的学生能力诊断工具。</w:t>
      </w:r>
    </w:p>
    <w:p>
      <w:pPr>
        <w:spacing w:after="80"/>
        <w:ind w:left="360" w:hanging="240"/>
      </w:pPr>
      <w:r>
        <w:rPr>
          <w:rFonts w:ascii="Noto Sans CJK SC" w:hAnsi="Noto Sans CJK SC" w:eastAsia="Noto Sans CJK SC"/>
          <w:sz w:val="22"/>
        </w:rPr>
        <w:t>• 企业侧：简历筛选成本高，候选人材料表达不统一，难以快速判断能力证据与岗位要求是否匹配。</w:t>
      </w:r>
    </w:p>
    <w:p>
      <w:pPr>
        <w:spacing w:after="80"/>
        <w:ind w:left="360" w:hanging="240"/>
      </w:pPr>
      <w:r>
        <w:rPr>
          <w:rFonts w:ascii="Noto Sans CJK SC" w:hAnsi="Noto Sans CJK SC" w:eastAsia="Noto Sans CJK SC"/>
          <w:sz w:val="22"/>
        </w:rPr>
        <w:t>• 系统侧：纯大模型方案响应慢、成本高、结果不稳定；纯规则方案又缺少语义理解和个性化解释能力。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004A77"/>
          <w:sz w:val="26"/>
        </w:rPr>
        <w:t>1.3 项目机会</w:t>
      </w:r>
    </w:p>
    <w:p>
      <w:pPr>
        <w:spacing w:after="120" w:line="300" w:lineRule="auto"/>
        <w:ind w:firstLine="560"/>
      </w:pPr>
      <w:r>
        <w:rPr>
          <w:rFonts w:ascii="Noto Sans CJK SC" w:hAnsi="Noto Sans CJK SC" w:eastAsia="Noto Sans CJK SC"/>
          <w:sz w:val="22"/>
        </w:rPr>
        <w:t>本项目的切入机会在于：将高校就业指导中已有但分散的学生数据、课程数据和岗位数据转化为结构化能力资产，并通过智能体工作流、岗位知识库、专家规则知识库和三方协同机制，把一次性的“简历修改”升级为持续性的“能力诊断—岗位匹配—成长建议—校企反馈”闭环。</w:t>
      </w:r>
    </w:p>
    <w:p>
      <w:pPr>
        <w:pStyle w:val="Heading1"/>
        <w:spacing w:before="240" w:after="200"/>
        <w:jc w:val="left"/>
      </w:pPr>
      <w:r>
        <w:rPr>
          <w:rFonts w:ascii="Noto Sans CJK SC" w:hAnsi="Noto Sans CJK SC" w:eastAsia="Noto Sans CJK SC"/>
          <w:b/>
          <w:color w:val="003058"/>
          <w:sz w:val="32"/>
        </w:rPr>
        <w:t>二、团队基础与成员分工</w:t>
      </w:r>
    </w:p>
    <w:p>
      <w:pPr>
        <w:spacing w:after="120" w:line="300" w:lineRule="auto"/>
        <w:ind w:firstLine="560"/>
      </w:pPr>
      <w:r>
        <w:rPr>
          <w:rFonts w:ascii="Noto Sans CJK SC" w:hAnsi="Noto Sans CJK SC" w:eastAsia="Noto Sans CJK SC"/>
          <w:sz w:val="22"/>
        </w:rPr>
        <w:t>团队成员来自计算机相关专业，具备 Web 后端开发、数据库建模、前端页面实现、智能体工作流设计、数据整理和文档答辩等经验。项目从竞赛需求出发，采用“功能模块负责人 + 统一工程仓库 + 阶段复盘”的协作方式推进，形成了可运行原型、测试记录、答辩材料与商业化方案。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成员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项目角色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主要职责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能力基础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黎盛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项目统筹 / 产品负责人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需求拆解、功能验收、三方协同流程设计、答辩材料整合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熟悉就业场景和项目整体业务流程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冯靖原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后端与数据负责人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FastAPI 路由、MySQL 数据落表、登录注册、简历优化知识库、成长轨迹功能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具备 Python、数据库、Git 协作和项目调试经验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侯程予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前端与功能联调负责人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页面交互、岗位匹配展示、ECharts 可视化、界面优化与测试协作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具备前端页面实现和系统联调能力</w:t>
            </w:r>
          </w:p>
        </w:tc>
      </w:tr>
    </w:tbl>
    <w:p/>
    <w:p>
      <w:pPr>
        <w:spacing w:after="120" w:line="300" w:lineRule="auto"/>
        <w:ind w:firstLine="560"/>
      </w:pPr>
      <w:r>
        <w:rPr>
          <w:rFonts w:ascii="Noto Sans CJK SC" w:hAnsi="Noto Sans CJK SC" w:eastAsia="Noto Sans CJK SC"/>
          <w:sz w:val="22"/>
        </w:rPr>
        <w:t>团队优势在于贴近目标用户：项目成员本身处于高校学生求职阶段，能够直接理解学生求职痛点和学校就业指导需求。同时，项目采用低成本开源技术栈，便于快速迭代和校园场景试点。</w:t>
      </w:r>
    </w:p>
    <w:p>
      <w:pPr>
        <w:pStyle w:val="Heading1"/>
        <w:spacing w:before="240" w:after="200"/>
        <w:jc w:val="left"/>
      </w:pPr>
      <w:r>
        <w:rPr>
          <w:rFonts w:ascii="Noto Sans CJK SC" w:hAnsi="Noto Sans CJK SC" w:eastAsia="Noto Sans CJK SC"/>
          <w:b/>
          <w:color w:val="003058"/>
          <w:sz w:val="32"/>
        </w:rPr>
        <w:t>三、项目方案与产品内容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004A77"/>
          <w:sz w:val="26"/>
        </w:rPr>
        <w:t>3.1 产品定位</w:t>
      </w:r>
    </w:p>
    <w:p>
      <w:pPr>
        <w:spacing w:after="120" w:line="300" w:lineRule="auto"/>
        <w:ind w:firstLine="560"/>
      </w:pPr>
      <w:r>
        <w:rPr>
          <w:rFonts w:ascii="Noto Sans CJK SC" w:hAnsi="Noto Sans CJK SC" w:eastAsia="Noto Sans CJK SC"/>
          <w:sz w:val="22"/>
        </w:rPr>
        <w:t>本项目定位为面向高校就业服务的“岗位能力达成智能体平台”。它不是单纯招聘网站，也不是简单简历润色工具，而是围绕学生能力成长与精准就业建立数据闭环的平台型产品。系统服务对象包括学生、学校就业指导教师、学院管理者和招聘企业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004A77"/>
          <w:sz w:val="26"/>
        </w:rPr>
        <w:t>3.2 核心功能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功能模块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核心输入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核心输出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商业价值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学生能力画像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学生表单、简历、技能、项目、证书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专业基础、技术实践、工具技能、职业发展四维画像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帮助学生和教师快速定位能力短板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岗位匹配与 TOP5 公司推荐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能力画像、岗位库、公司岗位需求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本地推荐、AI 精排、匹配理由、缺失技能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提升岗位推荐解释性和转化效率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简历优化专家知识库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简历文本、目标岗位、专家规则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优化稿、改写建议、参考规则数量、高亮片段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沉淀人工专家经验，提升简历服务可规模化程度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模拟面试与就业指导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目标岗位、简历材料、岗位要求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面试问题、回答反馈、阶段成长建议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拓展学生增值服务和训练场景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课程—岗位映射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课程能力标签、岗位技能需求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课程支撑能力、培养缺口、成长依据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支撑学校专业建设和课程改进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三方协同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学生投递、学校审核、企业评估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录用/拒录、学生优化方向、学校培养建议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打通学生、学校和企业反馈闭环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004A77"/>
          <w:sz w:val="26"/>
        </w:rPr>
        <w:t>3.3 产品形态</w:t>
      </w:r>
    </w:p>
    <w:p>
      <w:pPr>
        <w:spacing w:after="120" w:line="300" w:lineRule="auto"/>
        <w:ind w:firstLine="560"/>
      </w:pPr>
      <w:r>
        <w:rPr>
          <w:rFonts w:ascii="Noto Sans CJK SC" w:hAnsi="Noto Sans CJK SC" w:eastAsia="Noto Sans CJK SC"/>
          <w:sz w:val="22"/>
        </w:rPr>
        <w:t>产品初期以 Web 端系统形式落地，适合部署在高校就业中心或学院服务器，也可作为云端 SaaS 服务提供。中期可扩展为校级就业数据看板、企业人才专场、课程能力分析工具和学生个人成长报告服务。长期可沉淀跨学校、跨专业、跨岗位的能力标签库、岗位知识库和专家简历优化知识库。</w:t>
      </w:r>
    </w:p>
    <w:p>
      <w:pPr>
        <w:pStyle w:val="Heading1"/>
        <w:spacing w:before="240" w:after="200"/>
        <w:jc w:val="left"/>
      </w:pPr>
      <w:r>
        <w:rPr>
          <w:rFonts w:ascii="Noto Sans CJK SC" w:hAnsi="Noto Sans CJK SC" w:eastAsia="Noto Sans CJK SC"/>
          <w:b/>
          <w:color w:val="003058"/>
          <w:sz w:val="32"/>
        </w:rPr>
        <w:t>四、核心技术与创新点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004A77"/>
          <w:sz w:val="26"/>
        </w:rPr>
        <w:t>4.1 创新点一：四维能力画像与证据驱动诊断</w:t>
      </w:r>
    </w:p>
    <w:p>
      <w:pPr>
        <w:spacing w:after="120" w:line="300" w:lineRule="auto"/>
        <w:ind w:firstLine="560"/>
      </w:pPr>
      <w:r>
        <w:rPr>
          <w:rFonts w:ascii="Noto Sans CJK SC" w:hAnsi="Noto Sans CJK SC" w:eastAsia="Noto Sans CJK SC"/>
          <w:sz w:val="22"/>
        </w:rPr>
        <w:t>系统将学生材料拆解为专业基础、技术实践、工具技能和职业发展四个维度，并将每个维度与简历、项目、证书、课程等证据相绑定。相比只给综合分的系统，四维画像能够说明“能力从哪里来”，也能为后续岗位匹配和成长建议提供依据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004A77"/>
          <w:sz w:val="26"/>
        </w:rPr>
        <w:t>4.2 创新点二：本地可解释召回 + AI 精排的岗位匹配机制</w:t>
      </w:r>
    </w:p>
    <w:p>
      <w:pPr>
        <w:spacing w:after="120" w:line="300" w:lineRule="auto"/>
        <w:ind w:firstLine="560"/>
      </w:pPr>
      <w:r>
        <w:rPr>
          <w:rFonts w:ascii="Noto Sans CJK SC" w:hAnsi="Noto Sans CJK SC" w:eastAsia="Noto Sans CJK SC"/>
          <w:sz w:val="22"/>
        </w:rPr>
        <w:t>岗位匹配不完全依赖大模型。系统先通过本地稀疏向量、余弦相似度和规则评分快速召回候选岗位，再交由 AI 对 TOP 候选进行语义精排。该设计兼顾首屏速度、成本可控和语义判断能力，避免远程模型成为页面加载瓶颈。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004A77"/>
          <w:sz w:val="26"/>
        </w:rPr>
        <w:t>4.3 创新点三：专家手工标注建议知识库</w:t>
      </w:r>
    </w:p>
    <w:p>
      <w:pPr>
        <w:spacing w:after="120" w:line="300" w:lineRule="auto"/>
        <w:ind w:firstLine="560"/>
      </w:pPr>
      <w:r>
        <w:rPr>
          <w:rFonts w:ascii="Noto Sans CJK SC" w:hAnsi="Noto Sans CJK SC" w:eastAsia="Noto Sans CJK SC"/>
          <w:sz w:val="22"/>
        </w:rPr>
        <w:t>系统将人工简历批注经验整理为结构化 JSON 规则，并按岗位、技能、项目、证书、教育背景等类别组织。目前知识库已扩展至 70 条规则，覆盖后端、前端、测试、算法、数据分析、大数据、云计算、数据库、安全、移动端、嵌入式和大模型应用等计算机求职方向。简历优化时，系统会根据简历文本检索相关规则并注入优化提示词，结果页显示“已参考 X 条专家手工标注建议”，并可高亮参考专家规则后新增或改写的片段。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004A77"/>
          <w:sz w:val="26"/>
        </w:rPr>
        <w:t>4.4 创新点四：学生—学校—企业三方协同闭环</w:t>
      </w:r>
    </w:p>
    <w:p>
      <w:pPr>
        <w:spacing w:after="120" w:line="300" w:lineRule="auto"/>
        <w:ind w:firstLine="560"/>
      </w:pPr>
      <w:r>
        <w:rPr>
          <w:rFonts w:ascii="Noto Sans CJK SC" w:hAnsi="Noto Sans CJK SC" w:eastAsia="Noto Sans CJK SC"/>
          <w:sz w:val="22"/>
        </w:rPr>
        <w:t>系统不是只面向学生个人，而是设计了学生提交、学校审核、企业评估、企业反馈、学校培养建议沉淀的三方协同流程。企业端可以对学校转交的简历进行评估并给出录用/拒录结果，同时向学生反馈优化方向、向学校反馈培养建议，形成可追踪的就业反馈闭环。</w:t>
      </w:r>
    </w:p>
    <w:p>
      <w:pPr>
        <w:pStyle w:val="Heading1"/>
        <w:spacing w:before="240" w:after="200"/>
        <w:jc w:val="left"/>
      </w:pPr>
      <w:r>
        <w:rPr>
          <w:rFonts w:ascii="Noto Sans CJK SC" w:hAnsi="Noto Sans CJK SC" w:eastAsia="Noto Sans CJK SC"/>
          <w:b/>
          <w:color w:val="003058"/>
          <w:sz w:val="32"/>
        </w:rPr>
        <w:t>五、样机、系统与关键模块验证情况</w:t>
      </w:r>
    </w:p>
    <w:p>
      <w:pPr>
        <w:spacing w:after="120" w:line="300" w:lineRule="auto"/>
        <w:ind w:firstLine="560"/>
      </w:pPr>
      <w:r>
        <w:rPr>
          <w:rFonts w:ascii="Noto Sans CJK SC" w:hAnsi="Noto Sans CJK SC" w:eastAsia="Noto Sans CJK SC"/>
          <w:sz w:val="22"/>
        </w:rPr>
        <w:t>目前项目已形成可运行 Web 原型，核心功能包括登录注册、学生信息输入、能力画像、岗位匹配、简历优化、模拟面试、就业指导、成长轨迹、课程岗位映射和三方协同。系统采用 MySQL 持久化存储，支持 Session 登录状态保持和用户数据隔离。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验证项目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验证方式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当前结果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系统启动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本地 agent 环境 + MySQL 启动 FastAPI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可访问登录页，CSS 正常加载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专家知识库读取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JSON 合法性与规则加载测试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扩展后规则文件可读取并返回规则数量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规则检索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Redis、Linux、CET-6 等关键词专项测试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可命中对应专家规则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简历优化展示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页面显示参考专家建议数量与高亮片段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增强用户对优化依据的理解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三方协同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学校审核、企业评估、录用/拒录流程演示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具备学生—学校—企业闭环基础</w:t>
            </w:r>
          </w:p>
        </w:tc>
      </w:tr>
    </w:tbl>
    <w:p/>
    <w:p>
      <w:pPr>
        <w:spacing w:after="120" w:line="300" w:lineRule="auto"/>
        <w:ind w:firstLine="560"/>
      </w:pPr>
      <w:r>
        <w:rPr>
          <w:rFonts w:ascii="Noto Sans CJK SC" w:hAnsi="Noto Sans CJK SC" w:eastAsia="Noto Sans CJK SC"/>
          <w:sz w:val="22"/>
        </w:rPr>
        <w:t>项目测试采用专项测试和页面演示相结合的方式。针对专家规则知识库，已完成规则读取、关键词命中、默认规则兜底和语法检查；针对系统运行，已完成本地 MySQL 连接、FastAPI 启动和登录页访问验证。</w:t>
      </w:r>
    </w:p>
    <w:p>
      <w:pPr>
        <w:pStyle w:val="Heading1"/>
        <w:spacing w:before="240" w:after="200"/>
        <w:jc w:val="left"/>
      </w:pPr>
      <w:r>
        <w:rPr>
          <w:rFonts w:ascii="Noto Sans CJK SC" w:hAnsi="Noto Sans CJK SC" w:eastAsia="Noto Sans CJK SC"/>
          <w:b/>
          <w:color w:val="003058"/>
          <w:sz w:val="32"/>
        </w:rPr>
        <w:t>六、行业与市场分析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004A77"/>
          <w:sz w:val="26"/>
        </w:rPr>
        <w:t>6.1 PEST 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维度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环境因素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对项目的影响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政策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高校就业质量、产教融合、校企合作持续受到重视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有利于就业指导数字化、课程能力分析和校企协同平台试点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经济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企业招聘更加重视岗位适配与用人成本控制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候选人能力证据和岗位匹配解释具备实际价值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社会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学生求职竞争加剧，简历、面试和成长规划需求增强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学生端增值服务和学校端批量辅导需求较明确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技术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大模型、智能体、结构化输出和检索增强技术成熟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使低成本构建能力诊断和就业指导系统成为可能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004A77"/>
          <w:sz w:val="26"/>
        </w:rPr>
        <w:t>6.2 目标用户画像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用户类型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典型需求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付费/采购动机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高校就业中心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批量画像、就业指导、去向跟踪、数据看板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提升就业服务效率和就业质量管理能力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二级学院/专业负责人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分析课程与岗位需求差距，制定实践项目和培养改进建议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服务专业建设、就业指导和产教融合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学生个人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简历优化、岗位匹配、模拟面试、成长路径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获得更具体的求职指导和行动计划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招聘企业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获取结构化候选人能力证据，降低初筛成本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提升校招匹配效率和候选人质量</w:t>
            </w:r>
          </w:p>
        </w:tc>
      </w:tr>
    </w:tbl>
    <w:p/>
    <w:p>
      <w:r>
        <w:br w:type="page"/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004A77"/>
          <w:sz w:val="26"/>
        </w:rPr>
        <w:t>6.3 SWOT 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类型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内容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应对策略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优势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系统已具备完整原型、真实岗位数据、三方协同和专家规则知识库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优先从学校试点与竞赛展示切入，形成案例积累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劣势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推荐准确率仍需更大规模人工标注验证，商业数据积累不足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建立教师和企业复核机制，持续沉淀标注集和岗位知识库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机会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高校就业指导数字化、AI 求职工具和产教融合需求增长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构建校级 SaaS、企业专场和学生增值服务组合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威胁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招聘平台、简历工具和通用大模型工具均可能进入该领域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突出“学校场景 + 三方协同 + 课程岗位映射 + 专家规则沉淀”的差异化</w:t>
            </w:r>
          </w:p>
        </w:tc>
      </w:tr>
    </w:tbl>
    <w:p/>
    <w:p>
      <w:pPr>
        <w:pStyle w:val="Heading1"/>
        <w:spacing w:before="240" w:after="200"/>
        <w:jc w:val="left"/>
      </w:pPr>
      <w:r>
        <w:rPr>
          <w:rFonts w:ascii="Noto Sans CJK SC" w:hAnsi="Noto Sans CJK SC" w:eastAsia="Noto Sans CJK SC"/>
          <w:b/>
          <w:color w:val="003058"/>
          <w:sz w:val="32"/>
        </w:rPr>
        <w:t>七、营销计划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004A77"/>
          <w:sz w:val="26"/>
        </w:rPr>
        <w:t>7.1 阶段性营销目标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阶段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目标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关键指标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试点期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0-6个月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完成 1-2 个学院试点，验证学生画像、简历优化和三方协同流程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累计 300-800 名学生使用，形成 3 个典型案例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推广期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6-18个月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拓展至校级就业中心和多个学院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覆盖 3000-8000 名学生，形成岗位知识库更新机制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扩展期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18-36个月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联合企业开展人才专场和课程能力共建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形成 10 家以上企业合作和多校试点案例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004A77"/>
          <w:sz w:val="26"/>
        </w:rPr>
        <w:t>7.2 4P 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策略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产品 Product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校级 SaaS、私有化部署、企业人才专场、学生深度报告、岗位/课程知识库服务。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价格 Price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采用基础功能试点低价或免费、校级订阅按学生规模收费、企业专场按活动/岗位包收费、学生端增值服务按次或订阅收费。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渠道 Place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通过高校就业中心、二级学院、校企合作办公室、就业指导课程、竞赛展示和企业双选活动触达用户。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促销 Promotion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提供学院试点报告、学生简历优化示例、企业反馈案例和就业数据看板样例，降低首次采购门槛。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004A77"/>
          <w:sz w:val="26"/>
        </w:rPr>
        <w:t>7.3 用户生命周期管理</w:t>
      </w:r>
    </w:p>
    <w:p>
      <w:pPr>
        <w:spacing w:after="120" w:line="300" w:lineRule="auto"/>
        <w:ind w:firstLine="560"/>
      </w:pPr>
      <w:r>
        <w:rPr>
          <w:rFonts w:ascii="Noto Sans CJK SC" w:hAnsi="Noto Sans CJK SC" w:eastAsia="Noto Sans CJK SC"/>
          <w:sz w:val="22"/>
        </w:rPr>
        <w:t>学生端以“免费能力画像 + 基础岗位匹配”完成激活，通过深度简历优化、模拟面试和成长路径报告实现转化；学校端以“试点班级/学院数据报告”验证价值，再扩展至校级订阅；企业端以岗位专场和候选人结构化报告切入，逐步沉淀岗位能力模板。</w:t>
      </w:r>
    </w:p>
    <w:p>
      <w:pPr>
        <w:pStyle w:val="Heading1"/>
        <w:spacing w:before="240" w:after="200"/>
        <w:jc w:val="left"/>
      </w:pPr>
      <w:r>
        <w:rPr>
          <w:rFonts w:ascii="Noto Sans CJK SC" w:hAnsi="Noto Sans CJK SC" w:eastAsia="Noto Sans CJK SC"/>
          <w:b/>
          <w:color w:val="003058"/>
          <w:sz w:val="32"/>
        </w:rPr>
        <w:t>八、运营管理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004A77"/>
          <w:sz w:val="26"/>
        </w:rPr>
        <w:t>8.1 业务流程</w:t>
      </w:r>
    </w:p>
    <w:p>
      <w:pPr>
        <w:spacing w:after="120" w:line="300" w:lineRule="auto"/>
        <w:ind w:firstLine="560"/>
      </w:pPr>
      <w:r>
        <w:rPr>
          <w:rFonts w:ascii="Noto Sans CJK SC" w:hAnsi="Noto Sans CJK SC" w:eastAsia="Noto Sans CJK SC"/>
          <w:sz w:val="22"/>
        </w:rPr>
        <w:t>平台运营流程可概括为：学生注册登录并提交简历或表单材料；系统生成能力画像和岗位匹配结果；学生选择目标岗位进行简历优化和模拟面试；学校端审核学生材料并将合适候选人转交企业；企业端进行评估，反馈录用结果、学生优化方向和学校培养建议；系统将反馈沉淀为成长追踪与课程/岗位知识库更新依据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004A77"/>
          <w:sz w:val="26"/>
        </w:rPr>
        <w:t>8.2 组织与职责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部门/角色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初期职责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技术研发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系统功能开发、数据库维护、模型接口接入、测试与部署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产品运营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用户需求收集、学校试点推进、使用流程培训、反馈整理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知识库运营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维护岗位数据、课程能力标签、专家简历规则和企业反馈规则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市场合作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对接高校就业中心、二级学院和企业招聘部门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客户服务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处理账号、使用问题、报告解释和试点复盘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004A77"/>
          <w:sz w:val="26"/>
        </w:rPr>
        <w:t>8.3 质量控制</w:t>
      </w:r>
    </w:p>
    <w:p>
      <w:pPr>
        <w:spacing w:after="80"/>
        <w:ind w:left="360" w:hanging="240"/>
      </w:pPr>
      <w:r>
        <w:rPr>
          <w:rFonts w:ascii="Noto Sans CJK SC" w:hAnsi="Noto Sans CJK SC" w:eastAsia="Noto Sans CJK SC"/>
          <w:sz w:val="22"/>
        </w:rPr>
        <w:t>• 建立“系统输出 + 教师复核 + 企业反馈”的闭环，避免单纯依赖模型判断。</w:t>
      </w:r>
    </w:p>
    <w:p>
      <w:pPr>
        <w:spacing w:after="80"/>
        <w:ind w:left="360" w:hanging="240"/>
      </w:pPr>
      <w:r>
        <w:rPr>
          <w:rFonts w:ascii="Noto Sans CJK SC" w:hAnsi="Noto Sans CJK SC" w:eastAsia="Noto Sans CJK SC"/>
          <w:sz w:val="22"/>
        </w:rPr>
        <w:t>• 对专家规则知识库进行版本管理，记录规则来源、适用岗位和更新时间。</w:t>
      </w:r>
    </w:p>
    <w:p>
      <w:pPr>
        <w:spacing w:after="80"/>
        <w:ind w:left="360" w:hanging="240"/>
      </w:pPr>
      <w:r>
        <w:rPr>
          <w:rFonts w:ascii="Noto Sans CJK SC" w:hAnsi="Noto Sans CJK SC" w:eastAsia="Noto Sans CJK SC"/>
          <w:sz w:val="22"/>
        </w:rPr>
        <w:t>• 定期抽样检查岗位匹配结果、简历优化建议和三方协同状态，形成产品复盘。</w:t>
      </w:r>
    </w:p>
    <w:p>
      <w:pPr>
        <w:spacing w:after="80"/>
        <w:ind w:left="360" w:hanging="240"/>
      </w:pPr>
      <w:r>
        <w:rPr>
          <w:rFonts w:ascii="Noto Sans CJK SC" w:hAnsi="Noto Sans CJK SC" w:eastAsia="Noto Sans CJK SC"/>
          <w:sz w:val="22"/>
        </w:rPr>
        <w:t>• 对学生隐私数据进行最小化采集、脱敏展示和权限隔离。</w:t>
      </w:r>
    </w:p>
    <w:p>
      <w:r>
        <w:br w:type="page"/>
      </w:r>
    </w:p>
    <w:p>
      <w:pPr>
        <w:pStyle w:val="Heading1"/>
        <w:spacing w:before="240" w:after="200"/>
        <w:jc w:val="left"/>
      </w:pPr>
      <w:r>
        <w:rPr>
          <w:rFonts w:ascii="Noto Sans CJK SC" w:hAnsi="Noto Sans CJK SC" w:eastAsia="Noto Sans CJK SC"/>
          <w:b/>
          <w:color w:val="003058"/>
          <w:sz w:val="32"/>
        </w:rPr>
        <w:t>九、财务计划</w:t>
      </w:r>
    </w:p>
    <w:p>
      <w:pPr>
        <w:spacing w:after="120" w:line="300" w:lineRule="auto"/>
        <w:ind w:firstLine="560"/>
      </w:pPr>
      <w:r>
        <w:rPr>
          <w:rFonts w:ascii="Noto Sans CJK SC" w:hAnsi="Noto Sans CJK SC" w:eastAsia="Noto Sans CJK SC"/>
          <w:sz w:val="22"/>
        </w:rPr>
        <w:t>以下财务计划为原型项目向校园场景试点推广的测算，用于说明商业模型可行性，并不代表正式报价。实际收入和成本需根据学校规模、部署方式、模型调用成本和运维要求调整。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004A77"/>
          <w:sz w:val="26"/>
        </w:rPr>
        <w:t>9.1 产品与收费方式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产品形态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主要客户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收费方式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核心价值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校级 SaaS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高校就业中心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按年度与学生规模订阅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统一画像、岗位推荐、简历优化和数据看板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私有化部署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高校、职业院校、大型企业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软件许可、部署和运维服务费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数据留校，可对接现有系统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企业人才专场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招聘企业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按岗位包、活动或成功推荐收费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候选人能力证据与岗位适配报告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学生增值服务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个人学生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基础免费，深度报告和训练订阅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简历优化、模拟面试、成长路径追踪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知识库服务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学校与企业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岗位库、课程库、专家规则库更新服务费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保持岗位技能与培养内容同步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004A77"/>
          <w:sz w:val="26"/>
        </w:rPr>
        <w:t>9.2 三年收入成本测算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项目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第1年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第2年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第3年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服务高校数量（所）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15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覆盖学生规模（人）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3,000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12,000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45,000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营业收入（万元）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38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160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520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研发与运维成本（万元）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55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130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市场与服务成本（万元）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40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120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模型与服务器成本（万元）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60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预计净利润（万元）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-5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45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210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004A77"/>
          <w:sz w:val="26"/>
        </w:rPr>
        <w:t>9.3 资金需求与用途</w:t>
      </w:r>
    </w:p>
    <w:p>
      <w:pPr>
        <w:spacing w:after="120" w:line="300" w:lineRule="auto"/>
        <w:ind w:firstLine="560"/>
      </w:pPr>
      <w:r>
        <w:rPr>
          <w:rFonts w:ascii="Noto Sans CJK SC" w:hAnsi="Noto Sans CJK SC" w:eastAsia="Noto Sans CJK SC"/>
          <w:sz w:val="22"/>
        </w:rPr>
        <w:t>项目首轮建议申请或投入启动资金 50 万元，主要用于产品工程化、试点部署、模型调用与服务器资源、岗位知识库建设、专家规则标注和高校试点运营。其中研发与测试约占 40%，市场与试点服务约占 25%，服务器与模型调用约占 20%，知识库与数据标注约占 15%。项目预计在第 2 年达到经营性盈亏平衡。</w:t>
      </w:r>
    </w:p>
    <w:p>
      <w:r>
        <w:br w:type="page"/>
      </w:r>
    </w:p>
    <w:p>
      <w:pPr>
        <w:pStyle w:val="Heading1"/>
        <w:spacing w:before="240" w:after="200"/>
        <w:jc w:val="left"/>
      </w:pPr>
      <w:r>
        <w:rPr>
          <w:rFonts w:ascii="Noto Sans CJK SC" w:hAnsi="Noto Sans CJK SC" w:eastAsia="Noto Sans CJK SC"/>
          <w:b/>
          <w:color w:val="003058"/>
          <w:sz w:val="32"/>
        </w:rPr>
        <w:t>十、项目发展路径与实施计划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阶段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时间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建设重点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阶段成果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原型验证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已完成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完成核心功能闭环、专家规则知识库和三方协同页面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形成可演示系统、测试记录和商业计划初稿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学院试点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0-6个月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接入真实班级学生材料，教师复核画像与推荐结果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形成学生画像报告、岗位推荐案例和教师反馈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校级推广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6-18个月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接入就业中心流程，完善权限、日志、数据看板和导出能力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形成校级 SaaS 或私有化部署版本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校企共建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18-36个月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联合企业共建岗位能力模板、项目题库和人才专场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形成企业合作收入和岗位需求趋势分析服务</w:t>
            </w:r>
          </w:p>
        </w:tc>
      </w:tr>
    </w:tbl>
    <w:p/>
    <w:p>
      <w:pPr>
        <w:pStyle w:val="Heading1"/>
        <w:spacing w:before="240" w:after="200"/>
        <w:jc w:val="left"/>
      </w:pPr>
      <w:r>
        <w:rPr>
          <w:rFonts w:ascii="Noto Sans CJK SC" w:hAnsi="Noto Sans CJK SC" w:eastAsia="Noto Sans CJK SC"/>
          <w:b/>
          <w:color w:val="003058"/>
          <w:sz w:val="32"/>
        </w:rPr>
        <w:t>十一、商业实现逻辑与资源支撑条件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004A77"/>
          <w:sz w:val="26"/>
        </w:rPr>
        <w:t>11.1 商业实现逻辑</w:t>
      </w:r>
    </w:p>
    <w:p>
      <w:pPr>
        <w:spacing w:after="120" w:line="300" w:lineRule="auto"/>
        <w:ind w:firstLine="560"/>
      </w:pPr>
      <w:r>
        <w:rPr>
          <w:rFonts w:ascii="Noto Sans CJK SC" w:hAnsi="Noto Sans CJK SC" w:eastAsia="Noto Sans CJK SC"/>
          <w:sz w:val="22"/>
        </w:rPr>
        <w:t>项目的商业化逻辑是：以学生能力画像和岗位匹配作为基础入口，以简历优化、模拟面试、成长路径作为学生增值服务，以课程—岗位映射和数据看板作为学校采购价值，以三方协同和候选人结构化报告作为企业合作价值。系统通过标准化数据字段、岗位知识库、课程能力库和专家规则库不断积累行业经验，形成可复用的数据资产和服务壁垒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004A77"/>
          <w:sz w:val="26"/>
        </w:rPr>
        <w:t>11.2 资源支撑条件</w:t>
      </w:r>
    </w:p>
    <w:p>
      <w:pPr>
        <w:spacing w:after="80"/>
        <w:ind w:left="360" w:hanging="240"/>
      </w:pPr>
      <w:r>
        <w:rPr>
          <w:rFonts w:ascii="Noto Sans CJK SC" w:hAnsi="Noto Sans CJK SC" w:eastAsia="Noto Sans CJK SC"/>
          <w:sz w:val="22"/>
        </w:rPr>
        <w:t>• 工程资源：现有 FastAPI + Jinja2 + MySQL 原型系统，具备快速迭代基础。</w:t>
      </w:r>
    </w:p>
    <w:p>
      <w:pPr>
        <w:spacing w:after="80"/>
        <w:ind w:left="360" w:hanging="240"/>
      </w:pPr>
      <w:r>
        <w:rPr>
          <w:rFonts w:ascii="Noto Sans CJK SC" w:hAnsi="Noto Sans CJK SC" w:eastAsia="Noto Sans CJK SC"/>
          <w:sz w:val="22"/>
        </w:rPr>
        <w:t>• 数据资源：已整理 IT 岗位数据、课程能力映射数据和专家手工标注建议规则。</w:t>
      </w:r>
    </w:p>
    <w:p>
      <w:pPr>
        <w:spacing w:after="80"/>
        <w:ind w:left="360" w:hanging="240"/>
      </w:pPr>
      <w:r>
        <w:rPr>
          <w:rFonts w:ascii="Noto Sans CJK SC" w:hAnsi="Noto Sans CJK SC" w:eastAsia="Noto Sans CJK SC"/>
          <w:sz w:val="22"/>
        </w:rPr>
        <w:t>• 场景资源：项目直接面向高校就业指导、学生求职和企业校招，具备清晰试点场景。</w:t>
      </w:r>
    </w:p>
    <w:p>
      <w:pPr>
        <w:spacing w:after="80"/>
        <w:ind w:left="360" w:hanging="240"/>
      </w:pPr>
      <w:r>
        <w:rPr>
          <w:rFonts w:ascii="Noto Sans CJK SC" w:hAnsi="Noto Sans CJK SC" w:eastAsia="Noto Sans CJK SC"/>
          <w:sz w:val="22"/>
        </w:rPr>
        <w:t>• 团队资源：成员具备后端、前端、数据库、页面设计、文档和答辩能力，可支撑原型持续完善。</w:t>
      </w:r>
    </w:p>
    <w:p>
      <w:pPr>
        <w:pStyle w:val="Heading1"/>
        <w:spacing w:before="240" w:after="200"/>
        <w:jc w:val="left"/>
      </w:pPr>
      <w:r>
        <w:rPr>
          <w:rFonts w:ascii="Noto Sans CJK SC" w:hAnsi="Noto Sans CJK SC" w:eastAsia="Noto Sans CJK SC"/>
          <w:b/>
          <w:color w:val="003058"/>
          <w:sz w:val="32"/>
        </w:rPr>
        <w:t>十二、风险分析与应对措施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风险类型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主要表现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应对措施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技术风险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大模型输出不稳定、接口延迟、规则覆盖不足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采用本地规则兜底、结构化输出约束、缓存机制和专家规则知识库版本迭代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数据风险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学生简历和联系方式涉及隐私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最小化采集、企业端脱敏、Session 数据隔离、权限控制和日志审计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市场风险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学校采购周期长，用户使用习惯尚需培养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先做学院试点和就业课程嵌入，以案例报告降低采购门槛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竞争风险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通用招聘平台和大模型工具可能提供类似功能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强化三方协同、课程岗位映射、校级数据看板和专家规则沉淀差异化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运营风险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岗位库、课程库和专家规则维护成本较高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建立版本管理、教师/企业复核机制和规则贡献流程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财务风险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前期收入不足覆盖研发和市场成本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分阶段投入，优先获取试点经费和校企合作项目，控制模型调用成本</w:t>
            </w:r>
          </w:p>
        </w:tc>
      </w:tr>
    </w:tbl>
    <w:p/>
    <w:p>
      <w:pPr>
        <w:pStyle w:val="Heading1"/>
        <w:spacing w:before="240" w:after="200"/>
        <w:jc w:val="left"/>
      </w:pPr>
      <w:r>
        <w:rPr>
          <w:rFonts w:ascii="Noto Sans CJK SC" w:hAnsi="Noto Sans CJK SC" w:eastAsia="Noto Sans CJK SC"/>
          <w:b/>
          <w:color w:val="003058"/>
          <w:sz w:val="32"/>
        </w:rPr>
        <w:t>十三、其他支撑材料</w:t>
      </w:r>
    </w:p>
    <w:p>
      <w:pPr>
        <w:spacing w:after="120" w:line="300" w:lineRule="auto"/>
        <w:ind w:firstLine="560"/>
      </w:pPr>
      <w:r>
        <w:rPr>
          <w:rFonts w:ascii="Noto Sans CJK SC" w:hAnsi="Noto Sans CJK SC" w:eastAsia="Noto Sans CJK SC"/>
          <w:sz w:val="22"/>
        </w:rPr>
        <w:t>项目已形成源代码仓库、运行说明、测试用例、专家规则知识库、岗位数据、系统截图和答辩材料等支撑文件。后续可继续补充软著申请材料、试点使用反馈表、教师复核记录、企业岗位模板和学生改写前后对比案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材料类型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当前状态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后续补充方向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源代码与部署说明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已有 GitHub 仓库和本地运行流程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补充 Docker 部署或一键启动脚本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测试报告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已有专家知识库专项测试和系统启动验证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补充完整功能测试、压力测试和用户问卷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专家规则知识库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已扩展至 70 条规则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持续加入更多岗位方向和企业反馈规则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演示材料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已有 PPT、截图和系统运行页面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补充标准演示视频和商业路演版本</w:t>
            </w:r>
          </w:p>
        </w:tc>
      </w:tr>
    </w:tbl>
    <w:p/>
    <w:p>
      <w:pPr>
        <w:spacing w:after="120" w:line="300" w:lineRule="auto"/>
        <w:ind w:firstLine="560"/>
      </w:pPr>
      <w:r>
        <w:rPr>
          <w:rFonts w:ascii="Noto Sans CJK SC" w:hAnsi="Noto Sans CJK SC" w:eastAsia="Noto Sans CJK SC"/>
          <w:sz w:val="22"/>
        </w:rPr>
        <w:t>注：本计划书中的财务数据和推广规模为商业化测算，主要用于展示商业模式和推进路径。正式落地时应结合学校规模、部署方式、数据安全要求和合作企业数量进行修订。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41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505050"/>
        <w:sz w:val="18"/>
      </w:rPr>
      <w:t>第二十一届中国研究生电子设计竞赛  商业计划书</w:t>
      <w:br/>
      <w:t>岗位能力达成学生成长诊断与精准就业智能体系统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