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111F9A3">
      <w:pPr>
        <w:keepNext w:val="0"/>
        <w:keepLines w:val="0"/>
        <w:widowControl/>
        <w:suppressLineNumbers w:val="0"/>
      </w:pPr>
      <w:bookmarkStart w:id="0" w:name="_GoBack"/>
      <w:bookmarkEnd w:id="0"/>
    </w:p>
    <w:p w14:paraId="26E49BF3">
      <w:pPr>
        <w:pStyle w:val="2"/>
        <w:keepNext w:val="0"/>
        <w:keepLines w:val="0"/>
        <w:widowControl/>
        <w:suppressLineNumbers w:val="0"/>
        <w:jc w:val="center"/>
        <w:rPr>
          <w:b w:val="0"/>
          <w:bCs w:val="0"/>
          <w:sz w:val="24"/>
          <w:szCs w:val="24"/>
        </w:rPr>
      </w:pPr>
      <w:r>
        <w:rPr>
          <w:rFonts w:hint="eastAsia" w:ascii="Times New Roman" w:hAnsi="宋体" w:eastAsia="微软雅黑" w:cs="宋体"/>
          <w:b w:val="0"/>
          <w:bCs w:val="0"/>
          <w:kern w:val="44"/>
          <w:sz w:val="24"/>
          <w:szCs w:val="24"/>
          <w:lang w:val="en-US" w:eastAsia="zh-CN" w:bidi="ar"/>
        </w:rPr>
        <w:t>결과 및 분석 방안</w:t>
      </w:r>
    </w:p>
    <w:p w14:paraId="29C38C2A">
      <w:pPr>
        <w:pStyle w:val="3"/>
        <w:keepNext w:val="0"/>
        <w:keepLines w:val="0"/>
        <w:widowControl/>
        <w:suppressLineNumbers w:val="0"/>
        <w:spacing w:beforeAutospacing="0" w:afterAutospacing="0"/>
        <w:ind w:left="0" w:firstLine="0"/>
        <w:rPr>
          <w:rFonts w:hint="eastAsia" w:eastAsia="宋体"/>
          <w:b w:val="0"/>
          <w:bCs w:val="0"/>
          <w:sz w:val="24"/>
          <w:szCs w:val="24"/>
          <w:lang w:eastAsia="zh-CN"/>
        </w:rPr>
      </w:pPr>
      <w:r>
        <w:rPr>
          <w:rFonts w:hint="eastAsia" w:ascii="Times New Roman" w:hAnsi="宋体" w:eastAsia="微软雅黑" w:cs="宋体"/>
          <w:b w:val="0"/>
          <w:bCs w:val="0"/>
          <w:kern w:val="0"/>
          <w:sz w:val="24"/>
          <w:szCs w:val="24"/>
          <w:lang w:val="en-US" w:eastAsia="zh-CN" w:bidi="ar"/>
        </w:rPr>
        <w:t>1. 결과 개요</w:t>
      </w:r>
    </w:p>
    <w:p w14:paraId="22516ED2">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실험 결과에 따르면, 혼합 분산형 다중 지능체 제어 시스템은 작업 완료율, 시스템 안정성 및 안전성 측면에서 단일 지능체 시스템이나 순수 분산 시스템보다 명확히 우수한 성능을 보였다. 이는 복잡한 작업 및 이질적 노드 환경에서도 다중 지능체 간 협업이 작업 실행 효율과 시스템의 견고성을 효과적으로 향상시킬 수 있음을 나타낸다. 구체적으로, 혼합 시스템의 작업 완료율은 91.4%로, 단일 지능체 시스템보다 약 19% 높으며, 협업 전략의 효과성을 입증하고 있다.</w:t>
      </w:r>
    </w:p>
    <w:p w14:paraId="508C6DF4">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혼합 시스템은 평균 응답 지연과 TPS 측면에서 단일 에이전트 시스템 및 순수 분산형 시스템보다 약간 낮지만, 이러한 성능 저하 원인은 블록체인 거래 검증, 혼합 통신 메커니즘, 그리고 분산형 조정 과정에서 발생하는 부가 비용 때문입니다. 지연 증가는 주로 작업 등록 및 로그 기록 과정에서 나타나며, 이들 단계는 로그의 불변성과 감사 추적 가능성을 보장합니다.</w:t>
      </w:r>
    </w:p>
    <w:p w14:paraId="19311C42">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블록체인이 도입된 후 위조 탐지율은 약 99%에 달했으며, 감사 추적의 일관성도 매우 높아 시스템이 보유한 보안성과 데이터 무결성 측면에서 뚜렷한 장점을 입증했습니다. 이는 연구 목표와도 일치합니다. 즉, 고효율 실행을 추구할 뿐만 아니라 분산 시스템이 열악한 환경에서도 신뢰성 있고 안전하며 감사 가능한 상태로 운영될 수 있도록 보장하는 것입니다.</w:t>
      </w:r>
    </w:p>
    <w:p w14:paraId="2C38C93E">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주요 추세:</w:t>
      </w:r>
    </w:p>
    <w:p w14:paraId="0BCEDF68">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1. 과제 완료율 및 시스템 안정성 향상: 다중 지능체 협업과 하이브리드 제어 전략을 통해 과제 완료율과 시스템의 견고성이 크게 향상되었다.</w:t>
      </w:r>
    </w:p>
    <w:p w14:paraId="6ED571F8">
      <w:pPr>
        <w:keepNext w:val="0"/>
        <w:keepLines w:val="0"/>
        <w:widowControl/>
        <w:numPr>
          <w:ilvl w:val="0"/>
          <w:numId w:val="0"/>
        </w:numPr>
        <w:suppressLineNumbers w:val="0"/>
        <w:spacing w:before="0" w:beforeAutospacing="0" w:after="0" w:afterAutospacing="0"/>
        <w:ind w:leftChars="0"/>
        <w:rPr>
          <w:rFonts w:hint="eastAsia" w:eastAsiaTheme="minorEastAsia"/>
          <w:b w:val="0"/>
          <w:bCs w:val="0"/>
          <w:sz w:val="24"/>
          <w:szCs w:val="24"/>
          <w:lang w:eastAsia="zh-CN"/>
        </w:rPr>
      </w:pPr>
      <w:r>
        <w:rPr>
          <w:rFonts w:hint="eastAsia" w:ascii="Times New Roman" w:eastAsia="微软雅黑" w:hAnsiTheme="minorHAnsi" w:cstheme="minorBidi"/>
          <w:b w:val="0"/>
          <w:bCs w:val="0"/>
          <w:kern w:val="2"/>
          <w:sz w:val="24"/>
          <w:szCs w:val="24"/>
          <w:lang w:val="en-US" w:eastAsia="zh-CN" w:bidi="ar-SA"/>
        </w:rPr>
        <w:t>2. 지연과 성능의 타협: 하이브리드 시스템의 지연은 증가하지만 성능은 여전히 허용 가능한 범위 내에 있어, 성능과 안전성 간의 균형을 반영하고 있다.</w:t>
      </w:r>
    </w:p>
    <w:p w14:paraId="7029058F">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3. 보안성 및 검증 정확도 향상: 블록체인 기술의 도입으로 위조 탐지율과 감사 추적 일관성이 향상되어, 시스템의 로그 완전성 검증이 더욱 신뢰할 수 있게 되었습니다.</w:t>
      </w:r>
    </w:p>
    <w:p w14:paraId="16F4C25A">
      <w:pPr>
        <w:pStyle w:val="5"/>
        <w:keepNext w:val="0"/>
        <w:keepLines w:val="0"/>
        <w:widowControl/>
        <w:suppressLineNumbers w:val="0"/>
        <w:spacing w:beforeAutospacing="0" w:afterAutospacing="0"/>
        <w:ind w:left="0" w:firstLine="0"/>
        <w:rPr>
          <w:b w:val="0"/>
          <w:bCs w:val="0"/>
          <w:sz w:val="24"/>
          <w:szCs w:val="24"/>
        </w:rPr>
      </w:pPr>
    </w:p>
    <w:p w14:paraId="577A5634">
      <w:pPr>
        <w:pStyle w:val="3"/>
        <w:keepNext w:val="0"/>
        <w:keepLines w:val="0"/>
        <w:widowControl/>
        <w:suppressLineNumbers w:val="0"/>
        <w:spacing w:beforeAutospacing="0" w:afterAutospacing="0"/>
        <w:ind w:left="0" w:firstLine="0"/>
        <w:rPr>
          <w:rFonts w:hint="eastAsia" w:eastAsia="宋体"/>
          <w:b w:val="0"/>
          <w:bCs w:val="0"/>
          <w:sz w:val="24"/>
          <w:szCs w:val="24"/>
          <w:lang w:eastAsia="zh-CN"/>
        </w:rPr>
      </w:pPr>
      <w:r>
        <w:rPr>
          <w:rFonts w:hint="eastAsia" w:ascii="Times New Roman" w:hAnsi="宋体" w:eastAsia="微软雅黑" w:cs="宋体"/>
          <w:b w:val="0"/>
          <w:bCs w:val="0"/>
          <w:kern w:val="0"/>
          <w:sz w:val="24"/>
          <w:szCs w:val="24"/>
          <w:lang w:val="en-US" w:eastAsia="zh-CN" w:bidi="ar"/>
        </w:rPr>
        <w:t>2. 주요 표의 구성</w:t>
      </w:r>
    </w:p>
    <w:p w14:paraId="5084ABC8">
      <w:pPr>
        <w:pStyle w:val="4"/>
        <w:keepNext w:val="0"/>
        <w:keepLines w:val="0"/>
        <w:widowControl/>
        <w:suppressLineNumbers w:val="0"/>
        <w:shd w:val="clear" w:fill="FFFFFF"/>
        <w:spacing w:before="0" w:beforeAutospacing="0" w:after="0" w:afterAutospacing="0" w:line="240" w:lineRule="auto"/>
        <w:ind w:left="0" w:right="0" w:firstLine="0"/>
        <w:rPr>
          <w:rFonts w:hint="eastAsia" w:ascii="Segoe UI" w:hAnsi="Segoe UI" w:eastAsia="宋体" w:cs="Segoe UI"/>
          <w:b w:val="0"/>
          <w:bCs w:val="0"/>
          <w:caps w:val="0"/>
          <w:color w:val="0F1115"/>
          <w:spacing w:val="0"/>
          <w:sz w:val="24"/>
          <w:szCs w:val="24"/>
          <w:lang w:eastAsia="zh-CN"/>
        </w:rPr>
      </w:pPr>
      <w:r>
        <w:rPr>
          <w:rFonts w:hint="eastAsia" w:ascii="Times New Roman" w:hAnsi="Segoe UI" w:eastAsia="微软雅黑" w:cs="Segoe UI"/>
          <w:b w:val="0"/>
          <w:bCs w:val="0"/>
          <w:caps w:val="0"/>
          <w:color w:val="0F1115"/>
          <w:spacing w:val="0"/>
          <w:kern w:val="0"/>
          <w:sz w:val="24"/>
          <w:szCs w:val="24"/>
          <w:shd w:val="clear" w:fill="FFFFFF"/>
          <w:lang w:val="en-US" w:eastAsia="zh-CN" w:bidi="ar"/>
        </w:rPr>
        <w:t>표 1. 각 시스템의 핵심 성능 지표에 대한 성능(추정값 포함)</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694"/>
        <w:gridCol w:w="1704"/>
        <w:gridCol w:w="1985"/>
        <w:gridCol w:w="1453"/>
        <w:gridCol w:w="1686"/>
      </w:tblGrid>
      <w:tr w14:paraId="5E7C1FC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1694"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tcMar>
              <w:top w:w="120" w:type="dxa"/>
              <w:left w:w="0" w:type="dxa"/>
              <w:bottom w:w="120" w:type="dxa"/>
              <w:right w:w="192" w:type="dxa"/>
            </w:tcMar>
            <w:vAlign w:val="center"/>
          </w:tcPr>
          <w:p w14:paraId="2378319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sz w:val="24"/>
                <w:szCs w:val="24"/>
              </w:rPr>
            </w:pPr>
            <w:r>
              <w:rPr>
                <w:rFonts w:hint="eastAsia" w:ascii="Times New Roman" w:hAnsi="Segoe UI" w:eastAsia="微软雅黑" w:cs="Segoe UI"/>
                <w:b/>
                <w:i w:val="0"/>
                <w:color w:val="FFFFFF"/>
                <w:kern w:val="0"/>
                <w:sz w:val="24"/>
                <w:szCs w:val="24"/>
                <w:lang w:val="en-US" w:eastAsia="zh-CN" w:bidi="ar"/>
              </w:rPr>
              <w:t>시스템 유형</w:t>
            </w:r>
          </w:p>
        </w:tc>
        <w:tc>
          <w:tcPr>
            <w:tcW w:w="1704"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tcMar>
              <w:top w:w="120" w:type="dxa"/>
              <w:left w:w="192" w:type="dxa"/>
              <w:bottom w:w="120" w:type="dxa"/>
              <w:right w:w="192" w:type="dxa"/>
            </w:tcMar>
            <w:vAlign w:val="center"/>
          </w:tcPr>
          <w:p w14:paraId="362293F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kern w:val="0"/>
                <w:sz w:val="24"/>
                <w:szCs w:val="24"/>
                <w:lang w:val="en-US" w:eastAsia="zh-CN" w:bidi="ar"/>
              </w:rPr>
            </w:pPr>
            <w:r>
              <w:rPr>
                <w:rFonts w:hint="eastAsia" w:ascii="Times New Roman" w:hAnsi="Segoe UI" w:eastAsia="微软雅黑" w:cs="Segoe UI"/>
                <w:b/>
                <w:i w:val="0"/>
                <w:color w:val="FFFFFF"/>
                <w:kern w:val="0"/>
                <w:sz w:val="24"/>
                <w:szCs w:val="24"/>
                <w:lang w:val="en-US" w:eastAsia="zh-CN" w:bidi="ar"/>
              </w:rPr>
              <w:t>작업 완료율</w:t>
            </w:r>
          </w:p>
          <w:p w14:paraId="62DC7D5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sz w:val="24"/>
                <w:szCs w:val="24"/>
              </w:rPr>
            </w:pPr>
            <w:r>
              <w:rPr>
                <w:rFonts w:hint="eastAsia" w:ascii="Times New Roman" w:hAnsi="Segoe UI" w:eastAsia="微软雅黑" w:cs="Segoe UI"/>
                <w:b/>
                <w:i w:val="0"/>
                <w:color w:val="FFFFFF"/>
                <w:kern w:val="0"/>
                <w:sz w:val="24"/>
                <w:szCs w:val="24"/>
                <w:lang w:val="en-US" w:eastAsia="zh-CN" w:bidi="ar"/>
              </w:rPr>
              <w:t>(%)</w:t>
            </w:r>
          </w:p>
        </w:tc>
        <w:tc>
          <w:tcPr>
            <w:tcW w:w="1985"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tcMar>
              <w:top w:w="120" w:type="dxa"/>
              <w:left w:w="192" w:type="dxa"/>
              <w:bottom w:w="120" w:type="dxa"/>
              <w:right w:w="192" w:type="dxa"/>
            </w:tcMar>
            <w:vAlign w:val="center"/>
          </w:tcPr>
          <w:p w14:paraId="6B0A02C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kern w:val="0"/>
                <w:sz w:val="24"/>
                <w:szCs w:val="24"/>
                <w:lang w:val="en-US" w:eastAsia="zh-CN" w:bidi="ar"/>
              </w:rPr>
            </w:pPr>
            <w:r>
              <w:rPr>
                <w:rFonts w:hint="eastAsia" w:ascii="Times New Roman" w:hAnsi="Segoe UI" w:eastAsia="微软雅黑" w:cs="Segoe UI"/>
                <w:b/>
                <w:i w:val="0"/>
                <w:color w:val="FFFFFF"/>
                <w:kern w:val="0"/>
                <w:sz w:val="24"/>
                <w:szCs w:val="24"/>
                <w:lang w:val="en-US" w:eastAsia="zh-CN" w:bidi="ar"/>
              </w:rPr>
              <w:t>평균 응답 지연 시간</w:t>
            </w:r>
          </w:p>
          <w:p w14:paraId="00C3D7B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sz w:val="24"/>
                <w:szCs w:val="24"/>
              </w:rPr>
            </w:pPr>
            <w:r>
              <w:rPr>
                <w:rFonts w:hint="eastAsia" w:ascii="Times New Roman" w:hAnsi="Segoe UI" w:eastAsia="微软雅黑" w:cs="Segoe UI"/>
                <w:b/>
                <w:i w:val="0"/>
                <w:color w:val="FFFFFF"/>
                <w:kern w:val="0"/>
                <w:sz w:val="24"/>
                <w:szCs w:val="24"/>
                <w:lang w:val="en-US" w:eastAsia="zh-CN" w:bidi="ar"/>
              </w:rPr>
              <w:t>(ms)</w:t>
            </w:r>
          </w:p>
        </w:tc>
        <w:tc>
          <w:tcPr>
            <w:tcW w:w="1453"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tcMar>
              <w:top w:w="120" w:type="dxa"/>
              <w:left w:w="192" w:type="dxa"/>
              <w:bottom w:w="120" w:type="dxa"/>
              <w:right w:w="192" w:type="dxa"/>
            </w:tcMar>
            <w:vAlign w:val="center"/>
          </w:tcPr>
          <w:p w14:paraId="62D0CD6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sz w:val="24"/>
                <w:szCs w:val="24"/>
              </w:rPr>
            </w:pPr>
            <w:r>
              <w:rPr>
                <w:rFonts w:hint="eastAsia" w:ascii="Times New Roman" w:hAnsi="Segoe UI" w:eastAsia="微软雅黑" w:cs="Segoe UI"/>
                <w:b/>
                <w:i w:val="0"/>
                <w:color w:val="FFFFFF"/>
                <w:kern w:val="0"/>
                <w:sz w:val="24"/>
                <w:szCs w:val="24"/>
                <w:lang w:val="en-US" w:eastAsia="zh-CN" w:bidi="ar"/>
              </w:rPr>
              <w:t>TPS(초당 횟수)</w:t>
            </w:r>
          </w:p>
        </w:tc>
        <w:tc>
          <w:tcPr>
            <w:tcW w:w="1685"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tcMar>
              <w:top w:w="120" w:type="dxa"/>
              <w:left w:w="192" w:type="dxa"/>
              <w:bottom w:w="120" w:type="dxa"/>
              <w:right w:w="192" w:type="dxa"/>
            </w:tcMar>
            <w:vAlign w:val="center"/>
          </w:tcPr>
          <w:p w14:paraId="567F890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kern w:val="0"/>
                <w:sz w:val="24"/>
                <w:szCs w:val="24"/>
                <w:lang w:val="en-US" w:eastAsia="zh-CN" w:bidi="ar"/>
              </w:rPr>
            </w:pPr>
            <w:r>
              <w:rPr>
                <w:rFonts w:hint="eastAsia" w:ascii="Times New Roman" w:hAnsi="Segoe UI" w:eastAsia="微软雅黑" w:cs="Segoe UI"/>
                <w:b/>
                <w:i w:val="0"/>
                <w:color w:val="FFFFFF"/>
                <w:kern w:val="0"/>
                <w:sz w:val="24"/>
                <w:szCs w:val="24"/>
                <w:lang w:val="en-US" w:eastAsia="zh-CN" w:bidi="ar"/>
              </w:rPr>
              <w:t>시스템 안정성</w:t>
            </w:r>
          </w:p>
          <w:p w14:paraId="7B4AA5C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sz w:val="24"/>
                <w:szCs w:val="24"/>
              </w:rPr>
            </w:pPr>
            <w:r>
              <w:rPr>
                <w:rFonts w:hint="eastAsia" w:ascii="Times New Roman" w:hAnsi="Segoe UI" w:eastAsia="微软雅黑" w:cs="Segoe UI"/>
                <w:b/>
                <w:i w:val="0"/>
                <w:color w:val="FFFFFF"/>
                <w:kern w:val="0"/>
                <w:sz w:val="24"/>
                <w:szCs w:val="24"/>
                <w:lang w:val="en-US" w:eastAsia="zh-CN" w:bidi="ar"/>
              </w:rPr>
              <w:t>(%)</w:t>
            </w:r>
          </w:p>
        </w:tc>
      </w:tr>
      <w:tr w14:paraId="39A9577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4"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120" w:type="dxa"/>
              <w:left w:w="0" w:type="dxa"/>
              <w:bottom w:w="120" w:type="dxa"/>
              <w:right w:w="192" w:type="dxa"/>
            </w:tcMar>
            <w:vAlign w:val="center"/>
          </w:tcPr>
          <w:p w14:paraId="6275E212">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단일 지능체 시스템</w:t>
            </w:r>
          </w:p>
        </w:tc>
        <w:tc>
          <w:tcPr>
            <w:tcW w:w="1704"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35DDEF9E">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72.3</w:t>
            </w:r>
          </w:p>
        </w:tc>
        <w:tc>
          <w:tcPr>
            <w:tcW w:w="1985"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298A7B2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18</w:t>
            </w:r>
          </w:p>
        </w:tc>
        <w:tc>
          <w:tcPr>
            <w:tcW w:w="1453"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70A3B6E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120</w:t>
            </w:r>
          </w:p>
        </w:tc>
        <w:tc>
          <w:tcPr>
            <w:tcW w:w="1685"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120" w:type="dxa"/>
              <w:left w:w="192" w:type="dxa"/>
              <w:bottom w:w="120" w:type="dxa"/>
              <w:right w:w="0" w:type="dxa"/>
            </w:tcMar>
            <w:vAlign w:val="center"/>
          </w:tcPr>
          <w:p w14:paraId="3E6FBBD8">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68.5</w:t>
            </w:r>
          </w:p>
        </w:tc>
      </w:tr>
      <w:tr w14:paraId="14FAC6E5">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169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120" w:type="dxa"/>
              <w:left w:w="0" w:type="dxa"/>
              <w:bottom w:w="120" w:type="dxa"/>
              <w:right w:w="192" w:type="dxa"/>
            </w:tcMar>
            <w:vAlign w:val="center"/>
          </w:tcPr>
          <w:p w14:paraId="6AA479F0">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분산형 분산 시스템</w:t>
            </w:r>
          </w:p>
        </w:tc>
        <w:tc>
          <w:tcPr>
            <w:tcW w:w="17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14247715">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81.6</w:t>
            </w:r>
          </w:p>
        </w:tc>
        <w:tc>
          <w:tcPr>
            <w:tcW w:w="19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20E9BB0F">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26</w:t>
            </w:r>
          </w:p>
        </w:tc>
        <w:tc>
          <w:tcPr>
            <w:tcW w:w="14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6E115A40">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105</w:t>
            </w:r>
          </w:p>
        </w:tc>
        <w:tc>
          <w:tcPr>
            <w:tcW w:w="168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120" w:type="dxa"/>
              <w:left w:w="192" w:type="dxa"/>
              <w:bottom w:w="120" w:type="dxa"/>
              <w:right w:w="0" w:type="dxa"/>
            </w:tcMar>
            <w:vAlign w:val="center"/>
          </w:tcPr>
          <w:p w14:paraId="054958DC">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79.2</w:t>
            </w:r>
          </w:p>
        </w:tc>
      </w:tr>
      <w:tr w14:paraId="0665929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4"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120" w:type="dxa"/>
              <w:left w:w="0" w:type="dxa"/>
              <w:bottom w:w="120" w:type="dxa"/>
              <w:right w:w="192" w:type="dxa"/>
            </w:tcMar>
            <w:vAlign w:val="center"/>
          </w:tcPr>
          <w:p w14:paraId="4E95E685">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혼합 제어 시스템</w:t>
            </w:r>
          </w:p>
        </w:tc>
        <w:tc>
          <w:tcPr>
            <w:tcW w:w="1704"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53106822">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91.4</w:t>
            </w:r>
          </w:p>
        </w:tc>
        <w:tc>
          <w:tcPr>
            <w:tcW w:w="1985"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60A02254">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44</w:t>
            </w:r>
          </w:p>
        </w:tc>
        <w:tc>
          <w:tcPr>
            <w:tcW w:w="1453"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42FA94D7">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98</w:t>
            </w:r>
          </w:p>
        </w:tc>
        <w:tc>
          <w:tcPr>
            <w:tcW w:w="1685"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120" w:type="dxa"/>
              <w:left w:w="192" w:type="dxa"/>
              <w:bottom w:w="120" w:type="dxa"/>
              <w:right w:w="0" w:type="dxa"/>
            </w:tcMar>
            <w:vAlign w:val="center"/>
          </w:tcPr>
          <w:p w14:paraId="0AF8F707">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89.7</w:t>
            </w:r>
          </w:p>
        </w:tc>
      </w:tr>
      <w:tr w14:paraId="0FB66D8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1694"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tcMar>
              <w:top w:w="120" w:type="dxa"/>
              <w:left w:w="0" w:type="dxa"/>
              <w:bottom w:w="120" w:type="dxa"/>
              <w:right w:w="192" w:type="dxa"/>
            </w:tcMar>
            <w:vAlign w:val="center"/>
          </w:tcPr>
          <w:p w14:paraId="28196F4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val="0"/>
                <w:i w:val="0"/>
                <w:color w:val="000000"/>
                <w:sz w:val="24"/>
                <w:szCs w:val="24"/>
              </w:rPr>
            </w:pPr>
            <w:r>
              <w:rPr>
                <w:rFonts w:hint="eastAsia" w:ascii="Times New Roman" w:hAnsi="Segoe UI" w:eastAsia="微软雅黑" w:cs="Segoe UI"/>
                <w:b w:val="0"/>
                <w:bCs/>
                <w:i w:val="0"/>
                <w:color w:val="000000"/>
                <w:kern w:val="0"/>
                <w:sz w:val="24"/>
                <w:szCs w:val="24"/>
                <w:lang w:val="en-US" w:eastAsia="zh-CN" w:bidi="ar"/>
              </w:rPr>
              <w:t>추정값</w:t>
            </w:r>
          </w:p>
        </w:tc>
        <w:tc>
          <w:tcPr>
            <w:tcW w:w="1704"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tcMar>
              <w:top w:w="120" w:type="dxa"/>
              <w:left w:w="192" w:type="dxa"/>
              <w:bottom w:w="120" w:type="dxa"/>
              <w:right w:w="192" w:type="dxa"/>
            </w:tcMar>
            <w:vAlign w:val="center"/>
          </w:tcPr>
          <w:p w14:paraId="2720F294">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±3.2 ~ ±4.1</w:t>
            </w:r>
          </w:p>
        </w:tc>
        <w:tc>
          <w:tcPr>
            <w:tcW w:w="1985"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tcMar>
              <w:top w:w="120" w:type="dxa"/>
              <w:left w:w="192" w:type="dxa"/>
              <w:bottom w:w="120" w:type="dxa"/>
              <w:right w:w="192" w:type="dxa"/>
            </w:tcMar>
            <w:vAlign w:val="center"/>
          </w:tcPr>
          <w:p w14:paraId="6F8236A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±2.5 ~ ±3.8</w:t>
            </w:r>
          </w:p>
        </w:tc>
        <w:tc>
          <w:tcPr>
            <w:tcW w:w="1453"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tcMar>
              <w:top w:w="120" w:type="dxa"/>
              <w:left w:w="192" w:type="dxa"/>
              <w:bottom w:w="120" w:type="dxa"/>
              <w:right w:w="192" w:type="dxa"/>
            </w:tcMar>
            <w:vAlign w:val="center"/>
          </w:tcPr>
          <w:p w14:paraId="0147B37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±4.5 ~ ±6.0</w:t>
            </w:r>
          </w:p>
        </w:tc>
        <w:tc>
          <w:tcPr>
            <w:tcW w:w="1685"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tcMar>
              <w:top w:w="120" w:type="dxa"/>
              <w:left w:w="192" w:type="dxa"/>
              <w:bottom w:w="120" w:type="dxa"/>
              <w:right w:w="0" w:type="dxa"/>
            </w:tcMar>
            <w:vAlign w:val="center"/>
          </w:tcPr>
          <w:p w14:paraId="14306B29">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±2.8 ~ ±3.5</w:t>
            </w:r>
          </w:p>
        </w:tc>
      </w:tr>
    </w:tbl>
    <w:p w14:paraId="2725287B">
      <w:pPr>
        <w:pStyle w:val="5"/>
        <w:keepNext w:val="0"/>
        <w:keepLines w:val="0"/>
        <w:widowControl/>
        <w:suppressLineNumbers w:val="0"/>
        <w:spacing w:beforeAutospacing="0" w:afterAutospacing="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표 1 설명:</w:t>
      </w:r>
    </w:p>
    <w:p w14:paraId="4148D154">
      <w:pPr>
        <w:pStyle w:val="5"/>
        <w:keepNext w:val="0"/>
        <w:keepLines w:val="0"/>
        <w:widowControl/>
        <w:suppressLineNumbers w:val="0"/>
        <w:spacing w:beforeAutospacing="0" w:afterAutospacing="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이 표는 세 가지 시스템의 작업 실행 효율성, 시스템 응답성 및 안정성에 대한 비교를 보여줍니다. 하이브리드 제어 시스템이 작업 완료율과 안정성 면에서 다른 시스템보다 현저히 우수함을 확인할 수 있으며, 이는 가설 H1과 H2를 검증한 결과입니다. 평균 응답 지연의 증가는 주로 하이브리드 통신 및 블록체인 검증 오버헤드에서 기인하지만, 이러한 추가 지연은 데이터의 무결성과 보안을 확보하기 위한 필수적인 대가로 간주될 수 있습니다. TPS의 감소는 거래 처리 오버헤드를 반영하지만, 전체 시스템은 여전히 중소규모 분산 작업의 실시간 요구사항을 충족시킬 수 있습니다.</w:t>
      </w:r>
    </w:p>
    <w:p w14:paraId="76BC253A">
      <w:pPr>
        <w:keepNext w:val="0"/>
        <w:keepLines w:val="0"/>
        <w:widowControl/>
        <w:suppressLineNumbers w:val="0"/>
        <w:rPr>
          <w:b w:val="0"/>
          <w:bCs w:val="0"/>
          <w:sz w:val="24"/>
          <w:szCs w:val="24"/>
        </w:rPr>
      </w:pPr>
    </w:p>
    <w:p w14:paraId="0B9BDC99">
      <w:pPr>
        <w:pStyle w:val="4"/>
        <w:keepNext w:val="0"/>
        <w:keepLines w:val="0"/>
        <w:widowControl/>
        <w:suppressLineNumbers w:val="0"/>
        <w:shd w:val="clear" w:fill="FFFFFF"/>
        <w:spacing w:before="0" w:beforeAutospacing="0" w:after="0" w:afterAutospacing="0" w:line="240" w:lineRule="auto"/>
        <w:ind w:left="0" w:right="0" w:firstLine="0"/>
        <w:rPr>
          <w:rFonts w:hint="eastAsia" w:ascii="Segoe UI" w:hAnsi="Segoe UI" w:eastAsia="宋体" w:cs="Segoe UI"/>
          <w:b w:val="0"/>
          <w:bCs w:val="0"/>
          <w:caps w:val="0"/>
          <w:color w:val="0F1115"/>
          <w:spacing w:val="0"/>
          <w:sz w:val="24"/>
          <w:szCs w:val="24"/>
          <w:lang w:eastAsia="zh-CN"/>
        </w:rPr>
      </w:pPr>
      <w:r>
        <w:rPr>
          <w:rFonts w:hint="eastAsia" w:ascii="Times New Roman" w:hAnsi="Segoe UI" w:eastAsia="微软雅黑" w:cs="Segoe UI"/>
          <w:b w:val="0"/>
          <w:bCs w:val="0"/>
          <w:caps w:val="0"/>
          <w:color w:val="0F1115"/>
          <w:spacing w:val="0"/>
          <w:kern w:val="0"/>
          <w:sz w:val="24"/>
          <w:szCs w:val="24"/>
          <w:shd w:val="clear" w:fill="FFFFFF"/>
          <w:lang w:val="en-US" w:eastAsia="zh-CN" w:bidi="ar"/>
        </w:rPr>
        <w:t>표 2. 블록체인 성능 및 보안성 비교(추정치 포함)</w:t>
      </w:r>
    </w:p>
    <w:tbl>
      <w:tblPr>
        <w:tblStyle w:val="6"/>
        <w:tblW w:w="852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1933"/>
        <w:gridCol w:w="1462"/>
        <w:gridCol w:w="1590"/>
        <w:gridCol w:w="1744"/>
        <w:gridCol w:w="1793"/>
      </w:tblGrid>
      <w:tr w14:paraId="5E4294D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tblHeader/>
          <w:jc w:val="center"/>
        </w:trPr>
        <w:tc>
          <w:tcPr>
            <w:tcW w:w="2059" w:type="dxa"/>
            <w:tcBorders>
              <w:top w:val="single" w:color="4874CB" w:themeColor="accent1" w:sz="6" w:space="0"/>
              <w:left w:val="single" w:color="4874CB" w:themeColor="accent1" w:sz="6" w:space="0"/>
              <w:bottom w:val="single" w:color="4874CB" w:themeColor="accent1" w:sz="6" w:space="0"/>
              <w:right w:val="single" w:color="B5C7EA" w:themeColor="accent1" w:themeTint="66" w:sz="6" w:space="0"/>
            </w:tcBorders>
            <w:shd w:val="clear" w:color="auto" w:fill="4874CB" w:themeFill="accent1"/>
            <w:tcMar>
              <w:top w:w="120" w:type="dxa"/>
              <w:left w:w="0" w:type="dxa"/>
              <w:bottom w:w="120" w:type="dxa"/>
              <w:right w:w="192" w:type="dxa"/>
            </w:tcMar>
            <w:vAlign w:val="center"/>
          </w:tcPr>
          <w:p w14:paraId="7B60DE88">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sz w:val="24"/>
                <w:szCs w:val="24"/>
              </w:rPr>
            </w:pPr>
            <w:r>
              <w:rPr>
                <w:rFonts w:hint="eastAsia" w:ascii="Times New Roman" w:hAnsi="Segoe UI" w:eastAsia="微软雅黑" w:cs="Segoe UI"/>
                <w:b/>
                <w:i w:val="0"/>
                <w:color w:val="FFFFFF"/>
                <w:kern w:val="0"/>
                <w:sz w:val="24"/>
                <w:szCs w:val="24"/>
                <w:lang w:val="en-US" w:eastAsia="zh-CN" w:bidi="ar"/>
              </w:rPr>
              <w:t>시스템 유형</w:t>
            </w:r>
          </w:p>
        </w:tc>
        <w:tc>
          <w:tcPr>
            <w:tcW w:w="1536"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tcMar>
              <w:top w:w="120" w:type="dxa"/>
              <w:left w:w="192" w:type="dxa"/>
              <w:bottom w:w="120" w:type="dxa"/>
              <w:right w:w="192" w:type="dxa"/>
            </w:tcMar>
            <w:vAlign w:val="center"/>
          </w:tcPr>
          <w:p w14:paraId="455A81CA">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kern w:val="0"/>
                <w:sz w:val="24"/>
                <w:szCs w:val="24"/>
                <w:lang w:val="en-US" w:eastAsia="zh-CN" w:bidi="ar"/>
              </w:rPr>
            </w:pPr>
            <w:r>
              <w:rPr>
                <w:rFonts w:hint="eastAsia" w:ascii="Times New Roman" w:hAnsi="Segoe UI" w:eastAsia="微软雅黑" w:cs="Segoe UI"/>
                <w:b/>
                <w:i w:val="0"/>
                <w:color w:val="FFFFFF"/>
                <w:kern w:val="0"/>
                <w:sz w:val="24"/>
                <w:szCs w:val="24"/>
                <w:lang w:val="en-US" w:eastAsia="zh-CN" w:bidi="ar"/>
              </w:rPr>
              <w:t>등록 지연</w:t>
            </w:r>
          </w:p>
          <w:p w14:paraId="7AA6F49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sz w:val="24"/>
                <w:szCs w:val="24"/>
              </w:rPr>
            </w:pPr>
            <w:r>
              <w:rPr>
                <w:rFonts w:hint="eastAsia" w:ascii="Times New Roman" w:hAnsi="Segoe UI" w:eastAsia="微软雅黑" w:cs="Segoe UI"/>
                <w:b/>
                <w:i w:val="0"/>
                <w:color w:val="FFFFFF"/>
                <w:kern w:val="0"/>
                <w:sz w:val="24"/>
                <w:szCs w:val="24"/>
                <w:lang w:val="en-US" w:eastAsia="zh-CN" w:bidi="ar"/>
              </w:rPr>
              <w:t>(ms)</w:t>
            </w:r>
          </w:p>
        </w:tc>
        <w:tc>
          <w:tcPr>
            <w:tcW w:w="1650"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tcMar>
              <w:top w:w="120" w:type="dxa"/>
              <w:left w:w="192" w:type="dxa"/>
              <w:bottom w:w="120" w:type="dxa"/>
              <w:right w:w="192" w:type="dxa"/>
            </w:tcMar>
            <w:vAlign w:val="center"/>
          </w:tcPr>
          <w:p w14:paraId="150A1947">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kern w:val="0"/>
                <w:sz w:val="24"/>
                <w:szCs w:val="24"/>
                <w:lang w:val="en-US" w:eastAsia="zh-CN" w:bidi="ar"/>
              </w:rPr>
            </w:pPr>
            <w:r>
              <w:rPr>
                <w:rFonts w:hint="eastAsia" w:ascii="Times New Roman" w:hAnsi="Segoe UI" w:eastAsia="微软雅黑" w:cs="Segoe UI"/>
                <w:b/>
                <w:i w:val="0"/>
                <w:color w:val="FFFFFF"/>
                <w:kern w:val="0"/>
                <w:sz w:val="24"/>
                <w:szCs w:val="24"/>
                <w:lang w:val="en-US" w:eastAsia="zh-CN" w:bidi="ar"/>
              </w:rPr>
              <w:t>위조 검출률</w:t>
            </w:r>
          </w:p>
          <w:p w14:paraId="3A394D8E">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sz w:val="24"/>
                <w:szCs w:val="24"/>
              </w:rPr>
            </w:pPr>
            <w:r>
              <w:rPr>
                <w:rFonts w:hint="eastAsia" w:ascii="Times New Roman" w:hAnsi="Segoe UI" w:eastAsia="微软雅黑" w:cs="Segoe UI"/>
                <w:b/>
                <w:i w:val="0"/>
                <w:color w:val="FFFFFF"/>
                <w:kern w:val="0"/>
                <w:sz w:val="24"/>
                <w:szCs w:val="24"/>
                <w:lang w:val="en-US" w:eastAsia="zh-CN" w:bidi="ar"/>
              </w:rPr>
              <w:t>(%)</w:t>
            </w:r>
          </w:p>
        </w:tc>
        <w:tc>
          <w:tcPr>
            <w:tcW w:w="1399" w:type="dxa"/>
            <w:tcBorders>
              <w:top w:val="single" w:color="4874CB" w:themeColor="accent1" w:sz="6" w:space="0"/>
              <w:left w:val="single" w:color="B5C7EA" w:themeColor="accent1" w:themeTint="66" w:sz="6" w:space="0"/>
              <w:bottom w:val="single" w:color="4874CB" w:themeColor="accent1" w:sz="6" w:space="0"/>
              <w:right w:val="single" w:color="B5C7EA" w:themeColor="accent1" w:themeTint="66" w:sz="6" w:space="0"/>
            </w:tcBorders>
            <w:shd w:val="clear" w:color="auto" w:fill="4874CB" w:themeFill="accent1"/>
            <w:tcMar>
              <w:top w:w="120" w:type="dxa"/>
              <w:left w:w="192" w:type="dxa"/>
              <w:bottom w:w="120" w:type="dxa"/>
              <w:right w:w="192" w:type="dxa"/>
            </w:tcMar>
            <w:vAlign w:val="center"/>
          </w:tcPr>
          <w:p w14:paraId="1630BE9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sz w:val="24"/>
                <w:szCs w:val="24"/>
              </w:rPr>
            </w:pPr>
            <w:r>
              <w:rPr>
                <w:rFonts w:hint="eastAsia" w:ascii="Times New Roman" w:hAnsi="Segoe UI" w:eastAsia="微软雅黑" w:cs="Segoe UI"/>
                <w:b/>
                <w:i w:val="0"/>
                <w:color w:val="FFFFFF"/>
                <w:kern w:val="0"/>
                <w:sz w:val="24"/>
                <w:szCs w:val="24"/>
                <w:lang w:val="en-US" w:eastAsia="zh-CN" w:bidi="ar"/>
              </w:rPr>
              <w:t>신고 미실시율(%)</w:t>
            </w:r>
          </w:p>
        </w:tc>
        <w:tc>
          <w:tcPr>
            <w:tcW w:w="1879" w:type="dxa"/>
            <w:tcBorders>
              <w:top w:val="single" w:color="4874CB" w:themeColor="accent1" w:sz="6" w:space="0"/>
              <w:left w:val="single" w:color="B5C7EA" w:themeColor="accent1" w:themeTint="66" w:sz="6" w:space="0"/>
              <w:bottom w:val="single" w:color="4874CB" w:themeColor="accent1" w:sz="6" w:space="0"/>
              <w:right w:val="single" w:color="4874CB" w:themeColor="accent1" w:sz="6" w:space="0"/>
            </w:tcBorders>
            <w:shd w:val="clear" w:color="auto" w:fill="4874CB" w:themeFill="accent1"/>
            <w:tcMar>
              <w:top w:w="120" w:type="dxa"/>
              <w:left w:w="192" w:type="dxa"/>
              <w:bottom w:w="120" w:type="dxa"/>
              <w:right w:w="192" w:type="dxa"/>
            </w:tcMar>
            <w:vAlign w:val="center"/>
          </w:tcPr>
          <w:p w14:paraId="25753EF6">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i w:val="0"/>
                <w:color w:val="FFFFFF"/>
                <w:sz w:val="24"/>
                <w:szCs w:val="24"/>
              </w:rPr>
            </w:pPr>
            <w:r>
              <w:rPr>
                <w:rFonts w:hint="eastAsia" w:ascii="Times New Roman" w:hAnsi="Segoe UI" w:eastAsia="微软雅黑" w:cs="Segoe UI"/>
                <w:b/>
                <w:i w:val="0"/>
                <w:color w:val="FFFFFF"/>
                <w:kern w:val="0"/>
                <w:sz w:val="24"/>
                <w:szCs w:val="24"/>
                <w:lang w:val="en-US" w:eastAsia="zh-CN" w:bidi="ar"/>
              </w:rPr>
              <w:t>감사 추적 일관성</w:t>
            </w:r>
          </w:p>
        </w:tc>
      </w:tr>
      <w:tr w14:paraId="5DCD4DE2">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59" w:type="dxa"/>
            <w:tcBorders>
              <w:top w:val="single" w:color="4874CB" w:themeColor="accent1"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120" w:type="dxa"/>
              <w:left w:w="0" w:type="dxa"/>
              <w:bottom w:w="120" w:type="dxa"/>
              <w:right w:w="192" w:type="dxa"/>
            </w:tcMar>
            <w:vAlign w:val="center"/>
          </w:tcPr>
          <w:p w14:paraId="10D40CFF">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중앙화된 기록 시스템</w:t>
            </w:r>
          </w:p>
        </w:tc>
        <w:tc>
          <w:tcPr>
            <w:tcW w:w="1536"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5A67D153">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18</w:t>
            </w:r>
          </w:p>
        </w:tc>
        <w:tc>
          <w:tcPr>
            <w:tcW w:w="1650"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03B7483B">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71.4</w:t>
            </w:r>
          </w:p>
        </w:tc>
        <w:tc>
          <w:tcPr>
            <w:tcW w:w="1399" w:type="dxa"/>
            <w:tcBorders>
              <w:top w:val="single" w:color="4874CB" w:themeColor="accent1"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63C0B4E3">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6.2</w:t>
            </w:r>
          </w:p>
        </w:tc>
        <w:tc>
          <w:tcPr>
            <w:tcW w:w="1879" w:type="dxa"/>
            <w:tcBorders>
              <w:top w:val="single" w:color="4874CB" w:themeColor="accent1"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120" w:type="dxa"/>
              <w:left w:w="192" w:type="dxa"/>
              <w:bottom w:w="120" w:type="dxa"/>
              <w:right w:w="0" w:type="dxa"/>
            </w:tcMar>
            <w:vAlign w:val="center"/>
          </w:tcPr>
          <w:p w14:paraId="06E3F41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정상</w:t>
            </w:r>
          </w:p>
        </w:tc>
      </w:tr>
      <w:tr w14:paraId="5DF3EA4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5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120" w:type="dxa"/>
              <w:left w:w="0" w:type="dxa"/>
              <w:bottom w:w="120" w:type="dxa"/>
              <w:right w:w="192" w:type="dxa"/>
            </w:tcMar>
            <w:vAlign w:val="center"/>
          </w:tcPr>
          <w:p w14:paraId="2A1E3B59">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해시 기반 비블록체인 방법</w:t>
            </w:r>
          </w:p>
        </w:tc>
        <w:tc>
          <w:tcPr>
            <w:tcW w:w="15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78BA07DF">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26</w:t>
            </w:r>
          </w:p>
        </w:tc>
        <w:tc>
          <w:tcPr>
            <w:tcW w:w="16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4BC76885">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82.7</w:t>
            </w:r>
          </w:p>
        </w:tc>
        <w:tc>
          <w:tcPr>
            <w:tcW w:w="1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22F9E0BF">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4.8</w:t>
            </w:r>
          </w:p>
        </w:tc>
        <w:tc>
          <w:tcPr>
            <w:tcW w:w="187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120" w:type="dxa"/>
              <w:left w:w="192" w:type="dxa"/>
              <w:bottom w:w="120" w:type="dxa"/>
              <w:right w:w="0" w:type="dxa"/>
            </w:tcMar>
            <w:vAlign w:val="center"/>
          </w:tcPr>
          <w:p w14:paraId="2D90B062">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부분</w:t>
            </w:r>
          </w:p>
        </w:tc>
      </w:tr>
      <w:tr w14:paraId="63D51A0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rHeight w:val="0" w:hRule="atLeast"/>
          <w:jc w:val="center"/>
        </w:trPr>
        <w:tc>
          <w:tcPr>
            <w:tcW w:w="2059" w:type="dxa"/>
            <w:tcBorders>
              <w:top w:val="single" w:color="B5C7EA" w:themeColor="accent1" w:themeTint="66" w:sz="6" w:space="0"/>
              <w:left w:val="single" w:color="4874CB" w:themeColor="accent1" w:sz="6" w:space="0"/>
              <w:bottom w:val="single" w:color="B5C7EA" w:themeColor="accent1" w:themeTint="66" w:sz="6" w:space="0"/>
              <w:right w:val="single" w:color="B5C7EA" w:themeColor="accent1" w:themeTint="66" w:sz="6" w:space="0"/>
            </w:tcBorders>
            <w:shd w:val="clear" w:color="auto" w:fill="FFFFFF"/>
            <w:tcMar>
              <w:top w:w="120" w:type="dxa"/>
              <w:left w:w="0" w:type="dxa"/>
              <w:bottom w:w="120" w:type="dxa"/>
              <w:right w:w="192" w:type="dxa"/>
            </w:tcMar>
            <w:vAlign w:val="center"/>
          </w:tcPr>
          <w:p w14:paraId="7B9FD643">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블록체인 하이브리드 시스템</w:t>
            </w:r>
          </w:p>
        </w:tc>
        <w:tc>
          <w:tcPr>
            <w:tcW w:w="1536"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7F23D809">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44</w:t>
            </w:r>
          </w:p>
        </w:tc>
        <w:tc>
          <w:tcPr>
            <w:tcW w:w="1650"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43603A76">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98.9</w:t>
            </w:r>
          </w:p>
        </w:tc>
        <w:tc>
          <w:tcPr>
            <w:tcW w:w="1399" w:type="dxa"/>
            <w:tcBorders>
              <w:top w:val="single" w:color="B5C7EA" w:themeColor="accent1" w:themeTint="66" w:sz="6" w:space="0"/>
              <w:left w:val="single" w:color="B5C7EA" w:themeColor="accent1" w:themeTint="66" w:sz="6" w:space="0"/>
              <w:bottom w:val="single" w:color="B5C7EA" w:themeColor="accent1" w:themeTint="66" w:sz="6" w:space="0"/>
              <w:right w:val="single" w:color="B5C7EA" w:themeColor="accent1" w:themeTint="66" w:sz="6" w:space="0"/>
            </w:tcBorders>
            <w:shd w:val="clear" w:color="auto" w:fill="FFFFFF"/>
            <w:tcMar>
              <w:top w:w="120" w:type="dxa"/>
              <w:left w:w="192" w:type="dxa"/>
              <w:bottom w:w="120" w:type="dxa"/>
              <w:right w:w="192" w:type="dxa"/>
            </w:tcMar>
            <w:vAlign w:val="center"/>
          </w:tcPr>
          <w:p w14:paraId="23466D1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1.1</w:t>
            </w:r>
          </w:p>
        </w:tc>
        <w:tc>
          <w:tcPr>
            <w:tcW w:w="1879" w:type="dxa"/>
            <w:tcBorders>
              <w:top w:val="single" w:color="B5C7EA" w:themeColor="accent1" w:themeTint="66" w:sz="6" w:space="0"/>
              <w:left w:val="single" w:color="B5C7EA" w:themeColor="accent1" w:themeTint="66" w:sz="6" w:space="0"/>
              <w:bottom w:val="single" w:color="B5C7EA" w:themeColor="accent1" w:themeTint="66" w:sz="6" w:space="0"/>
              <w:right w:val="single" w:color="4874CB" w:themeColor="accent1" w:sz="6" w:space="0"/>
            </w:tcBorders>
            <w:shd w:val="clear" w:color="auto" w:fill="FFFFFF"/>
            <w:tcMar>
              <w:top w:w="120" w:type="dxa"/>
              <w:left w:w="192" w:type="dxa"/>
              <w:bottom w:w="120" w:type="dxa"/>
              <w:right w:w="0" w:type="dxa"/>
            </w:tcMar>
            <w:vAlign w:val="center"/>
          </w:tcPr>
          <w:p w14:paraId="70FAF3EE">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매우 일관성 있음</w:t>
            </w:r>
          </w:p>
        </w:tc>
      </w:tr>
      <w:tr w14:paraId="73C8C5A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rHeight w:val="0" w:hRule="atLeast"/>
          <w:jc w:val="center"/>
        </w:trPr>
        <w:tc>
          <w:tcPr>
            <w:tcW w:w="2059" w:type="dxa"/>
            <w:tcBorders>
              <w:top w:val="single" w:color="B5C7EA" w:themeColor="accent1" w:themeTint="66" w:sz="6" w:space="0"/>
              <w:left w:val="single" w:color="4874CB" w:themeColor="accent1" w:sz="6" w:space="0"/>
              <w:bottom w:val="single" w:color="4874CB" w:themeColor="accent1" w:sz="6" w:space="0"/>
              <w:right w:val="single" w:color="B5C7EA" w:themeColor="accent1" w:themeTint="66" w:sz="6" w:space="0"/>
            </w:tcBorders>
            <w:shd w:val="clear" w:color="auto" w:fill="FFFFFF"/>
            <w:tcMar>
              <w:top w:w="120" w:type="dxa"/>
              <w:left w:w="0" w:type="dxa"/>
              <w:bottom w:w="120" w:type="dxa"/>
              <w:right w:w="192" w:type="dxa"/>
            </w:tcMar>
            <w:vAlign w:val="center"/>
          </w:tcPr>
          <w:p w14:paraId="0502F6E4">
            <w:pPr>
              <w:keepNext w:val="0"/>
              <w:keepLines w:val="0"/>
              <w:widowControl/>
              <w:suppressLineNumbers w:val="0"/>
              <w:snapToGrid w:val="0"/>
              <w:spacing w:line="240" w:lineRule="auto"/>
              <w:ind w:left="0" w:leftChars="0" w:right="0" w:rightChars="0" w:firstLine="0" w:firstLineChars="0"/>
              <w:jc w:val="center"/>
              <w:rPr>
                <w:rFonts w:hint="default" w:ascii="Segoe UI" w:hAnsi="Segoe UI" w:eastAsia="Segoe UI" w:cs="Segoe UI"/>
                <w:b w:val="0"/>
                <w:i w:val="0"/>
                <w:color w:val="000000"/>
                <w:sz w:val="24"/>
                <w:szCs w:val="24"/>
              </w:rPr>
            </w:pPr>
            <w:r>
              <w:rPr>
                <w:rFonts w:hint="eastAsia" w:ascii="Times New Roman" w:hAnsi="Segoe UI" w:eastAsia="微软雅黑" w:cs="Segoe UI"/>
                <w:b w:val="0"/>
                <w:bCs/>
                <w:i w:val="0"/>
                <w:color w:val="000000"/>
                <w:kern w:val="0"/>
                <w:sz w:val="24"/>
                <w:szCs w:val="24"/>
                <w:lang w:val="en-US" w:eastAsia="zh-CN" w:bidi="ar"/>
              </w:rPr>
              <w:t>추정값</w:t>
            </w:r>
          </w:p>
        </w:tc>
        <w:tc>
          <w:tcPr>
            <w:tcW w:w="1536"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tcMar>
              <w:top w:w="120" w:type="dxa"/>
              <w:left w:w="192" w:type="dxa"/>
              <w:bottom w:w="120" w:type="dxa"/>
              <w:right w:w="192" w:type="dxa"/>
            </w:tcMar>
            <w:vAlign w:val="center"/>
          </w:tcPr>
          <w:p w14:paraId="01C526F0">
            <w:pPr>
              <w:keepNext w:val="0"/>
              <w:keepLines w:val="0"/>
              <w:widowControl/>
              <w:suppressLineNumbers w:val="0"/>
              <w:snapToGrid w:val="0"/>
              <w:spacing w:line="240" w:lineRule="auto"/>
              <w:ind w:left="0" w:leftChars="0" w:right="0" w:rightChars="0" w:firstLine="0" w:firstLineChars="0"/>
              <w:jc w:val="lef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±3.0 ~ ±4.2</w:t>
            </w:r>
          </w:p>
        </w:tc>
        <w:tc>
          <w:tcPr>
            <w:tcW w:w="1650"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tcMar>
              <w:top w:w="120" w:type="dxa"/>
              <w:left w:w="192" w:type="dxa"/>
              <w:bottom w:w="120" w:type="dxa"/>
              <w:right w:w="192" w:type="dxa"/>
            </w:tcMar>
            <w:vAlign w:val="center"/>
          </w:tcPr>
          <w:p w14:paraId="748D4BC1">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±1.5 ~ ±2.2</w:t>
            </w:r>
          </w:p>
        </w:tc>
        <w:tc>
          <w:tcPr>
            <w:tcW w:w="1399" w:type="dxa"/>
            <w:tcBorders>
              <w:top w:val="single" w:color="B5C7EA" w:themeColor="accent1" w:themeTint="66" w:sz="6" w:space="0"/>
              <w:left w:val="single" w:color="B5C7EA" w:themeColor="accent1" w:themeTint="66" w:sz="6" w:space="0"/>
              <w:bottom w:val="single" w:color="4874CB" w:themeColor="accent1" w:sz="6" w:space="0"/>
              <w:right w:val="single" w:color="B5C7EA" w:themeColor="accent1" w:themeTint="66" w:sz="6" w:space="0"/>
            </w:tcBorders>
            <w:shd w:val="clear" w:color="auto" w:fill="FFFFFF"/>
            <w:tcMar>
              <w:top w:w="120" w:type="dxa"/>
              <w:left w:w="192" w:type="dxa"/>
              <w:bottom w:w="120" w:type="dxa"/>
              <w:right w:w="192" w:type="dxa"/>
            </w:tcMar>
            <w:vAlign w:val="center"/>
          </w:tcPr>
          <w:p w14:paraId="44D0D8FF">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±0.3 ~ ±0.5</w:t>
            </w:r>
          </w:p>
        </w:tc>
        <w:tc>
          <w:tcPr>
            <w:tcW w:w="1879" w:type="dxa"/>
            <w:tcBorders>
              <w:top w:val="single" w:color="B5C7EA" w:themeColor="accent1" w:themeTint="66" w:sz="6" w:space="0"/>
              <w:left w:val="single" w:color="B5C7EA" w:themeColor="accent1" w:themeTint="66" w:sz="6" w:space="0"/>
              <w:bottom w:val="single" w:color="4874CB" w:themeColor="accent1" w:sz="6" w:space="0"/>
              <w:right w:val="single" w:color="4874CB" w:themeColor="accent1" w:sz="6" w:space="0"/>
            </w:tcBorders>
            <w:shd w:val="clear" w:color="auto" w:fill="FFFFFF"/>
            <w:tcMar>
              <w:top w:w="120" w:type="dxa"/>
              <w:left w:w="192" w:type="dxa"/>
              <w:bottom w:w="120" w:type="dxa"/>
              <w:right w:w="0" w:type="dxa"/>
            </w:tcMar>
            <w:vAlign w:val="center"/>
          </w:tcPr>
          <w:p w14:paraId="20CDDC0D">
            <w:pPr>
              <w:keepNext w:val="0"/>
              <w:keepLines w:val="0"/>
              <w:widowControl/>
              <w:suppressLineNumbers w:val="0"/>
              <w:snapToGrid w:val="0"/>
              <w:spacing w:line="240" w:lineRule="auto"/>
              <w:ind w:left="0" w:leftChars="0" w:right="0" w:rightChars="0" w:firstLine="0" w:firstLineChars="0"/>
              <w:jc w:val="right"/>
              <w:rPr>
                <w:rFonts w:hint="default" w:ascii="Segoe UI" w:hAnsi="Segoe UI" w:eastAsia="Segoe UI" w:cs="Segoe UI"/>
                <w:b w:val="0"/>
                <w:i w:val="0"/>
                <w:color w:val="000000"/>
                <w:sz w:val="24"/>
                <w:szCs w:val="24"/>
              </w:rPr>
            </w:pPr>
            <w:r>
              <w:rPr>
                <w:rFonts w:hint="eastAsia" w:ascii="Times New Roman" w:hAnsi="Segoe UI" w:eastAsia="微软雅黑" w:cs="Segoe UI"/>
                <w:b w:val="0"/>
                <w:i w:val="0"/>
                <w:color w:val="000000"/>
                <w:kern w:val="0"/>
                <w:sz w:val="24"/>
                <w:szCs w:val="24"/>
                <w:lang w:val="en-US" w:eastAsia="zh-CN" w:bidi="ar"/>
              </w:rPr>
              <w:t>—</w:t>
            </w:r>
          </w:p>
        </w:tc>
      </w:tr>
    </w:tbl>
    <w:p w14:paraId="28E2041C">
      <w:pPr>
        <w:pStyle w:val="5"/>
        <w:keepNext w:val="0"/>
        <w:keepLines w:val="0"/>
        <w:widowControl/>
        <w:suppressLineNumbers w:val="0"/>
        <w:spacing w:beforeAutospacing="0" w:afterAutospacing="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표 2 설명:</w:t>
      </w:r>
    </w:p>
    <w:p w14:paraId="62C9BD6D">
      <w:pPr>
        <w:pStyle w:val="5"/>
        <w:keepNext w:val="0"/>
        <w:keepLines w:val="0"/>
        <w:widowControl/>
        <w:suppressLineNumbers w:val="0"/>
        <w:spacing w:beforeAutospacing="0" w:afterAutospacing="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표는 각 시스템이 로그 등록 지연, 보안성 및 검증 정확도 측면에서의 비교 결과를 보여줍니다. 블록체인 하이브리드 시스템은 등록 지연 시간이 가장 길지만, 위조 탐지율은 약 99%에 달하며 감사 추적의 일관성도 매우 높아 기존의 중앙집중형 또는 해시 기반 비블록체인 방식보다 훨씬 우수합니다. 이는 블록체인을 도입함으로써 로그의 무결성이 향상될 뿐만 아니라 다중 노드 환경에서도 감사 일관성이 확보된다는 것을 의미하며, 본 연구가 보안성과 신뢰성 측면에서 가지는 독특한 가치를 입증합니다.</w:t>
      </w:r>
    </w:p>
    <w:p w14:paraId="610A7C39">
      <w:pPr>
        <w:pStyle w:val="3"/>
        <w:keepNext w:val="0"/>
        <w:keepLines w:val="0"/>
        <w:widowControl/>
        <w:suppressLineNumbers w:val="0"/>
        <w:spacing w:beforeAutospacing="0" w:afterAutospacing="0"/>
        <w:ind w:left="0" w:firstLine="0"/>
        <w:rPr>
          <w:rFonts w:hint="eastAsia" w:eastAsia="宋体"/>
          <w:b w:val="0"/>
          <w:bCs w:val="0"/>
          <w:sz w:val="24"/>
          <w:szCs w:val="24"/>
          <w:lang w:eastAsia="zh-CN"/>
        </w:rPr>
      </w:pPr>
      <w:r>
        <w:rPr>
          <w:rFonts w:hint="eastAsia" w:ascii="Times New Roman" w:hAnsi="宋体" w:eastAsia="微软雅黑" w:cs="宋体"/>
          <w:b w:val="0"/>
          <w:bCs w:val="0"/>
          <w:kern w:val="0"/>
          <w:sz w:val="24"/>
          <w:szCs w:val="24"/>
          <w:lang w:val="en-US" w:eastAsia="zh-CN" w:bidi="ar"/>
        </w:rPr>
        <w:t>3. 주요 그래픽의 구성</w:t>
      </w:r>
    </w:p>
    <w:p w14:paraId="7E2971C2">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그림 1. 각 시스템의 평균 응답 지연 시간 비교도</w:t>
      </w:r>
    </w:p>
    <w:p w14:paraId="77C6C38E">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그래프 유형: 막대차트</w:t>
      </w:r>
    </w:p>
    <w:p w14:paraId="5091537F">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X축: 시스템 유형(단일 지능체, 순수 분산형, 하이브리드 제어)</w:t>
      </w:r>
    </w:p>
    <w:p w14:paraId="12C1ED01">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Y축: 평균 응답 지연 시간 (ms)</w:t>
      </w:r>
    </w:p>
    <w:p w14:paraId="6FF0B495">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핵심 정보: 그림은 다양한 시스템 유형별 평균 응답 지연 시간을 보여줍니다. 하이브리드 제어 시스템의 지연 시간이 가장 길지만, 이는 주로 블록체인 검증 프로세스와 하이브리드 통신 메커니즘에서 발생하며, 이러한 지연은 로그의 완전성과 감사 추적성을 강화하기 위해 추가된 것입니다. 지연 시간이 증가했음에도 불구하고 시스템은 중소규모 작업에서도 안정적으로 실행되며, 성능과 보안성 사이의 적절한 균형을 실현하고 있습니다.</w:t>
      </w:r>
    </w:p>
    <w:p w14:paraId="40A588AC">
      <w:pPr>
        <w:pStyle w:val="3"/>
        <w:keepNext w:val="0"/>
        <w:keepLines w:val="0"/>
        <w:widowControl/>
        <w:suppressLineNumbers w:val="0"/>
        <w:spacing w:beforeAutospacing="0" w:afterAutospacing="0"/>
        <w:ind w:left="0" w:firstLine="0"/>
        <w:rPr>
          <w:b w:val="0"/>
          <w:bCs w:val="0"/>
          <w:sz w:val="24"/>
          <w:szCs w:val="24"/>
        </w:rPr>
      </w:pPr>
    </w:p>
    <w:p w14:paraId="5F3AC7AD">
      <w:pPr>
        <w:pStyle w:val="3"/>
        <w:keepNext w:val="0"/>
        <w:keepLines w:val="0"/>
        <w:widowControl/>
        <w:suppressLineNumbers w:val="0"/>
        <w:spacing w:beforeAutospacing="0" w:afterAutospacing="0"/>
        <w:ind w:left="0" w:firstLine="0"/>
        <w:rPr>
          <w:rFonts w:hint="eastAsia" w:eastAsia="宋体"/>
          <w:b w:val="0"/>
          <w:bCs w:val="0"/>
          <w:sz w:val="24"/>
          <w:szCs w:val="24"/>
          <w:lang w:eastAsia="zh-CN"/>
        </w:rPr>
      </w:pPr>
      <w:r>
        <w:rPr>
          <w:rFonts w:hint="eastAsia" w:ascii="Times New Roman" w:hAnsi="宋体" w:eastAsia="微软雅黑" w:cs="宋体"/>
          <w:b w:val="0"/>
          <w:bCs w:val="0"/>
          <w:kern w:val="0"/>
          <w:sz w:val="24"/>
          <w:szCs w:val="24"/>
          <w:lang w:val="en-US" w:eastAsia="zh-CN" w:bidi="ar"/>
        </w:rPr>
        <w:t>4. 표 설명 초안</w:t>
      </w:r>
    </w:p>
    <w:p w14:paraId="1C327FAE">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표의 목적: 핵심 성능 지표를 통해 다양한 시스템의 장점과 단점을 보여주고, 하이브리드 시스템이 작업 완료율, 시스템 안정성 및 보안성 측면에서 가지는 종합적인 이점을 강조하는 것입니다.</w:t>
      </w:r>
    </w:p>
    <w:p w14:paraId="043FB1B6">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조직 방식: 시스템 유형별로 그룹화되며, 각 열에는 작업 완료율, 평균 응답 지연 시간, TPS, 시스템 안정성, 위조 탐지율 및 감사 일관성과 같은 핵심 지표가 표시됩니다.</w:t>
      </w:r>
    </w:p>
    <w:p w14:paraId="3284B8C4">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주요 정보: 혼합 시스템은 작업 완료율, 위조 탐지율 및 감사 추적 일관성 측면에서 뛰어난 성능을 보였으며, 지연 시간과 TPS의 감소는 성능과 보안 간의 타협 관계를 나타냅니다.</w:t>
      </w:r>
    </w:p>
    <w:p w14:paraId="5AB6428E">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연구의 의미: 이 표는 성능 데이터를 반영할 뿐만 아니라, 혼합 제어 전략과 블록체인 메커니즘이 복잡한 작업에서 시스템의 신뢰성을 어떻게 보장하는지를 설명하고 있다.</w:t>
      </w:r>
    </w:p>
    <w:p w14:paraId="7751DC1E">
      <w:pPr>
        <w:keepNext w:val="0"/>
        <w:keepLines w:val="0"/>
        <w:widowControl/>
        <w:suppressLineNumbers w:val="0"/>
        <w:rPr>
          <w:b w:val="0"/>
          <w:bCs w:val="0"/>
          <w:sz w:val="24"/>
          <w:szCs w:val="24"/>
        </w:rPr>
      </w:pPr>
    </w:p>
    <w:p w14:paraId="20606450">
      <w:pPr>
        <w:pStyle w:val="3"/>
        <w:keepNext w:val="0"/>
        <w:keepLines w:val="0"/>
        <w:widowControl/>
        <w:suppressLineNumbers w:val="0"/>
        <w:spacing w:beforeAutospacing="0" w:afterAutospacing="0"/>
        <w:rPr>
          <w:rFonts w:hint="eastAsia" w:eastAsia="宋体"/>
          <w:b w:val="0"/>
          <w:bCs w:val="0"/>
          <w:sz w:val="24"/>
          <w:szCs w:val="24"/>
          <w:lang w:eastAsia="zh-CN"/>
        </w:rPr>
      </w:pPr>
      <w:r>
        <w:rPr>
          <w:rFonts w:hint="eastAsia" w:ascii="Times New Roman" w:hAnsi="宋体" w:eastAsia="微软雅黑" w:cs="宋体"/>
          <w:b w:val="0"/>
          <w:bCs w:val="0"/>
          <w:kern w:val="0"/>
          <w:sz w:val="24"/>
          <w:szCs w:val="24"/>
          <w:lang w:val="en-US" w:eastAsia="zh-CN" w:bidi="ar"/>
        </w:rPr>
        <w:t>5. 이미지 설명 초안</w:t>
      </w:r>
    </w:p>
    <w:p w14:paraId="7BC0B948">
      <w:pPr>
        <w:pStyle w:val="5"/>
        <w:keepNext w:val="0"/>
        <w:keepLines w:val="0"/>
        <w:widowControl/>
        <w:suppressLineNumbers w:val="0"/>
        <w:spacing w:beforeAutospacing="0" w:afterAutospacing="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그림 1은 다양한 시스템 유형 간 평균 응답 지연 시간의 차이를 보여줍니다. 단일 에이전트 시스템의 지연 시간이 가장 짧으며, 순수 분산형 시스템이 중간 수준을 보이고, 하이브리드 제어 시스템의 지연 시간이 가장 길습니다. 하이브리드 시스템의 지연 증가는 블록체인 거래 확인 및 분산 통신 비용 때문이지만, 작업 완료율과 보안성은 현저히 향상되어 시스템이 성능과 보안성 사이에서 적절한 타협을 이루고 있음을 나타냅니다.</w:t>
      </w:r>
    </w:p>
    <w:p w14:paraId="6BFF9757">
      <w:pPr>
        <w:pStyle w:val="3"/>
        <w:keepNext w:val="0"/>
        <w:keepLines w:val="0"/>
        <w:widowControl/>
        <w:suppressLineNumbers w:val="0"/>
        <w:spacing w:beforeAutospacing="0" w:afterAutospacing="0"/>
        <w:rPr>
          <w:b w:val="0"/>
          <w:bCs w:val="0"/>
          <w:sz w:val="24"/>
          <w:szCs w:val="24"/>
        </w:rPr>
      </w:pPr>
    </w:p>
    <w:p w14:paraId="1B1FFBEE">
      <w:pPr>
        <w:pStyle w:val="3"/>
        <w:keepNext w:val="0"/>
        <w:keepLines w:val="0"/>
        <w:widowControl/>
        <w:suppressLineNumbers w:val="0"/>
        <w:spacing w:beforeAutospacing="0" w:afterAutospacing="0"/>
        <w:rPr>
          <w:rFonts w:hint="eastAsia" w:eastAsia="宋体"/>
          <w:b w:val="0"/>
          <w:bCs w:val="0"/>
          <w:sz w:val="24"/>
          <w:szCs w:val="24"/>
          <w:lang w:eastAsia="zh-CN"/>
        </w:rPr>
      </w:pPr>
      <w:r>
        <w:rPr>
          <w:rFonts w:hint="eastAsia" w:ascii="Times New Roman" w:hAnsi="宋体" w:eastAsia="微软雅黑" w:cs="宋体"/>
          <w:b w:val="0"/>
          <w:bCs w:val="0"/>
          <w:kern w:val="0"/>
          <w:sz w:val="24"/>
          <w:szCs w:val="24"/>
          <w:lang w:val="en-US" w:eastAsia="zh-CN" w:bidi="ar"/>
        </w:rPr>
        <w:t>6. 결과 해석 단락 초안</w:t>
      </w:r>
    </w:p>
    <w:p w14:paraId="46751372">
      <w:pPr>
        <w:pStyle w:val="5"/>
        <w:keepNext w:val="0"/>
        <w:keepLines w:val="0"/>
        <w:widowControl/>
        <w:suppressLineNumbers w:val="0"/>
        <w:spacing w:beforeAutospacing="0" w:afterAutospacing="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실험 결과에 따르면, 혼합 분산형 다중 지능체 시스템은 작업 완료율과 시스템 안정성 측면에서 단일 지능체 시스템 및 순수 분산형 시스템보다 현저히 우수하다. 이는 다중 지능체 협업 전략이 복잡한 작업의 실행 효율성과 시스템의 견고성을 효과적으로 향상시켰음을 보여준다. 평균 응답 지연 증가는 주로 블록체인 거래 검증, 혼합 통신 메커니즘, 그리고 분산형 조정 비용에서 기인하지만, 이러한 비용은 로그의 불변성, 감사 추적 가능성, 시스템 보안을 확보하는 데 기여한다. 블록체인 혼합 시스템의 위조 탐지율은 약 99%에 달하며, 감사 추적 결과도 매우 일관되어 시스템이 로그의 완전성과 보안성 측면에서 독특한 장점을 갖추고 있음을 나타낸다. 이 결과는 연구 가설 H1, H2, H4, H5를 뒷받침하며, 다중 노드 이질 네트워크 환경에서도 혼합 시스템이 안정적이고 신뢰성 있게 운영될 수 있음을 입증한다.</w:t>
      </w:r>
    </w:p>
    <w:p w14:paraId="1D4B4E9A">
      <w:pPr>
        <w:pStyle w:val="5"/>
        <w:keepNext w:val="0"/>
        <w:keepLines w:val="0"/>
        <w:widowControl/>
        <w:suppressLineNumbers w:val="0"/>
        <w:spacing w:beforeAutospacing="0" w:afterAutospacing="0"/>
        <w:rPr>
          <w:b w:val="0"/>
          <w:bCs w:val="0"/>
          <w:sz w:val="24"/>
          <w:szCs w:val="24"/>
        </w:rPr>
      </w:pPr>
    </w:p>
    <w:p w14:paraId="1C27794E">
      <w:pPr>
        <w:pStyle w:val="3"/>
        <w:keepNext w:val="0"/>
        <w:keepLines w:val="0"/>
        <w:widowControl/>
        <w:suppressLineNumbers w:val="0"/>
        <w:spacing w:beforeAutospacing="0" w:afterAutospacing="0"/>
        <w:ind w:left="0" w:firstLine="0"/>
        <w:rPr>
          <w:rFonts w:hint="eastAsia" w:eastAsia="宋体"/>
          <w:b w:val="0"/>
          <w:bCs w:val="0"/>
          <w:sz w:val="24"/>
          <w:szCs w:val="24"/>
          <w:lang w:eastAsia="zh-CN"/>
        </w:rPr>
      </w:pPr>
      <w:r>
        <w:rPr>
          <w:rFonts w:hint="eastAsia" w:ascii="Times New Roman" w:hAnsi="宋体" w:eastAsia="微软雅黑" w:cs="宋体"/>
          <w:b w:val="0"/>
          <w:bCs w:val="0"/>
          <w:kern w:val="0"/>
          <w:sz w:val="24"/>
          <w:szCs w:val="24"/>
          <w:lang w:val="en-US" w:eastAsia="zh-CN" w:bidi="ar"/>
        </w:rPr>
        <w:t>7. 결과가 예상과 다르면 해석의 방향</w:t>
      </w:r>
    </w:p>
    <w:p w14:paraId="5F8ACA5F">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1. 기술적 원인: 하이브리드 시스템의 지연 증가는 주로 블록체인 합의 메커니즘, 거래 검증 및 분산 통신 프로세스에서 기인한다.</w:t>
      </w:r>
    </w:p>
    <w:p w14:paraId="6D5C3F20">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2. 성능과 보안 간의 타협: 성능 저하란 로그의 무결성, 감사 일관성 및 시스템 보안을 확보하기 위해 감수해야 하는 필수적인 대가입니다.</w:t>
      </w:r>
    </w:p>
    <w:p w14:paraId="52785F42">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3. 시스템의 한계: 실험 환경에서 사용된 노드 수가 제한적이므로 실제 대규모 배포 시 지연이 더욱 증가할 수 있으므로, 향후 합의 알고리즘을 최적화하거나 경량형 체인 구조를 도입하거나 혼합 통신 전략을 활용하는 것이 바람직하다.</w:t>
      </w:r>
    </w:p>
    <w:p w14:paraId="019E7F00">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4. 학술적 표현: 연구 결과는 데이터의 완전성과 보안성을 확보한 조건에서도 다중 에이전트 협업 전략이 작업 효율성을 향상시킬 수 있음을 보여주며, 본 연구가 성능, 보안성 및 확장성 측면에서 지닌 혁신적 가치를 강조한다.</w:t>
      </w:r>
    </w:p>
    <w:p w14:paraId="6DCEC5C0">
      <w:pPr>
        <w:keepNext w:val="0"/>
        <w:keepLines w:val="0"/>
        <w:widowControl/>
        <w:suppressLineNumbers w:val="0"/>
        <w:spacing w:beforeAutospacing="0" w:afterAutospacing="0"/>
        <w:ind w:left="0" w:firstLine="0"/>
        <w:rPr>
          <w:b w:val="0"/>
          <w:bCs w:val="0"/>
          <w:sz w:val="24"/>
          <w:szCs w:val="24"/>
        </w:rPr>
      </w:pPr>
    </w:p>
    <w:p w14:paraId="393FB63C">
      <w:pPr>
        <w:pStyle w:val="3"/>
        <w:keepNext w:val="0"/>
        <w:keepLines w:val="0"/>
        <w:widowControl/>
        <w:suppressLineNumbers w:val="0"/>
        <w:spacing w:beforeAutospacing="0" w:afterAutospacing="0"/>
        <w:ind w:left="0" w:firstLine="0"/>
        <w:rPr>
          <w:rFonts w:hint="eastAsia" w:eastAsia="宋体"/>
          <w:b w:val="0"/>
          <w:bCs w:val="0"/>
          <w:sz w:val="24"/>
          <w:szCs w:val="24"/>
          <w:lang w:eastAsia="zh-CN"/>
        </w:rPr>
      </w:pPr>
      <w:r>
        <w:rPr>
          <w:rFonts w:hint="eastAsia" w:ascii="Times New Roman" w:hAnsi="宋体" w:eastAsia="微软雅黑" w:cs="宋体"/>
          <w:b w:val="0"/>
          <w:bCs w:val="0"/>
          <w:kern w:val="0"/>
          <w:sz w:val="24"/>
          <w:szCs w:val="24"/>
          <w:lang w:val="en-US" w:eastAsia="zh-CN" w:bidi="ar"/>
        </w:rPr>
        <w:t>8. 종합 분석 단락 초안</w:t>
      </w:r>
    </w:p>
    <w:p w14:paraId="2C9AC2ED">
      <w:pPr>
        <w:pStyle w:val="5"/>
        <w:keepNext w:val="0"/>
        <w:keepLines w:val="0"/>
        <w:widowControl/>
        <w:suppressLineNumbers w:val="0"/>
        <w:spacing w:beforeAutospacing="0" w:afterAutospacing="0"/>
        <w:ind w:left="0" w:firstLine="0"/>
        <w:rPr>
          <w:rFonts w:hint="eastAsia" w:eastAsiaTheme="minorEastAsia"/>
          <w:b w:val="0"/>
          <w:bCs w:val="0"/>
          <w:sz w:val="24"/>
          <w:szCs w:val="24"/>
          <w:lang w:eastAsia="zh-CN"/>
        </w:rPr>
      </w:pPr>
      <w:r>
        <w:rPr>
          <w:rFonts w:hint="eastAsia" w:ascii="Times New Roman" w:eastAsia="微软雅黑" w:hAnsiTheme="minorHAnsi" w:cstheme="minorBidi"/>
          <w:b w:val="0"/>
          <w:bCs w:val="0"/>
          <w:kern w:val="0"/>
          <w:sz w:val="24"/>
          <w:szCs w:val="24"/>
          <w:lang w:val="en-US" w:eastAsia="zh-CN" w:bidi="ar"/>
        </w:rPr>
        <w:t>종합적인 실험 결과에 따르면, 혼합 분산형 다중 지능체 제어 시스템은 작업 완료율, 시스템 안정성 및 보안성 모두에서 뚜렷한 우위를 보였다. 블록체인과 혼합 통신 메커니즘을 도입함에 따라 응답 지연이 약간 증가했으나, 로그의 완전성, 감사 추적 및 위조 탐지 기능을 제공하여 성능과 보안 간 균형을 충분히 달성했다. 이 시스템은 고부하, 다중 작업 및 이질 노드 환경에서도 안정적으로 운영되며, 복잡한 제어 과제에서 다중 지능체 협업의 효과성을 입증하였다. 향후 합의 메커니즘을 더욱 최적화하고 통신 부하를 줄이며, 경량형 분산 검증 방법을 탐색함으로써 보안성을 유지하면서 시스템 성능을 향상시킬 수 있을 것이다. 실험 결과는 연구 가설을 검증하였으며, 본 연구가 혼합 분산 제어 및 블록체인 보안 응용 분야에서 기여한 독특한 성과를 명확히 보여주고 있다.</w:t>
      </w:r>
    </w:p>
    <w:p w14:paraId="564E591A">
      <w:pPr>
        <w:keepNext w:val="0"/>
        <w:keepLines w:val="0"/>
        <w:widowControl/>
        <w:suppressLineNumbers w:val="0"/>
        <w:rPr>
          <w:b w:val="0"/>
          <w:bCs w:val="0"/>
          <w:sz w:val="24"/>
          <w:szCs w:val="24"/>
        </w:rPr>
      </w:pPr>
    </w:p>
    <w:p w14:paraId="35BBF7C8">
      <w:pPr>
        <w:rPr>
          <w:b w:val="0"/>
          <w:bCs w:val="0"/>
          <w:sz w:val="24"/>
          <w:szCs w:val="24"/>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egoe UI">
    <w:panose1 w:val="020B0502040204020203"/>
    <w:charset w:val="00"/>
    <w:family w:val="auto"/>
    <w:pitch w:val="default"/>
    <w:sig w:usb0="E4002EFF" w:usb1="C000E47F"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NotDisplayPageBoundaries w:val="1"/>
  <w:embedSystemFonts/>
  <w:bordersDoNotSurroundHeader w:val="0"/>
  <w:bordersDoNotSurroundFooter w:val="0"/>
  <w:documentProtection w:edit="readOnly"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20650CA"/>
    <w:rsid w:val="01BB5A85"/>
    <w:rsid w:val="020650CA"/>
    <w:rsid w:val="02F96864"/>
    <w:rsid w:val="03800D34"/>
    <w:rsid w:val="080F08D8"/>
    <w:rsid w:val="092959CA"/>
    <w:rsid w:val="0A285C81"/>
    <w:rsid w:val="0A894972"/>
    <w:rsid w:val="0E4D3F08"/>
    <w:rsid w:val="10FE773C"/>
    <w:rsid w:val="11F34DC7"/>
    <w:rsid w:val="140908D1"/>
    <w:rsid w:val="15BF56EC"/>
    <w:rsid w:val="1CD53A47"/>
    <w:rsid w:val="1E472722"/>
    <w:rsid w:val="225E628C"/>
    <w:rsid w:val="23137077"/>
    <w:rsid w:val="236478D2"/>
    <w:rsid w:val="23D5257E"/>
    <w:rsid w:val="2593449F"/>
    <w:rsid w:val="269B185D"/>
    <w:rsid w:val="28333D17"/>
    <w:rsid w:val="2B05199B"/>
    <w:rsid w:val="2E905A1F"/>
    <w:rsid w:val="35AB1391"/>
    <w:rsid w:val="38327B47"/>
    <w:rsid w:val="38564DA4"/>
    <w:rsid w:val="3A3F654C"/>
    <w:rsid w:val="3B7346FF"/>
    <w:rsid w:val="3B936B4F"/>
    <w:rsid w:val="3F6031EC"/>
    <w:rsid w:val="40DC4AF4"/>
    <w:rsid w:val="41670862"/>
    <w:rsid w:val="444035EC"/>
    <w:rsid w:val="44B02520"/>
    <w:rsid w:val="45592BB7"/>
    <w:rsid w:val="471D4219"/>
    <w:rsid w:val="4B4734B2"/>
    <w:rsid w:val="4BD3458E"/>
    <w:rsid w:val="4EBB21ED"/>
    <w:rsid w:val="4FD73056"/>
    <w:rsid w:val="50AA2519"/>
    <w:rsid w:val="510D2AA8"/>
    <w:rsid w:val="54DA7145"/>
    <w:rsid w:val="59CD7278"/>
    <w:rsid w:val="5C9127DF"/>
    <w:rsid w:val="5CFD7E74"/>
    <w:rsid w:val="5FC8476A"/>
    <w:rsid w:val="5FCF5AF8"/>
    <w:rsid w:val="628726BA"/>
    <w:rsid w:val="63950E07"/>
    <w:rsid w:val="66807B4C"/>
    <w:rsid w:val="671D35ED"/>
    <w:rsid w:val="673913EE"/>
    <w:rsid w:val="68B7181F"/>
    <w:rsid w:val="69B55D5F"/>
    <w:rsid w:val="6A696B49"/>
    <w:rsid w:val="6B833C3B"/>
    <w:rsid w:val="6EC32CCC"/>
    <w:rsid w:val="72FC67AC"/>
    <w:rsid w:val="742835D1"/>
    <w:rsid w:val="76AA4771"/>
    <w:rsid w:val="77CB2BF1"/>
    <w:rsid w:val="7D6E64F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7">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Normal (Web)"/>
    <w:basedOn w:val="1"/>
    <w:uiPriority w:val="0"/>
    <w:pPr>
      <w:spacing w:before="0" w:beforeAutospacing="1" w:after="0" w:afterAutospacing="1"/>
      <w:ind w:left="0" w:right="0"/>
      <w:jc w:val="left"/>
    </w:pPr>
    <w:rPr>
      <w:kern w:val="0"/>
      <w:sz w:val="24"/>
      <w:lang w:val="en-US" w:eastAsia="zh-CN" w:bidi="ar"/>
    </w:rPr>
  </w:style>
  <w:style w:type="character" w:styleId="8">
    <w:name w:val="Strong"/>
    <w:basedOn w:val="7"/>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2266</Words>
  <Characters>2373</Characters>
  <Lines>0</Lines>
  <Paragraphs>0</Paragraphs>
  <TotalTime>5</TotalTime>
  <ScaleCrop>false</ScaleCrop>
  <LinksUpToDate>false</LinksUpToDate>
  <CharactersWithSpaces>2408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2026-05-15T05:52:00Z</dcterms:created>
  <dc:creator>user</dc:creator>
  <cp:lastModifiedBy>三吋时光</cp:lastModifiedBy>
  <dcterms:modified xsi:type="dcterms:W3CDTF">2026-05-21T13:58:03Z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8C34FEBD9B094A22965DB37163A6A50F_13</vt:lpwstr>
  </property>
  <property fmtid="{D5CDD505-2E9C-101B-9397-08002B2CF9AE}" pid="4" name="KSOTemplateDocerSaveRecord">
    <vt:lpwstr>eyJoZGlkIjoiNDE0MWQ3NTUyYzQ1MGYyYzBmMDVjMTMwNTQ5NzAzODYiLCJ1c2VySWQiOiIxMTczNzcyMDA4In0=</vt:lpwstr>
  </property>
</Properties>
</file>