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5jm1x6qv5ibx" w:id="0"/>
      <w:bookmarkEnd w:id="0"/>
      <w:r w:rsidDel="00000000" w:rsidR="00000000" w:rsidRPr="00000000">
        <w:rPr>
          <w:rtl w:val="0"/>
        </w:rPr>
        <w:t xml:space="preserve">From Semantic Foundations to AI Applications</w:t>
      </w:r>
    </w:p>
    <w:p w:rsidR="00000000" w:rsidDel="00000000" w:rsidP="00000000" w:rsidRDefault="00000000" w:rsidRPr="00000000" w14:paraId="00000002">
      <w:pPr>
        <w:pStyle w:val="Heading4"/>
        <w:rPr/>
      </w:pPr>
      <w:bookmarkStart w:colFirst="0" w:colLast="0" w:name="_4lplub5gsizq" w:id="1"/>
      <w:bookmarkEnd w:id="1"/>
      <w:r w:rsidDel="00000000" w:rsidR="00000000" w:rsidRPr="00000000">
        <w:rPr>
          <w:rtl w:val="0"/>
        </w:rPr>
        <w:t xml:space="preserve">Session 3 (DBpedia)</w:t>
      </w:r>
    </w:p>
    <w:p w:rsidR="00000000" w:rsidDel="00000000" w:rsidP="00000000" w:rsidRDefault="00000000" w:rsidRPr="00000000" w14:paraId="00000003">
      <w:pPr>
        <w:pStyle w:val="Heading4"/>
        <w:rPr/>
      </w:pPr>
      <w:bookmarkStart w:colFirst="0" w:colLast="0" w:name="_iqgpmgio3jlg" w:id="2"/>
      <w:bookmarkEnd w:id="2"/>
      <w:r w:rsidDel="00000000" w:rsidR="00000000" w:rsidRPr="00000000">
        <w:rPr>
          <w:rtl w:val="0"/>
        </w:rPr>
        <w:t xml:space="preserve">Time: September 15, 2026 - 12:40 - 14:10</w:t>
      </w:r>
    </w:p>
    <w:p w:rsidR="00000000" w:rsidDel="00000000" w:rsidP="00000000" w:rsidRDefault="00000000" w:rsidRPr="00000000" w14:paraId="00000004">
      <w:pPr>
        <w:pStyle w:val="Heading4"/>
        <w:rPr/>
      </w:pPr>
      <w:bookmarkStart w:colFirst="0" w:colLast="0" w:name="_jiee84fbylgq" w:id="3"/>
      <w:bookmarkEnd w:id="3"/>
      <w:r w:rsidDel="00000000" w:rsidR="00000000" w:rsidRPr="00000000">
        <w:rPr>
          <w:rtl w:val="0"/>
        </w:rPr>
        <w:t xml:space="preserve">Chair: Sebastian Hellmann</w:t>
      </w:r>
    </w:p>
    <w:p w:rsidR="00000000" w:rsidDel="00000000" w:rsidP="00000000" w:rsidRDefault="00000000" w:rsidRPr="00000000" w14:paraId="00000005">
      <w:pPr>
        <w:pStyle w:val="Heading2"/>
        <w:rPr/>
      </w:pPr>
      <w:bookmarkStart w:colFirst="0" w:colLast="0" w:name="_mwc3usf3zci4" w:id="4"/>
      <w:bookmarkEnd w:id="4"/>
      <w:r w:rsidDel="00000000" w:rsidR="00000000" w:rsidRPr="00000000">
        <w:rPr>
          <w:rtl w:val="0"/>
        </w:rPr>
      </w:r>
    </w:p>
    <w:p w:rsidR="00000000" w:rsidDel="00000000" w:rsidP="00000000" w:rsidRDefault="00000000" w:rsidRPr="00000000" w14:paraId="00000006">
      <w:pPr>
        <w:pStyle w:val="Heading2"/>
        <w:rPr/>
      </w:pPr>
      <w:bookmarkStart w:colFirst="0" w:colLast="0" w:name="_py23gkknmdqd" w:id="5"/>
      <w:bookmarkEnd w:id="5"/>
      <w:r w:rsidDel="00000000" w:rsidR="00000000" w:rsidRPr="00000000">
        <w:rPr>
          <w:rtl w:val="0"/>
        </w:rPr>
        <w:t xml:space="preserve">Talks</w:t>
      </w:r>
    </w:p>
    <w:p w:rsidR="00000000" w:rsidDel="00000000" w:rsidP="00000000" w:rsidRDefault="00000000" w:rsidRPr="00000000" w14:paraId="00000007">
      <w:pPr>
        <w:pStyle w:val="Heading2"/>
        <w:spacing w:after="80" w:lineRule="auto"/>
        <w:rPr>
          <w:b w:val="1"/>
          <w:bCs w:val="1"/>
          <w:sz w:val="34"/>
          <w:szCs w:val="34"/>
        </w:rPr>
      </w:pPr>
      <w:bookmarkStart w:colFirst="0" w:colLast="0" w:name="_ory29cro1z7" w:id="6"/>
      <w:bookmarkEnd w:id="6"/>
      <w:r w:rsidDel="00000000" w:rsidR="00000000" w:rsidRPr="00000000">
        <w:rPr>
          <w:b w:val="1"/>
          <w:bCs w:val="1"/>
          <w:sz w:val="34"/>
          <w:szCs w:val="34"/>
          <w:rtl w:val="0"/>
        </w:rPr>
        <w:t xml:space="preserve">TBA</w:t>
      </w:r>
    </w:p>
    <w:p w:rsidR="00000000" w:rsidDel="00000000" w:rsidP="00000000" w:rsidRDefault="00000000" w:rsidRPr="00000000" w14:paraId="00000008">
      <w:pPr>
        <w:rPr/>
      </w:pPr>
      <w:r w:rsidDel="00000000" w:rsidR="00000000" w:rsidRPr="00000000">
        <w:rPr>
          <w:b w:val="1"/>
          <w:bCs w:val="1"/>
          <w:rtl w:val="0"/>
        </w:rPr>
        <w:t xml:space="preserve">Abstract: </w:t>
      </w:r>
      <w:r w:rsidDel="00000000" w:rsidR="00000000" w:rsidRPr="00000000">
        <w:rPr>
          <w:rtl w:val="0"/>
        </w:rPr>
        <w:t xml:space="preserve">TBA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Speaker: </w:t>
      </w:r>
      <w:r w:rsidDel="00000000" w:rsidR="00000000" w:rsidRPr="00000000">
        <w:rPr>
          <w:rtl w:val="0"/>
        </w:rPr>
        <w:t xml:space="preserve">Ricardo Alonso Maturana, GNOSS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34"/>
          <w:szCs w:val="34"/>
        </w:rPr>
      </w:pPr>
      <w:r w:rsidDel="00000000" w:rsidR="00000000" w:rsidRPr="00000000">
        <w:rPr>
          <w:b w:val="1"/>
          <w:bCs w:val="1"/>
          <w:sz w:val="34"/>
          <w:szCs w:val="34"/>
          <w:rtl w:val="0"/>
        </w:rPr>
        <w:t xml:space="preserve">Classifying Classes in Wikidata</w:t>
      </w:r>
    </w:p>
    <w:p w:rsidR="00000000" w:rsidDel="00000000" w:rsidP="00000000" w:rsidRDefault="00000000" w:rsidRPr="00000000" w14:paraId="0000000D">
      <w:pPr>
        <w:rPr/>
      </w:pPr>
      <w:r w:rsidDel="00000000" w:rsidR="00000000" w:rsidRPr="00000000">
        <w:rPr>
          <w:b w:val="1"/>
          <w:bCs w:val="1"/>
          <w:rtl w:val="0"/>
        </w:rPr>
        <w:t xml:space="preserve">Abstract: </w:t>
      </w:r>
      <w:r w:rsidDel="00000000" w:rsidR="00000000" w:rsidRPr="00000000">
        <w:rPr>
          <w:rtl w:val="0"/>
        </w:rPr>
        <w:t xml:space="preserve">In Wikidata there are many classes but many of them do not have direct instances. For example, builder is a class in Wikidata, yet everyone who is a builder is typed only as human and has occupation builder.  This is a representational choice in Wikidata.  Wikidata has many instances of human, which are also instances of organism, but no human is directly marked as an instance of organism.  There is no fundamental reason to not allow direct instances of organization, but in Wikidata human is the "appropriate" class for humans. The question then becomes: how can these choices be maintained at the scale of Wikidata, particularly with the many editors of Wikidata.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One distinction that helps is sortality. Human, tree, and astronomical object type are sortal concepts. These classes individuate and supply identity criteria. Jazz, red, and happiness are not sortal. There are no things that are instances of them.  Wikidata offers no built-in way to mark this difference, but the distribution of direct instance assertions provides empirical signal.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Within sortal classes, a second distinction matters: not every sortal is the "right" sortal for typing. Organism is too generic to be informative, male builder is too specific and, perhaps more importantly, non-rigid. The Wikidata community has converged on a preferred level of granularity, and we can see this choice in the density of direct instance assertions.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propose a six-way categorisation of entities with respect to direct instance usage: individuals, appropriate classes, too-vague classes, too-specific classes, appropriate classes with no typed instances, and non-sortal classes that stand outside this dynamic entirely. We use intensional assumptions that are supported by what the classes "mean" to distinguish these categories. The result can be used to detect class-ordering problems and formalise the "appropriate class" modeling pattern.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Speaker: </w:t>
      </w:r>
      <w:r w:rsidDel="00000000" w:rsidR="00000000" w:rsidRPr="00000000">
        <w:rPr>
          <w:rtl w:val="0"/>
        </w:rPr>
        <w:t xml:space="preserve">Ege Atacan Doğan, JMU Würzburg</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spacing w:after="80" w:lineRule="auto"/>
        <w:rPr>
          <w:b w:val="1"/>
          <w:bCs w:val="1"/>
          <w:sz w:val="34"/>
          <w:szCs w:val="34"/>
        </w:rPr>
      </w:pPr>
      <w:bookmarkStart w:colFirst="0" w:colLast="0" w:name="_yftqu3acbvum" w:id="7"/>
      <w:bookmarkEnd w:id="7"/>
      <w:r w:rsidDel="00000000" w:rsidR="00000000" w:rsidRPr="00000000">
        <w:rPr>
          <w:b w:val="1"/>
          <w:bCs w:val="1"/>
          <w:sz w:val="34"/>
          <w:szCs w:val="34"/>
          <w:rtl w:val="0"/>
        </w:rPr>
        <w:t xml:space="preserve">An Explainable Hybrid GraphRAG Framework for Diabetes Risk Stratification (online)</w:t>
      </w:r>
    </w:p>
    <w:p w:rsidR="00000000" w:rsidDel="00000000" w:rsidP="00000000" w:rsidRDefault="00000000" w:rsidRPr="00000000" w14:paraId="00000019">
      <w:pPr>
        <w:rPr/>
      </w:pPr>
      <w:r w:rsidDel="00000000" w:rsidR="00000000" w:rsidRPr="00000000">
        <w:rPr>
          <w:b w:val="1"/>
          <w:bCs w:val="1"/>
          <w:rtl w:val="0"/>
        </w:rPr>
        <w:t xml:space="preserve">Abstract: </w:t>
      </w:r>
      <w:r w:rsidDel="00000000" w:rsidR="00000000" w:rsidRPr="00000000">
        <w:rPr>
          <w:rtl w:val="0"/>
        </w:rPr>
        <w:t xml:space="preserve">Large Language Models (LLMs) have significantly improved the usability of clinical decision support systems, but they still suffer from high context consumption and limited explainability when reasoning over medical data. We present an explainable Hybrid GraphRAG framework that shifts statistical reasoning from the LLM to a deterministic knowledge graph, allowing the language model to focus exclusively on generating clinician-friendly explanations. The framework combines unsupervised learning, supervised classification, Neo4j-based knowledge graphs, and LLM-based natural language generation into a unified decision-support pipeline.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system builds epidemiological knowledge from the BRFSS 2015 dataset through K-Means clustering and stores the resulting profiles in a Neo4j knowledge graph. During online inference, a new patient is assigned to the most appropriate epidemiological profile using a K-NN classifier. The corresponding statistical evidence is retrieved through Cypher queries and provided to the LLM as a compact and fully auditable context for explanation generation. Experimental results demonstrate a 97.31% reduction in LLM context size compared with a vector-based RAG baseline while eliminating numerical hallucinations in our evaluation and providing fully traceable decision evidence. The presentation will demonstrate the complete workflow of the prototype and discuss how deterministic knowledge graphs can improve transparency and trust in GraphRAG-based clinical decision support systems.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Speaker: </w:t>
      </w:r>
      <w:r w:rsidDel="00000000" w:rsidR="00000000" w:rsidRPr="00000000">
        <w:rPr>
          <w:rtl w:val="0"/>
        </w:rPr>
        <w:t xml:space="preserve">Herman Kandolo, Vietnam National University &amp; La Rochelle Université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pStyle w:val="Heading2"/>
        <w:spacing w:after="80" w:lineRule="auto"/>
        <w:rPr>
          <w:b w:val="1"/>
          <w:bCs w:val="1"/>
          <w:sz w:val="34"/>
          <w:szCs w:val="34"/>
        </w:rPr>
      </w:pPr>
      <w:bookmarkStart w:colFirst="0" w:colLast="0" w:name="_g82l9o4yqucd" w:id="8"/>
      <w:bookmarkEnd w:id="8"/>
      <w:r w:rsidDel="00000000" w:rsidR="00000000" w:rsidRPr="00000000">
        <w:rPr>
          <w:b w:val="1"/>
          <w:bCs w:val="1"/>
          <w:sz w:val="34"/>
          <w:szCs w:val="34"/>
          <w:rtl w:val="0"/>
        </w:rPr>
        <w:t xml:space="preserve">DBpedia KG Catalog</w:t>
      </w:r>
    </w:p>
    <w:p w:rsidR="00000000" w:rsidDel="00000000" w:rsidP="00000000" w:rsidRDefault="00000000" w:rsidRPr="00000000" w14:paraId="00000022">
      <w:pPr>
        <w:rPr/>
      </w:pPr>
      <w:r w:rsidDel="00000000" w:rsidR="00000000" w:rsidRPr="00000000">
        <w:rPr>
          <w:b w:val="1"/>
          <w:bCs w:val="1"/>
          <w:rtl w:val="0"/>
        </w:rPr>
        <w:t xml:space="preserve">Abstract: </w:t>
      </w:r>
      <w:r w:rsidDel="00000000" w:rsidR="00000000" w:rsidRPr="00000000">
        <w:rPr>
          <w:rtl w:val="0"/>
        </w:rPr>
        <w:t xml:space="preserve">The Knowledge Graph ecosystem is rapidly growing, but discovering, understanding, and reusing Knowledge Graphs remains challenging: Where are relevant Knowledge Graphs? What do they contain? Which versions are available, and where can the data be accessed?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talk introduces the DBpedia Knowledge Graph Catalog, an initiative for discovering, describing, and reusing Knowledge Graphs. While the Linked Open Data Cloud focuses on datasets, links, and the broader ecosystem, the KG Catalog takes a complementary perspective centred on Knowledge Graphs, their metadata, releases, and artifacts. Versioning, access, and machine-readable metadata are treated as first-class elements, enabling not only discovery but also operational reuse.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t xml:space="preserve">The talk presents the motivation and concepts behind the KG Catalog, demonstrates how Knowledge Graphs can be described and accessed through the catalog, and provides a live demonstration using real-world examples. Finally, it introduces the broader vision of building a comprehensive Knowledge Graph landscape and invites the community to contribute by cataloging Knowledge Graphs, curating metadata, and building services on top of the catalog.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Please join the KG Catalog Initiative: </w:t>
      </w:r>
      <w:hyperlink r:id="rId6">
        <w:r w:rsidDel="00000000" w:rsidR="00000000" w:rsidRPr="00000000">
          <w:rPr>
            <w:color w:val="1155cc"/>
            <w:u w:val="single"/>
            <w:rtl w:val="0"/>
          </w:rPr>
          <w:t xml:space="preserve">https://kg-catalog.dbpedia.org</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Speaker: </w:t>
      </w:r>
      <w:r w:rsidDel="00000000" w:rsidR="00000000" w:rsidRPr="00000000">
        <w:rPr>
          <w:rtl w:val="0"/>
        </w:rPr>
        <w:t xml:space="preserve">Milan Dojchinovski, InfAI/DBpedia Association, TIB, CTU Prague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g-catalog.dbpe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