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76d56bcj5hdr" w:id="0"/>
      <w:bookmarkEnd w:id="0"/>
      <w:r w:rsidDel="00000000" w:rsidR="00000000" w:rsidRPr="00000000">
        <w:rPr>
          <w:rtl w:val="0"/>
        </w:rPr>
        <w:t xml:space="preserve">Knowledge Graphs for Agentic AI</w:t>
      </w:r>
    </w:p>
    <w:p w:rsidR="00000000" w:rsidDel="00000000" w:rsidP="00000000" w:rsidRDefault="00000000" w:rsidRPr="00000000" w14:paraId="00000002">
      <w:pPr>
        <w:pStyle w:val="Heading4"/>
        <w:rPr/>
      </w:pPr>
      <w:bookmarkStart w:colFirst="0" w:colLast="0" w:name="_7ez2rxu9rzb8" w:id="1"/>
      <w:bookmarkEnd w:id="1"/>
      <w:r w:rsidDel="00000000" w:rsidR="00000000" w:rsidRPr="00000000">
        <w:rPr>
          <w:rtl w:val="0"/>
        </w:rPr>
        <w:t xml:space="preserve">Session 2.2</w:t>
      </w:r>
    </w:p>
    <w:p w:rsidR="00000000" w:rsidDel="00000000" w:rsidP="00000000" w:rsidRDefault="00000000" w:rsidRPr="00000000" w14:paraId="00000003">
      <w:pPr>
        <w:pStyle w:val="Heading4"/>
        <w:rPr/>
      </w:pPr>
      <w:bookmarkStart w:colFirst="0" w:colLast="0" w:name="_jwb2n0ri7bb7" w:id="2"/>
      <w:bookmarkEnd w:id="2"/>
      <w:r w:rsidDel="00000000" w:rsidR="00000000" w:rsidRPr="00000000">
        <w:rPr>
          <w:rtl w:val="0"/>
        </w:rPr>
        <w:t xml:space="preserve">Time: September 16, 2026 - 13:30 - 15:00</w:t>
      </w:r>
    </w:p>
    <w:p w:rsidR="00000000" w:rsidDel="00000000" w:rsidP="00000000" w:rsidRDefault="00000000" w:rsidRPr="00000000" w14:paraId="00000004">
      <w:pPr>
        <w:pStyle w:val="Heading4"/>
        <w:rPr/>
      </w:pPr>
      <w:bookmarkStart w:colFirst="0" w:colLast="0" w:name="_j2oys4qm74fg" w:id="3"/>
      <w:bookmarkEnd w:id="3"/>
      <w:r w:rsidDel="00000000" w:rsidR="00000000" w:rsidRPr="00000000">
        <w:rPr>
          <w:rtl w:val="0"/>
        </w:rPr>
        <w:t xml:space="preserve">Chair: Daniel Dobriy</w:t>
      </w:r>
    </w:p>
    <w:p w:rsidR="00000000" w:rsidDel="00000000" w:rsidP="00000000" w:rsidRDefault="00000000" w:rsidRPr="00000000" w14:paraId="00000005">
      <w:pPr>
        <w:pStyle w:val="Heading2"/>
        <w:rPr/>
      </w:pPr>
      <w:bookmarkStart w:colFirst="0" w:colLast="0" w:name="_gm5agaq6xr6q"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ppqkcpvzm7n2"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cc58mh7ae5b5" w:id="6"/>
      <w:bookmarkEnd w:id="6"/>
      <w:r w:rsidDel="00000000" w:rsidR="00000000" w:rsidRPr="00000000">
        <w:rPr>
          <w:rtl w:val="0"/>
        </w:rPr>
        <w:t xml:space="preserve">Building Enterprise Knowledge Graphs for an Agentic World [SP]</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As enterprise AI shifts from conversational models to autonomous agentic workflows, the need for deterministic, verifiable, and dynamic grounding is critical. While semantic knowledge graphs provide the symbolic backbone necessary for trust, explainability, and enterprise governance, static repositories are insufficient for high-velocity agentic loops. To support autonomous systems, knowledge graphs must evolve into active semantic execution layers that treat knowledge graphs as modular, actionable components. Moving beyond standard retrieval-augmented generation (RAG), organizations must expose semantic layers as dynamic, governable toolsets. AI agents require standardized communication protocols (like MCP) to contextually discover and interact with role-specific knowledge domains. This enables agents not just to retrieve data, but to use encapsulated logic for complex, multi-step reasoning. Crucially, empowering agents to participate in data creation and modification demands strictly governed action spaces. By establishing guardrails through shape-constrained validation, repeatable rule blocks, tightly scoped execution parameters and mandatory human in the loop, systems can ensure that agent-driven modifications yield transparent, verified changes. Adopting these actionable patterns enable agents to safely reason over, interact with, and evolve complex data ecosystems.</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Marcel Fröhlich (Eccenca)</w:t>
      </w:r>
    </w:p>
    <w:p w:rsidR="00000000" w:rsidDel="00000000" w:rsidP="00000000" w:rsidRDefault="00000000" w:rsidRPr="00000000" w14:paraId="0000000A">
      <w:pPr>
        <w:rPr>
          <w:b w:val="1"/>
          <w:bCs w:val="1"/>
        </w:rPr>
      </w:pPr>
      <w:r w:rsidDel="00000000" w:rsidR="00000000" w:rsidRPr="00000000">
        <w:rPr>
          <w:b w:val="1"/>
          <w:bCs w:val="1"/>
          <w:rtl w:val="0"/>
        </w:rPr>
        <w:t xml:space="preserve">Sponsor Talk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jkalj49slufs" w:id="7"/>
      <w:bookmarkEnd w:id="7"/>
      <w:r w:rsidDel="00000000" w:rsidR="00000000" w:rsidRPr="00000000">
        <w:rPr>
          <w:rtl w:val="0"/>
        </w:rPr>
        <w:t xml:space="preserve">Comparing Knowledge Graph Use in Large Scale Technical Documentation Projects</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Technical product documentation helps customers use the full potential of complex products. However, as release cycles shorten, variants grow and reliable data for agentic AI is required, technical documentation faces rising demands.  Knowledge graphs organize product information and connect data across enterprise silos, making them useful for technical documentation. They also offer more reliable ground truth for agentic AI than vector RAG-based document ingestion, which often has issues with multi-hop retrieval and inconsistent terminology.  From an enterprise architecture point of view, a knowledge graph platform sits like a “spider in the web” between data sources and content delivery.  We present and compare the use of knowledge graphs in different (non-joint) large-scale documentation projects. Both projects have knowledge graphs in productive use, and each project represents a difficult scenario for technical documentation: * Endress+Hauser (represented by parson): Smaller, built-to-order products for process automation with a very high number of product variants * Ericsson: Larger software products for 5G core networks with a common, highly configurable platform  The session will have the following structure: * Introduction to the projects  ** Why use knowledge graphs  ** Objectives of projects  ** Scope of the solutions * System architecture and current implementation status  ** Components  ** W3C standards vs. proprietary solutions  ** Semantic models for product structures and  information types  ** Automation of processes  ** Integration with genAI * Future use  ** Integration of chatbot for content delivery  ** Extension of documentation solution to corporate  semantic middleware and knowledge hub  ** MCP server integration  ** Use of AI agents  ** Generate smart content from legacy content * Learnings  ** How to manage the implementation project  ** How to convince stakeholders  ** Change management and changed ways of working; new  roles for technical communicators  ** How to build up knowledge in semantic modeling</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Martin Blumbach and Ulrike Parson</w:t>
      </w:r>
    </w:p>
    <w:p w:rsidR="00000000" w:rsidDel="00000000" w:rsidP="00000000" w:rsidRDefault="00000000" w:rsidRPr="00000000" w14:paraId="00000011">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oj25eyk7v0n" w:id="8"/>
      <w:bookmarkEnd w:id="8"/>
      <w:r w:rsidDel="00000000" w:rsidR="00000000" w:rsidRPr="00000000">
        <w:rPr>
          <w:rtl w:val="0"/>
        </w:rPr>
        <w:t xml:space="preserve">Knowledge Graphs and Agentic AI for Legacy System Comprehension</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Legacy mainframe systems support critical financial operations in many large institutions. However, their internal logic, spanning decades of COBOL programs, batch job chains, flat files, and data flows, is rarely documented in a form accessible to new employees. When key engineers leave, institutional knowledge leaves with them — and in regulated industries, that gap is also a compliance exposure: frameworks such as BCBS 239 require banks to understand and demonstrate how critical risk and reporting data flows end-to-end. This talk presents how DIM (Data Insights Monitor), an agentic AI platform developed at Deloitte, was applied at a large bank in the Netherlands to make its legacy batch processing system queryable by anyone and its lineage demonstrable to regulators. The structure of the legacy system — its jobs, procs, steps, programs, applications, data groups and data elements — was modeled as a knowledge graph. DIM sits on top of it, translating natural language questions into graph queries and returning answers as text, tables, or interactive lineage diagrams. A business analyst can ask “show me the data lineage path between these two jobs” or “which programs depend on this data item?” without writing a single line of code. Beyond query translation, the platform brings together two distinct bodies of knowledge — the system’s code, modeled as a knowledge graph, and its surrounding documentation (domain glossaries, operations notes, change records) — through two complementary retrieval modes: graph RAG over the structured lineage and vector RAG over the documentation corpus. A guide library encoding domain rules and terminology steers interpretation, and a self-learning pipeline captures successful patterns from each interaction and feeds them back for future use. A model routing layer selects the appropriate LLM tier per question — fast for lookups, reasoning for impact analysis — keeping cost proportional to task complexity. The talk covers how the knowledge graph was constructed, how domain expertise was encoded into the agent, what business us</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Ali Khalili, Mahmood Shafeie Zargar and Peter Schaap</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sir0p54p5ug3" w:id="9"/>
      <w:bookmarkEnd w:id="9"/>
      <w:r w:rsidDel="00000000" w:rsidR="00000000" w:rsidRPr="00000000">
        <w:rPr>
          <w:rtl w:val="0"/>
        </w:rPr>
        <w:t xml:space="preserve">ISGBot: An Agentic Multimodal Knowledge Framework for Semantic Access to the Interinstitutional Style Guide</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The Interinstitutional Style Guide (ISG) is the primary reference for drafting, editing, translating and publishing documents across the European Union institutions. While the guide contains a large body of editorial, linguistic, legal and publication knowledge, its size and complexity can make the retrieval of relevant information challenging, particularly for users unfamiliar with its structure. To address this challenge, we developed ISGBot, an agentic knowledge framework that combines multimodal retrieval, semantic technologies, reference data and Large Language Models to provide conversational access to the content of the ISG.  ISGBot integrates information from PDF documents, extracted text, tables, images, captions, metadata and structured semantic resources represented in RDF and SKOS. A multimodal semantic representation layer combines text embeddings, image embeddings and semantic relations, while concepts identified within the content are linked to authoritative reference data and controlled vocabularies from EU Vocabularies. The retrieval architecture combines BM25, dense vector retrieval using Sentence-Transformers and FAISS, cross-encoder reranking, and RDF/SKOS graph navigation.  Unlike traditional Retrieval-Augmented Generation approaches, ISGBot employs an agentic retrieval loop in which Large Language Models assess context sufficiency, reformulate queries, consolidate evidence and generate grounded responses. The prototype was developed and validated in close collaboration with the ISG team of the Publications Office of the European Union, whose feedback was used to evaluate and refine the system. The resulting framework demonstrates how multimodal retrieval, semantic technologies and agentic AI can be combined to provide evidence-based access to complex organisational knowledge resources.</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Giorgos Filandrianos, Vassilis Tzouvaras, Giorgos Stamou</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