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k16rs6nm7gri" w:id="0"/>
      <w:bookmarkEnd w:id="0"/>
      <w:r w:rsidDel="00000000" w:rsidR="00000000" w:rsidRPr="00000000">
        <w:rPr>
          <w:rtl w:val="0"/>
        </w:rPr>
        <w:t xml:space="preserve">Machine Learning for Knowledge Graphs</w:t>
      </w:r>
    </w:p>
    <w:p w:rsidR="00000000" w:rsidDel="00000000" w:rsidP="00000000" w:rsidRDefault="00000000" w:rsidRPr="00000000" w14:paraId="00000002">
      <w:pPr>
        <w:pStyle w:val="Heading4"/>
        <w:rPr/>
      </w:pPr>
      <w:bookmarkStart w:colFirst="0" w:colLast="0" w:name="_3tuxm8qxre8h" w:id="1"/>
      <w:bookmarkEnd w:id="1"/>
      <w:r w:rsidDel="00000000" w:rsidR="00000000" w:rsidRPr="00000000">
        <w:rPr>
          <w:rtl w:val="0"/>
        </w:rPr>
        <w:t xml:space="preserve">Session 2.3</w:t>
      </w:r>
    </w:p>
    <w:p w:rsidR="00000000" w:rsidDel="00000000" w:rsidP="00000000" w:rsidRDefault="00000000" w:rsidRPr="00000000" w14:paraId="00000003">
      <w:pPr>
        <w:pStyle w:val="Heading4"/>
        <w:rPr/>
      </w:pPr>
      <w:bookmarkStart w:colFirst="0" w:colLast="0" w:name="_wid5q1bnhzmi" w:id="2"/>
      <w:bookmarkEnd w:id="2"/>
      <w:r w:rsidDel="00000000" w:rsidR="00000000" w:rsidRPr="00000000">
        <w:rPr>
          <w:rtl w:val="0"/>
        </w:rPr>
        <w:t xml:space="preserve">Time: September 16, 2026 - 13:30 - 15:00</w:t>
      </w:r>
    </w:p>
    <w:p w:rsidR="00000000" w:rsidDel="00000000" w:rsidP="00000000" w:rsidRDefault="00000000" w:rsidRPr="00000000" w14:paraId="00000004">
      <w:pPr>
        <w:pStyle w:val="Heading4"/>
        <w:rPr/>
      </w:pPr>
      <w:bookmarkStart w:colFirst="0" w:colLast="0" w:name="_daxhdkhr13lf" w:id="3"/>
      <w:bookmarkEnd w:id="3"/>
      <w:r w:rsidDel="00000000" w:rsidR="00000000" w:rsidRPr="00000000">
        <w:rPr>
          <w:rtl w:val="0"/>
        </w:rPr>
        <w:t xml:space="preserve">Chair: Christophe Debruyne</w:t>
      </w:r>
    </w:p>
    <w:p w:rsidR="00000000" w:rsidDel="00000000" w:rsidP="00000000" w:rsidRDefault="00000000" w:rsidRPr="00000000" w14:paraId="00000005">
      <w:pPr>
        <w:pStyle w:val="Heading2"/>
        <w:rPr/>
      </w:pPr>
      <w:bookmarkStart w:colFirst="0" w:colLast="0" w:name="_xmzqxyrmu5f9"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szuyb0err8ur"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t3nuj7icxlyx" w:id="6"/>
      <w:bookmarkEnd w:id="6"/>
      <w:r w:rsidDel="00000000" w:rsidR="00000000" w:rsidRPr="00000000">
        <w:rPr>
          <w:rtl w:val="0"/>
        </w:rPr>
        <w:t xml:space="preserve">Explaining RGNN Predictions on Knowledge Graphs via LRP</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Relational Graph Neural Networks (RGNNs) have become powerful tools for learning on relational graph structures such as RDF knowledge graphs (KGs), achieving state-of-the-art performance in tasks such as node classification and link prediction. However, their black-box nature conflicts with a central objective of KGs: enabling transparent and interpretable knowledge-based systems. As a result, predictions produced by RGNNs are often difficult to explain in terms of the graph structure itself. In this work, we present a generalized framework for explaining RGNN predictions using Layer-Wise Relevance Propagation (LRP). The approach traces predictions through the relational message-passing process and redistributes signed relevance scores to nodes, edges, and multi-hop paths. In doing so, it establishes a semantic predictive loop in which predictions derived from the KG structure can themselves be explained with respect to the underlying computation graph. Beyond extending relevance propagation to relational message passing, the framework unifies structure-oriented and embedding-oriented explanations by linking graph components to embedding-level contributions. Experiments on standard KG learning benchmarks demonstrate that the proposed method yields faithful and interpretable explanations of RGNN predictions across multiple structural levels.</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Franz Krause and Heiko Paulheim</w:t>
      </w:r>
    </w:p>
    <w:p w:rsidR="00000000" w:rsidDel="00000000" w:rsidP="00000000" w:rsidRDefault="00000000" w:rsidRPr="00000000" w14:paraId="0000000A">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jq62ccnyvcmf" w:id="7"/>
      <w:bookmarkEnd w:id="7"/>
      <w:r w:rsidDel="00000000" w:rsidR="00000000" w:rsidRPr="00000000">
        <w:rPr>
          <w:rtl w:val="0"/>
        </w:rPr>
        <w:t xml:space="preserve">A Semantic Framework for the Synthesis of Causal Knowledge</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MOTIVATION: AI systems relying solely on correlations often fail when training and production distributions differ, limiting their utility for reliable decision-making. While incorporating causal knowledge offers a more robust alternative, synthesizing such knowledge from heterogeneous sources remains a fragmented and cognitively demanding task. There is currently a lack of support for integrating, comparing, and resolving discrepancies between multiple, often conflicting, causal graphs.  OBJECTIVES: We present SoCK (Synthesis of Causal Knowledge), a semantic framework designed to integrate, analyse, and explore causal graphs derived from heterogeneous sources. Our goal is to provide a unified representation of causal knowledge that supports expert-in-the-loop exploration and transforms differing causal graphs into a queryable knowledge base. The framework aims to provide an accessible interface for multiple stakeholders, focusing on knowledge engineers, causal discovery researchers, and domain experts.  METHODS: Following a requirements-driven design, we developed three core contributions: (i) the SoCK ontology provides a unified formalization of causal graphs and their provenance; (ii) the Causal Knowledge Graph integrates multi-source inputs into a unified knowledge base; and (iii) an Exploration Interface operationalizes complex semantic queries through task-based interactions.  RESULTS: We evaluate SoCK using the CausalAssembly benchmark dataset. Results demonstrate that the ontology provides high representational coverage, successfully answering 14 out of 15 competency questions. Furthermore, scenario-based evaluations show that the framework effectively supports stakeholder tasks, such as algorithm selection and structural discrepancy analysis, by enabling systematic comparison and exploration of causal graphs through the interface.  CONCLUSION: SoCK addresses a critical challenge in causal discovery by providing the first semantic infrastructure for managing the heterogeneity and ambiguity inherent in multi-source causal discovery. By integrating fragmented causal knowledge and providing an interactive exploration interface to query complex metadata, the framework offers a systematic foundation for comparing causal models and resolving structural causal discrepancies.</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Katrin Ehrenmüller, Lucas Kook, Fajar J. Ekaputra and Marta Sabou</w:t>
      </w:r>
    </w:p>
    <w:p w:rsidR="00000000" w:rsidDel="00000000" w:rsidP="00000000" w:rsidRDefault="00000000" w:rsidRPr="00000000" w14:paraId="00000011">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39qdk0iuiy19" w:id="8"/>
      <w:bookmarkEnd w:id="8"/>
      <w:r w:rsidDel="00000000" w:rsidR="00000000" w:rsidRPr="00000000">
        <w:rPr>
          <w:rtl w:val="0"/>
        </w:rPr>
        <w:t xml:space="preserve">When Knowledge Graph Relationships Still Matter</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Modern language models increasingly recover signals of relatedness from text alone. They can support related-item ranking, entity clustering, and recommendation-style workflows without a separately modeled graph. For the knowledge graph community, this creates a timely and practical question: when do explicit graph relationships still add value beyond what strong text embeddings already capture?  This paper approaches that question carefully. It does not treat knowledge graphs as globally replaceable. Many KG roles — including semantic integration, provenance, governance, validation, querying, and domain modeling — remain distinct from embedding-based retrieval. Instead, we focus on a narrower class of use cases where relationship value is representational: recommendation, discovery, similarity search, related-item ranking, and relation recovery. In these settings, the question becomes measurable: do explicit relationships add recoverable signal beyond node text?  We introduce a relation-dependent diagnostic framework for measuring this boundary. We call the underlying phenomenon language-model encroachment: the growing ability of text-based representations to approximate relational signal traditionally supplied by explicit graph structure. Using an OpenAlex-derived scientific KG case study, we repeat the diagnostic across relation types, dataset slices, publication years, and text encoders. In each setting, text-derived and graph-derived representations are evaluated on the same held-out relationship recovery task. The results show that the graph–text boundary is not fixed. Some relation types are largely recoverable from text for this task. Others retain distinctive graph-derived signal.  The contribution is a practical diagnostic for KG engineering: if a relationship type adds signal beyond text, it may justify graph-engineering effort; if it does not add measurable signal, a text-first system may be sufficient for that task. This does not mean a KG is unnecessary overall, because many KG roles remain justified independently of embedding performance.</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Alex Romanova</w:t>
      </w:r>
    </w:p>
    <w:p w:rsidR="00000000" w:rsidDel="00000000" w:rsidP="00000000" w:rsidRDefault="00000000" w:rsidRPr="00000000" w14:paraId="00000018">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tdu3nrj2nbwc" w:id="9"/>
      <w:bookmarkEnd w:id="9"/>
      <w:r w:rsidDel="00000000" w:rsidR="00000000" w:rsidRPr="00000000">
        <w:rPr>
          <w:rtl w:val="0"/>
        </w:rPr>
        <w:t xml:space="preserve">Prototype Implementation to improve LLMs with structured legal knowledge</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Wolters Kluwer is a global leader in information solutions, software and services for professionals, combining deep domain expertise with advanced technology. Current GenAI solutions driven by LLMs and RAG hit a quality ceiling when it comes to answering complex domain questions. We have built a prototype to augment these GenAI solutions in our domain with a legal knowledge layer that aims to break this ceiling. In order to achieve that, we have on the one hand built a concept for a knowledge operating system that provides the required knowledge artefacts. And we have developed on the other hand a prototype to apply these knowledge artefacts within the GenAI business lifecycle. Overall, the main industry question is still, which knowledge with what granularity and expressiveness is needed where in the process to address best the quality gap. Creating, maintaining and providing complex knowledge artefacts is still a challenging task. Therefore, any approach that clearly states what is needed lowers the acceptance barrier and frees the necessary investments from the business to have this information available in the end. Our knowledge artefacts are built on semantic web standards and vocabularies in order to ensure scalability and sustainability in the future and provide a proper basis for enabling interoperability with other artefacts and other domains that we are serving at Wolters Kluwer. We will show preliminary answers to these business critical questions. We also think that our findings are applicable beyond the legal domain.</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Christian Dirschl and Sven Krantz-Knutzen</w:t>
      </w:r>
    </w:p>
    <w:p w:rsidR="00000000" w:rsidDel="00000000" w:rsidP="00000000" w:rsidRDefault="00000000" w:rsidRPr="00000000" w14:paraId="0000001F">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