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2bsg43un1w78" w:id="0"/>
      <w:bookmarkEnd w:id="0"/>
      <w:r w:rsidDel="00000000" w:rsidR="00000000" w:rsidRPr="00000000">
        <w:rPr>
          <w:rtl w:val="0"/>
        </w:rPr>
        <w:t xml:space="preserve">RDF and Linked Data</w:t>
      </w:r>
    </w:p>
    <w:p w:rsidR="00000000" w:rsidDel="00000000" w:rsidP="00000000" w:rsidRDefault="00000000" w:rsidRPr="00000000" w14:paraId="00000002">
      <w:pPr>
        <w:pStyle w:val="Heading4"/>
        <w:rPr/>
      </w:pPr>
      <w:bookmarkStart w:colFirst="0" w:colLast="0" w:name="_2m6nzp25shud" w:id="1"/>
      <w:bookmarkEnd w:id="1"/>
      <w:r w:rsidDel="00000000" w:rsidR="00000000" w:rsidRPr="00000000">
        <w:rPr>
          <w:rtl w:val="0"/>
        </w:rPr>
        <w:t xml:space="preserve">Session 1.2</w:t>
      </w:r>
    </w:p>
    <w:p w:rsidR="00000000" w:rsidDel="00000000" w:rsidP="00000000" w:rsidRDefault="00000000" w:rsidRPr="00000000" w14:paraId="00000003">
      <w:pPr>
        <w:pStyle w:val="Heading4"/>
        <w:rPr/>
      </w:pPr>
      <w:bookmarkStart w:colFirst="0" w:colLast="0" w:name="_gnwwz6bt36vi" w:id="2"/>
      <w:bookmarkEnd w:id="2"/>
      <w:r w:rsidDel="00000000" w:rsidR="00000000" w:rsidRPr="00000000">
        <w:rPr>
          <w:rtl w:val="0"/>
        </w:rPr>
        <w:t xml:space="preserve">Time: September 16, 2026 - 11:00 - 12:30</w:t>
      </w:r>
    </w:p>
    <w:p w:rsidR="00000000" w:rsidDel="00000000" w:rsidP="00000000" w:rsidRDefault="00000000" w:rsidRPr="00000000" w14:paraId="00000004">
      <w:pPr>
        <w:pStyle w:val="Heading4"/>
        <w:rPr/>
      </w:pPr>
      <w:bookmarkStart w:colFirst="0" w:colLast="0" w:name="_44jl0hdj39c6" w:id="3"/>
      <w:bookmarkEnd w:id="3"/>
      <w:r w:rsidDel="00000000" w:rsidR="00000000" w:rsidRPr="00000000">
        <w:rPr>
          <w:rtl w:val="0"/>
        </w:rPr>
        <w:t xml:space="preserve">Chair: Anastasia Dimou</w:t>
      </w:r>
    </w:p>
    <w:p w:rsidR="00000000" w:rsidDel="00000000" w:rsidP="00000000" w:rsidRDefault="00000000" w:rsidRPr="00000000" w14:paraId="00000005">
      <w:pPr>
        <w:pStyle w:val="Heading2"/>
        <w:rPr/>
      </w:pPr>
      <w:bookmarkStart w:colFirst="0" w:colLast="0" w:name="_u5ajusimkke8"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g11i2h6ut3hp"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yg1af950trgp" w:id="6"/>
      <w:bookmarkEnd w:id="6"/>
      <w:r w:rsidDel="00000000" w:rsidR="00000000" w:rsidRPr="00000000">
        <w:rPr>
          <w:rtl w:val="0"/>
        </w:rPr>
        <w:t xml:space="preserve">Research wanted [SP]</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The web was built on open standards — and so should your software. At redpencil, we build modular, open source applications grounded in W3C standards like RDF, SPARQL, LDES and RDFa. These are not just technical choices: they are architectural decisions that guarantee interoperability, longevity and freedom from vendor lock-in.We bridge the gap between research-grade technology and real-world business problems. Our applications are built to be user-friendly — the semantic complexity stays under the hood, invisible to end users, while delivering data that is meaningful, traceable and reusable by design. We have proven this in production — from local government decision platforms and region-wide data registrations to the central decision-making infrastructure of the Flemish Government.This talk shows how open standards, modular architecture and open source combine into a sovereign, scalable alternative to the monolithic platforms that dominate today's digital landscape — and why that matters more than ever in a world where technological independence has become a strategic necessity.</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Aad Versteden (redpencil.io)</w:t>
      </w:r>
    </w:p>
    <w:p w:rsidR="00000000" w:rsidDel="00000000" w:rsidP="00000000" w:rsidRDefault="00000000" w:rsidRPr="00000000" w14:paraId="0000000A">
      <w:pPr>
        <w:rPr>
          <w:b w:val="1"/>
          <w:bCs w:val="1"/>
        </w:rPr>
      </w:pPr>
      <w:r w:rsidDel="00000000" w:rsidR="00000000" w:rsidRPr="00000000">
        <w:rPr>
          <w:b w:val="1"/>
          <w:bCs w:val="1"/>
          <w:rtl w:val="0"/>
        </w:rPr>
        <w:t xml:space="preserve">Sponsor Talk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3bga6fzadpk" w:id="7"/>
      <w:bookmarkEnd w:id="7"/>
      <w:r w:rsidDel="00000000" w:rsidR="00000000" w:rsidRPr="00000000">
        <w:rPr>
          <w:rtl w:val="0"/>
        </w:rPr>
        <w:t xml:space="preserve">Declaratively Populating Wikibases with WBML</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Purpose: This paper addresses the lack of a general declarative approach for generating Wikibase content from heterogeneous data sources. Existing declarative mapping approaches mainly target RDF, while Wikibase-oriented solutions are often limited in scope or procedural in nature. We therefore propose WBML, a declarative mapping language tailored to the Wikibase statement model.  Methodology: WBML was designed by reusing selected RML concepts for logical sources and iterations, while introducing Wikibase-specific constructs. We implemented a Python prototype that translates WBML into intermediate RML and RDF representations, executes them with Morph-KGC, and ingests the results into Wikibase.  Findings: The study shows that declaratively generating Wikibase statements from heterogeneous sources is feasible. We also reported on a demonstration using complex JSON and a simpler, real-world use case for our institution, using CSV files. WBML supports the generation of entities, fingerprints, statements, qualifiers, references, and ranks.  Value: This work provides a basis for declarative construction of Wikibase knowledge graphs from heterogeneous sources. It demonstrates how established ideas from the RDF mapping community can be adapted to other types of knowledge graphs. Future work includes supporting newer RML features not yet supported by reused components and managing updates.</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Élena Liu, Jakub Duchateau and Christophe Debruyne</w:t>
      </w:r>
    </w:p>
    <w:p w:rsidR="00000000" w:rsidDel="00000000" w:rsidP="00000000" w:rsidRDefault="00000000" w:rsidRPr="00000000" w14:paraId="00000011">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d0jkdnl9nqx" w:id="8"/>
      <w:bookmarkEnd w:id="8"/>
      <w:r w:rsidDel="00000000" w:rsidR="00000000" w:rsidRPr="00000000">
        <w:rPr>
          <w:rtl w:val="0"/>
        </w:rPr>
        <w:t xml:space="preserve">From Spreadsheets to Shared Understanding: Navigating Water Catchment Data with a Composable Linked Data Architecture</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Environmental regulators hold the data that citizens, consultants, planners, and engineers need to understand their local water catchments — discharge permits, monitoring records, land-use classifications, and water quality measurements. Yet broad technical and domain expertise is currently required to identify and use the right datasets, creating a significant FAIR data gap that limits the social, economic, and environmental value that this data could otherwise deliver. The Environment Agency (EA) and Telespazio have addressed this through a composable Linked Data architecture built on the DEFRA Data Services Platform Application Profile — a federation standard aligned to W3C SKOS, DCAT, SOSA/SSN, OWL, and OGC GeoSPARQL. The platform enables domain teams to publish standards-compliant Linked Data APIs from existing data sources, without requiring schema harmonisation or bespoke integration code. Domain systems retain their own vocabularies and express — once — how their terms relate to the shared profile; the federated layer handles the rest. The Water Catchment Demonstrator presents a live user journey grounded in EA's open data. Starting from any location in the United Kingdom, the system identifies the relevant river catchment and traverses the federated data layer to surface discharge permits, compliance monitoring returns, water quality observations, and land-use classifications — without the user needing to know where any dataset lives or how to interpret its observational data. The demonstrator evaluates the Application Profile and technical approaches as a practical federation standard for DEFRA and EA's open data, and provides evidence that composable Linked Data architecture can meaningfully reduce the expertise barrier to accessing and using complex regulatory datasets.</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Andrew Fergusson and Chris Jarvis</w:t>
      </w:r>
    </w:p>
    <w:p w:rsidR="00000000" w:rsidDel="00000000" w:rsidP="00000000" w:rsidRDefault="00000000" w:rsidRPr="00000000" w14:paraId="00000018">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74lvkesk4smm" w:id="9"/>
      <w:bookmarkEnd w:id="9"/>
      <w:r w:rsidDel="00000000" w:rsidR="00000000" w:rsidRPr="00000000">
        <w:rPr>
          <w:rtl w:val="0"/>
        </w:rPr>
        <w:t xml:space="preserve">A Knowledge-Graph for Utrecht’s Asset Management</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This presentation will present the architecture and operational experience of the Municipality of Utrecht's Single Source of Truth system, called the ObjectRegistration for public asset management. This is a system built by BIM-Connected using their lowcode Linked Data system Wistor. In this case Wistor uses the T-Box (Object Type Library) IMBOR from the dutch standardisation organisation CROW and converted all asset data into Linked Data complying to the IMBOR t-box. The base of the system is a triplestore containing the IMBOR dataset, all asset data information and changelogs. Effectively a knoweldge graph of the public assets of the municipality of Utrecht in the Netherlands. The Utrecht Object Registration clearly demonstrates that a knowledge-graph approach, combining a standardised ontology, linked data infrastructure, live synchronisation, and SHACL-driven governance, is a viable and practically operational foundation for smart city asset management.</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Hans Schevers and Jakko Heinen</w:t>
      </w:r>
    </w:p>
    <w:p w:rsidR="00000000" w:rsidDel="00000000" w:rsidP="00000000" w:rsidRDefault="00000000" w:rsidRPr="00000000" w14:paraId="0000001F">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