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120" w:before="360" w:line="276" w:lineRule="auto"/>
        <w:rPr/>
      </w:pPr>
      <w:bookmarkStart w:colFirst="0" w:colLast="0" w:name="_4l2d6umkukhh" w:id="0"/>
      <w:bookmarkEnd w:id="0"/>
      <w:r w:rsidDel="00000000" w:rsidR="00000000" w:rsidRPr="00000000">
        <w:rPr>
          <w:rtl w:val="0"/>
        </w:rPr>
        <w:t xml:space="preserve">Interactive Session</w:t>
      </w:r>
    </w:p>
    <w:p w:rsidR="00000000" w:rsidDel="00000000" w:rsidP="00000000" w:rsidRDefault="00000000" w:rsidRPr="00000000" w14:paraId="00000002">
      <w:pPr>
        <w:pStyle w:val="Heading4"/>
        <w:spacing w:after="0" w:before="0" w:line="276" w:lineRule="auto"/>
        <w:rPr>
          <w:rFonts w:ascii="Arial" w:cs="Arial" w:eastAsia="Arial" w:hAnsi="Arial"/>
          <w:color w:val="000000"/>
          <w:sz w:val="32"/>
          <w:szCs w:val="32"/>
        </w:rPr>
      </w:pPr>
      <w:bookmarkStart w:colFirst="0" w:colLast="0" w:name="_bzyog3t14uic" w:id="1"/>
      <w:bookmarkEnd w:id="1"/>
      <w:r w:rsidDel="00000000" w:rsidR="00000000" w:rsidRPr="00000000">
        <w:rPr>
          <w:rFonts w:ascii="Arial" w:cs="Arial" w:eastAsia="Arial" w:hAnsi="Arial"/>
          <w:b w:val="0"/>
          <w:bCs w:val="0"/>
          <w:color w:val="666666"/>
          <w:rtl w:val="0"/>
        </w:rPr>
        <w:t xml:space="preserve">September 15, 2026 - 10:20 to 11:50 and 12:40 to 14:10</w:t>
      </w:r>
      <w:r w:rsidDel="00000000" w:rsidR="00000000" w:rsidRPr="00000000">
        <w:rPr>
          <w:rtl w:val="0"/>
        </w:rPr>
      </w:r>
    </w:p>
    <w:p w:rsidR="00000000" w:rsidDel="00000000" w:rsidP="00000000" w:rsidRDefault="00000000" w:rsidRPr="00000000" w14:paraId="00000003">
      <w:pPr>
        <w:pStyle w:val="Heading2"/>
        <w:spacing w:after="120" w:before="360" w:line="276" w:lineRule="auto"/>
        <w:rPr>
          <w:rFonts w:ascii="Arial" w:cs="Arial" w:eastAsia="Arial" w:hAnsi="Arial"/>
          <w:color w:val="000000"/>
          <w:sz w:val="32"/>
          <w:szCs w:val="32"/>
        </w:rPr>
      </w:pPr>
      <w:bookmarkStart w:colFirst="0" w:colLast="0" w:name="_4685btcobchb" w:id="2"/>
      <w:bookmarkEnd w:id="2"/>
      <w:r w:rsidDel="00000000" w:rsidR="00000000" w:rsidRPr="00000000">
        <w:rPr>
          <w:rFonts w:ascii="Arial" w:cs="Arial" w:eastAsia="Arial" w:hAnsi="Arial"/>
          <w:color w:val="212121"/>
          <w:sz w:val="32"/>
          <w:szCs w:val="32"/>
          <w:rtl w:val="0"/>
        </w:rPr>
        <w:t xml:space="preserve">Building an Enterprise-Ready GraphRAG Application</w:t>
      </w:r>
      <w:r w:rsidDel="00000000" w:rsidR="00000000" w:rsidRPr="00000000">
        <w:rPr>
          <w:rtl w:val="0"/>
        </w:rPr>
      </w:r>
    </w:p>
    <w:p w:rsidR="00000000" w:rsidDel="00000000" w:rsidP="00000000" w:rsidRDefault="00000000" w:rsidRPr="00000000" w14:paraId="00000004">
      <w:pPr>
        <w:spacing w:after="60" w:before="60" w:line="331.2" w:lineRule="auto"/>
        <w:rPr>
          <w:rFonts w:ascii="Arial" w:cs="Arial" w:eastAsia="Arial" w:hAnsi="Arial"/>
          <w:color w:val="1d1c1d"/>
          <w:sz w:val="22"/>
          <w:szCs w:val="22"/>
        </w:rPr>
      </w:pPr>
      <w:r w:rsidDel="00000000" w:rsidR="00000000" w:rsidRPr="00000000">
        <w:rPr>
          <w:rFonts w:ascii="Arial" w:cs="Arial" w:eastAsia="Arial" w:hAnsi="Arial"/>
          <w:color w:val="1d1c1d"/>
          <w:sz w:val="22"/>
          <w:szCs w:val="22"/>
          <w:rtl w:val="0"/>
        </w:rPr>
        <w:t xml:space="preserve">This tutorial provides a comprehensive demo and setup guide for </w:t>
      </w:r>
      <w:r w:rsidDel="00000000" w:rsidR="00000000" w:rsidRPr="00000000">
        <w:rPr>
          <w:rFonts w:ascii="Arial" w:cs="Arial" w:eastAsia="Arial" w:hAnsi="Arial"/>
          <w:b w:val="1"/>
          <w:bCs w:val="1"/>
          <w:color w:val="1d1c1d"/>
          <w:sz w:val="22"/>
          <w:szCs w:val="22"/>
          <w:rtl w:val="0"/>
        </w:rPr>
        <w:t xml:space="preserve">Graphwise GraphRAG</w:t>
      </w:r>
      <w:r w:rsidDel="00000000" w:rsidR="00000000" w:rsidRPr="00000000">
        <w:rPr>
          <w:rFonts w:ascii="Arial" w:cs="Arial" w:eastAsia="Arial" w:hAnsi="Arial"/>
          <w:color w:val="1d1c1d"/>
          <w:sz w:val="22"/>
          <w:szCs w:val="22"/>
          <w:rtl w:val="0"/>
        </w:rPr>
        <w:t xml:space="preserve">. The resulting Enterprise AI Assistant uses customizable, auditable workflows to connect a vector index, an RDF Knowledge Graph in </w:t>
      </w:r>
      <w:r w:rsidDel="00000000" w:rsidR="00000000" w:rsidRPr="00000000">
        <w:rPr>
          <w:rFonts w:ascii="Arial" w:cs="Arial" w:eastAsia="Arial" w:hAnsi="Arial"/>
          <w:b w:val="1"/>
          <w:bCs w:val="1"/>
          <w:color w:val="1d1c1d"/>
          <w:sz w:val="22"/>
          <w:szCs w:val="22"/>
          <w:rtl w:val="0"/>
        </w:rPr>
        <w:t xml:space="preserve">GraphDB</w:t>
      </w:r>
      <w:r w:rsidDel="00000000" w:rsidR="00000000" w:rsidRPr="00000000">
        <w:rPr>
          <w:rFonts w:ascii="Arial" w:cs="Arial" w:eastAsia="Arial" w:hAnsi="Arial"/>
          <w:color w:val="1d1c1d"/>
          <w:sz w:val="22"/>
          <w:szCs w:val="22"/>
          <w:rtl w:val="0"/>
        </w:rPr>
        <w:t xml:space="preserve">, and a domain-specific knowledge model built with </w:t>
      </w:r>
      <w:r w:rsidDel="00000000" w:rsidR="00000000" w:rsidRPr="00000000">
        <w:rPr>
          <w:rFonts w:ascii="Arial" w:cs="Arial" w:eastAsia="Arial" w:hAnsi="Arial"/>
          <w:b w:val="1"/>
          <w:bCs w:val="1"/>
          <w:color w:val="1d1c1d"/>
          <w:sz w:val="22"/>
          <w:szCs w:val="22"/>
          <w:rtl w:val="0"/>
        </w:rPr>
        <w:t xml:space="preserve">Graph Modeling</w:t>
      </w:r>
      <w:r w:rsidDel="00000000" w:rsidR="00000000" w:rsidRPr="00000000">
        <w:rPr>
          <w:rFonts w:ascii="Arial" w:cs="Arial" w:eastAsia="Arial" w:hAnsi="Arial"/>
          <w:color w:val="1d1c1d"/>
          <w:sz w:val="22"/>
          <w:szCs w:val="22"/>
          <w:rtl w:val="0"/>
        </w:rPr>
        <w:t xml:space="preserve"> (formerly PoolParty). This setup transforms unpredictable LLM behavior into transparent and reliable enterprise intelligence.</w:t>
      </w:r>
    </w:p>
    <w:p w:rsidR="00000000" w:rsidDel="00000000" w:rsidP="00000000" w:rsidRDefault="00000000" w:rsidRPr="00000000" w14:paraId="00000005">
      <w:pPr>
        <w:spacing w:after="60" w:before="60" w:line="331.2" w:lineRule="auto"/>
        <w:rPr>
          <w:rFonts w:ascii="Arial" w:cs="Arial" w:eastAsia="Arial" w:hAnsi="Arial"/>
          <w:color w:val="1d1c1d"/>
          <w:sz w:val="22"/>
          <w:szCs w:val="22"/>
        </w:rPr>
      </w:pPr>
      <w:r w:rsidDel="00000000" w:rsidR="00000000" w:rsidRPr="00000000">
        <w:rPr>
          <w:rFonts w:ascii="Arial" w:cs="Arial" w:eastAsia="Arial" w:hAnsi="Arial"/>
          <w:color w:val="1d1c1d"/>
          <w:sz w:val="22"/>
          <w:szCs w:val="22"/>
          <w:rtl w:val="0"/>
        </w:rPr>
        <w:t xml:space="preserve">What You Will Learn</w:t>
      </w:r>
    </w:p>
    <w:p w:rsidR="00000000" w:rsidDel="00000000" w:rsidP="00000000" w:rsidRDefault="00000000" w:rsidRPr="00000000" w14:paraId="00000006">
      <w:pPr>
        <w:numPr>
          <w:ilvl w:val="0"/>
          <w:numId w:val="1"/>
        </w:numPr>
        <w:spacing w:line="276" w:lineRule="auto"/>
        <w:ind w:left="1080" w:hanging="360"/>
        <w:rPr>
          <w:rFonts w:ascii="Arial" w:cs="Arial" w:eastAsia="Arial" w:hAnsi="Arial"/>
          <w:color w:val="1d1c1d"/>
          <w:sz w:val="22"/>
          <w:szCs w:val="22"/>
        </w:rPr>
      </w:pPr>
      <w:r w:rsidDel="00000000" w:rsidR="00000000" w:rsidRPr="00000000">
        <w:rPr>
          <w:rFonts w:ascii="Arial" w:cs="Arial" w:eastAsia="Arial" w:hAnsi="Arial"/>
          <w:b w:val="1"/>
          <w:bCs w:val="1"/>
          <w:color w:val="1d1c1d"/>
          <w:sz w:val="22"/>
          <w:szCs w:val="22"/>
          <w:rtl w:val="0"/>
        </w:rPr>
        <w:t xml:space="preserve">Data Preprocessing &amp; Graph Building:</w:t>
      </w:r>
      <w:r w:rsidDel="00000000" w:rsidR="00000000" w:rsidRPr="00000000">
        <w:rPr>
          <w:rFonts w:ascii="Arial" w:cs="Arial" w:eastAsia="Arial" w:hAnsi="Arial"/>
          <w:color w:val="1d1c1d"/>
          <w:sz w:val="22"/>
          <w:szCs w:val="22"/>
          <w:rtl w:val="0"/>
        </w:rPr>
        <w:t xml:space="preserve"> Get a hands-on overview of preparing enterprise data. Learn how to construct a content knowledge graph and automatically index it with vector embeddings using GraphDB and Elasticsearch.</w:t>
      </w:r>
    </w:p>
    <w:p w:rsidR="00000000" w:rsidDel="00000000" w:rsidP="00000000" w:rsidRDefault="00000000" w:rsidRPr="00000000" w14:paraId="00000007">
      <w:pPr>
        <w:numPr>
          <w:ilvl w:val="0"/>
          <w:numId w:val="1"/>
        </w:numPr>
        <w:spacing w:line="276" w:lineRule="auto"/>
        <w:ind w:left="1080" w:hanging="360"/>
        <w:rPr>
          <w:rFonts w:ascii="Arial" w:cs="Arial" w:eastAsia="Arial" w:hAnsi="Arial"/>
          <w:color w:val="1d1c1d"/>
          <w:sz w:val="22"/>
          <w:szCs w:val="22"/>
        </w:rPr>
      </w:pPr>
      <w:r w:rsidDel="00000000" w:rsidR="00000000" w:rsidRPr="00000000">
        <w:rPr>
          <w:rFonts w:ascii="Arial" w:cs="Arial" w:eastAsia="Arial" w:hAnsi="Arial"/>
          <w:b w:val="1"/>
          <w:bCs w:val="1"/>
          <w:color w:val="1d1c1d"/>
          <w:sz w:val="22"/>
          <w:szCs w:val="22"/>
          <w:rtl w:val="0"/>
        </w:rPr>
        <w:t xml:space="preserve">Architecture &amp; API Integration:</w:t>
      </w:r>
      <w:r w:rsidDel="00000000" w:rsidR="00000000" w:rsidRPr="00000000">
        <w:rPr>
          <w:rFonts w:ascii="Arial" w:cs="Arial" w:eastAsia="Arial" w:hAnsi="Arial"/>
          <w:color w:val="1d1c1d"/>
          <w:sz w:val="22"/>
          <w:szCs w:val="22"/>
          <w:rtl w:val="0"/>
        </w:rPr>
        <w:t xml:space="preserve"> Walk through the core microservices of the Graphwise stack. Use the Graph Automation interface to manage individual GraphRAG building blocks, controlling how GraphRAG behaves, while still maintaining full observability. Additionally, learn how the whole application can be controlled via API.</w:t>
      </w:r>
    </w:p>
    <w:p w:rsidR="00000000" w:rsidDel="00000000" w:rsidP="00000000" w:rsidRDefault="00000000" w:rsidRPr="00000000" w14:paraId="00000008">
      <w:pPr>
        <w:numPr>
          <w:ilvl w:val="0"/>
          <w:numId w:val="1"/>
        </w:numPr>
        <w:spacing w:line="276" w:lineRule="auto"/>
        <w:ind w:left="1080" w:hanging="360"/>
        <w:rPr>
          <w:rFonts w:ascii="Arial" w:cs="Arial" w:eastAsia="Arial" w:hAnsi="Arial"/>
          <w:color w:val="1d1c1d"/>
          <w:sz w:val="22"/>
          <w:szCs w:val="22"/>
        </w:rPr>
      </w:pPr>
      <w:r w:rsidDel="00000000" w:rsidR="00000000" w:rsidRPr="00000000">
        <w:rPr>
          <w:rFonts w:ascii="Arial" w:cs="Arial" w:eastAsia="Arial" w:hAnsi="Arial"/>
          <w:b w:val="1"/>
          <w:bCs w:val="1"/>
          <w:color w:val="1d1c1d"/>
          <w:sz w:val="22"/>
          <w:szCs w:val="22"/>
          <w:rtl w:val="0"/>
        </w:rPr>
        <w:t xml:space="preserve">Workflows &amp; Prompt Fine-Tuning:</w:t>
      </w:r>
      <w:r w:rsidDel="00000000" w:rsidR="00000000" w:rsidRPr="00000000">
        <w:rPr>
          <w:rFonts w:ascii="Arial" w:cs="Arial" w:eastAsia="Arial" w:hAnsi="Arial"/>
          <w:color w:val="1d1c1d"/>
          <w:sz w:val="22"/>
          <w:szCs w:val="22"/>
          <w:rtl w:val="0"/>
        </w:rPr>
        <w:t xml:space="preserve"> Discover how to connect GraphRAG to your custom data sources, modify operational step-sequences, and fine-tune system prompts to match your corporate compliance guidelines.</w:t>
      </w:r>
    </w:p>
    <w:p w:rsidR="00000000" w:rsidDel="00000000" w:rsidP="00000000" w:rsidRDefault="00000000" w:rsidRPr="00000000" w14:paraId="00000009">
      <w:pPr>
        <w:numPr>
          <w:ilvl w:val="0"/>
          <w:numId w:val="1"/>
        </w:numPr>
        <w:spacing w:line="276" w:lineRule="auto"/>
        <w:ind w:left="1080" w:hanging="360"/>
        <w:rPr>
          <w:rFonts w:ascii="Arial" w:cs="Arial" w:eastAsia="Arial" w:hAnsi="Arial"/>
          <w:color w:val="1d1c1d"/>
          <w:sz w:val="22"/>
          <w:szCs w:val="22"/>
        </w:rPr>
      </w:pPr>
      <w:r w:rsidDel="00000000" w:rsidR="00000000" w:rsidRPr="00000000">
        <w:rPr>
          <w:rFonts w:ascii="Arial" w:cs="Arial" w:eastAsia="Arial" w:hAnsi="Arial"/>
          <w:b w:val="1"/>
          <w:bCs w:val="1"/>
          <w:color w:val="1d1c1d"/>
          <w:sz w:val="22"/>
          <w:szCs w:val="22"/>
          <w:rtl w:val="0"/>
        </w:rPr>
        <w:t xml:space="preserve">Domain Knowledge Injection:</w:t>
      </w:r>
      <w:r w:rsidDel="00000000" w:rsidR="00000000" w:rsidRPr="00000000">
        <w:rPr>
          <w:rFonts w:ascii="Arial" w:cs="Arial" w:eastAsia="Arial" w:hAnsi="Arial"/>
          <w:color w:val="1d1c1d"/>
          <w:sz w:val="22"/>
          <w:szCs w:val="22"/>
          <w:rtl w:val="0"/>
        </w:rPr>
        <w:t xml:space="preserve"> See how retrieval accuracy dramatically improves when subject-matter experts refine the underlying taxonomy and ontologies directly within the Graph Modeling suite.</w:t>
      </w:r>
    </w:p>
    <w:p w:rsidR="00000000" w:rsidDel="00000000" w:rsidP="00000000" w:rsidRDefault="00000000" w:rsidRPr="00000000" w14:paraId="0000000A">
      <w:pPr>
        <w:spacing w:after="60" w:before="60" w:line="331.2" w:lineRule="auto"/>
        <w:rPr>
          <w:rFonts w:ascii="Arial" w:cs="Arial" w:eastAsia="Arial" w:hAnsi="Arial"/>
          <w:color w:val="1d1c1d"/>
          <w:sz w:val="22"/>
          <w:szCs w:val="22"/>
        </w:rPr>
      </w:pPr>
      <w:r w:rsidDel="00000000" w:rsidR="00000000" w:rsidRPr="00000000">
        <w:rPr>
          <w:rFonts w:ascii="Arial" w:cs="Arial" w:eastAsia="Arial" w:hAnsi="Arial"/>
          <w:color w:val="1d1c1d"/>
          <w:sz w:val="22"/>
          <w:szCs w:val="22"/>
          <w:rtl w:val="0"/>
        </w:rPr>
        <w:t xml:space="preserve">Ultimately, we will build an advanced, production-grade conversational interface capable of simultaneously using vector search and knowledge graphs to resolve complex, multi-layered enterprise queries with full auditability.</w:t>
      </w:r>
    </w:p>
    <w:p w:rsidR="00000000" w:rsidDel="00000000" w:rsidP="00000000" w:rsidRDefault="00000000" w:rsidRPr="00000000" w14:paraId="0000000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line="276" w:lineRule="auto"/>
        <w:rPr>
          <w:rFonts w:ascii="Arial" w:cs="Arial" w:eastAsia="Arial" w:hAnsi="Arial"/>
          <w:sz w:val="22"/>
          <w:szCs w:val="22"/>
        </w:rPr>
      </w:pPr>
      <w:r w:rsidDel="00000000" w:rsidR="00000000" w:rsidRPr="00000000">
        <w:rPr>
          <w:rtl w:val="0"/>
        </w:rPr>
      </w:r>
    </w:p>
    <w:tbl>
      <w:tblPr>
        <w:tblStyle w:val="Table1"/>
        <w:tblW w:w="2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tblGridChange w:id="0">
          <w:tblGrid>
            <w:gridCol w:w="2850"/>
          </w:tblGrid>
        </w:tblGridChange>
      </w:tblGrid>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shd w:fill="ffffff" w:val="clear"/>
              <w:spacing w:line="276" w:lineRule="auto"/>
              <w:rPr>
                <w:rFonts w:ascii="Arial" w:cs="Arial" w:eastAsia="Arial" w:hAnsi="Arial"/>
                <w:sz w:val="22"/>
                <w:szCs w:val="22"/>
              </w:rPr>
            </w:pPr>
            <w:r w:rsidDel="00000000" w:rsidR="00000000" w:rsidRPr="00000000">
              <w:rPr>
                <w:rFonts w:ascii="Lato" w:cs="Lato" w:eastAsia="Lato" w:hAnsi="Lato"/>
                <w:b w:val="1"/>
                <w:bCs w:val="1"/>
                <w:color w:val="212529"/>
                <w:sz w:val="36"/>
                <w:szCs w:val="36"/>
              </w:rPr>
              <w:drawing>
                <wp:inline distB="114300" distT="114300" distL="114300" distR="114300">
                  <wp:extent cx="2162175" cy="2162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621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spacing w:before="320" w:line="276" w:lineRule="auto"/>
              <w:jc w:val="center"/>
              <w:rPr>
                <w:rFonts w:ascii="Arial" w:cs="Arial" w:eastAsia="Arial" w:hAnsi="Arial"/>
                <w:b w:val="0"/>
                <w:bCs w:val="0"/>
                <w:color w:val="434343"/>
              </w:rPr>
            </w:pPr>
            <w:r w:rsidDel="00000000" w:rsidR="00000000" w:rsidRPr="00000000">
              <w:rPr>
                <w:rFonts w:ascii="Arial" w:cs="Arial" w:eastAsia="Arial" w:hAnsi="Arial"/>
                <w:b w:val="0"/>
                <w:bCs w:val="0"/>
                <w:color w:val="434343"/>
                <w:rtl w:val="0"/>
              </w:rPr>
              <w:t xml:space="preserve">Robert David</w:t>
            </w:r>
          </w:p>
          <w:p w:rsidR="00000000" w:rsidDel="00000000" w:rsidP="00000000" w:rsidRDefault="00000000" w:rsidRPr="00000000" w14:paraId="00000010">
            <w:pPr>
              <w:pStyle w:val="Heading3"/>
              <w:spacing w:before="320" w:line="276" w:lineRule="auto"/>
              <w:jc w:val="center"/>
              <w:rPr>
                <w:rFonts w:ascii="Arial" w:cs="Arial" w:eastAsia="Arial" w:hAnsi="Arial"/>
                <w:b w:val="0"/>
                <w:bCs w:val="0"/>
                <w:color w:val="434343"/>
              </w:rPr>
            </w:pPr>
            <w:r w:rsidDel="00000000" w:rsidR="00000000" w:rsidRPr="00000000">
              <w:rPr>
                <w:rFonts w:ascii="Arial" w:cs="Arial" w:eastAsia="Arial" w:hAnsi="Arial"/>
                <w:b w:val="0"/>
                <w:bCs w:val="0"/>
                <w:color w:val="434343"/>
                <w:rtl w:val="0"/>
              </w:rPr>
              <w:t xml:space="preserve">Chief Innovation Officer at Graphwise</w:t>
            </w:r>
          </w:p>
          <w:p w:rsidR="00000000" w:rsidDel="00000000" w:rsidP="00000000" w:rsidRDefault="00000000" w:rsidRPr="00000000" w14:paraId="00000011">
            <w:pPr>
              <w:spacing w:line="276" w:lineRule="auto"/>
              <w:jc w:val="center"/>
              <w:rPr/>
            </w:pPr>
            <w:r w:rsidDel="00000000" w:rsidR="00000000" w:rsidRPr="00000000">
              <w:rPr>
                <w:rtl w:val="0"/>
              </w:rPr>
            </w:r>
          </w:p>
        </w:tc>
      </w:tr>
    </w:tbl>
    <w:p w:rsidR="00000000" w:rsidDel="00000000" w:rsidP="00000000" w:rsidRDefault="00000000" w:rsidRPr="00000000" w14:paraId="00000012">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2121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