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ius1escr9tj" w:id="0"/>
      <w:bookmarkEnd w:id="0"/>
      <w:r w:rsidDel="00000000" w:rsidR="00000000" w:rsidRPr="00000000">
        <w:rPr>
          <w:rtl w:val="0"/>
        </w:rPr>
        <w:t xml:space="preserve">LLMs and Knowledge Graphs</w:t>
      </w:r>
    </w:p>
    <w:p w:rsidR="00000000" w:rsidDel="00000000" w:rsidP="00000000" w:rsidRDefault="00000000" w:rsidRPr="00000000" w14:paraId="00000002">
      <w:pPr>
        <w:pStyle w:val="Heading4"/>
        <w:rPr/>
      </w:pPr>
      <w:bookmarkStart w:colFirst="0" w:colLast="0" w:name="_5p1c6xeiatx0" w:id="1"/>
      <w:bookmarkEnd w:id="1"/>
      <w:r w:rsidDel="00000000" w:rsidR="00000000" w:rsidRPr="00000000">
        <w:rPr>
          <w:rtl w:val="0"/>
        </w:rPr>
        <w:t xml:space="preserve">Session 2.1</w:t>
      </w:r>
    </w:p>
    <w:p w:rsidR="00000000" w:rsidDel="00000000" w:rsidP="00000000" w:rsidRDefault="00000000" w:rsidRPr="00000000" w14:paraId="00000003">
      <w:pPr>
        <w:pStyle w:val="Heading4"/>
        <w:rPr/>
      </w:pPr>
      <w:bookmarkStart w:colFirst="0" w:colLast="0" w:name="_ihdmx39syu68" w:id="2"/>
      <w:bookmarkEnd w:id="2"/>
      <w:r w:rsidDel="00000000" w:rsidR="00000000" w:rsidRPr="00000000">
        <w:rPr>
          <w:rtl w:val="0"/>
        </w:rPr>
        <w:t xml:space="preserve">Time: September 16, 2026 - 13:30 - 15:00</w:t>
      </w:r>
    </w:p>
    <w:p w:rsidR="00000000" w:rsidDel="00000000" w:rsidP="00000000" w:rsidRDefault="00000000" w:rsidRPr="00000000" w14:paraId="00000004">
      <w:pPr>
        <w:pStyle w:val="Heading4"/>
        <w:rPr/>
      </w:pPr>
      <w:bookmarkStart w:colFirst="0" w:colLast="0" w:name="_wdewy7t5zy0q" w:id="3"/>
      <w:bookmarkEnd w:id="3"/>
      <w:r w:rsidDel="00000000" w:rsidR="00000000" w:rsidRPr="00000000">
        <w:rPr>
          <w:rtl w:val="0"/>
        </w:rPr>
        <w:t xml:space="preserve">Chair: Annette ten Teije</w:t>
      </w:r>
    </w:p>
    <w:p w:rsidR="00000000" w:rsidDel="00000000" w:rsidP="00000000" w:rsidRDefault="00000000" w:rsidRPr="00000000" w14:paraId="00000005">
      <w:pPr>
        <w:pStyle w:val="Heading2"/>
        <w:rPr/>
      </w:pPr>
      <w:bookmarkStart w:colFirst="0" w:colLast="0" w:name="_i8t8tt1x3ny" w:id="4"/>
      <w:bookmarkEnd w:id="4"/>
      <w:r w:rsidDel="00000000" w:rsidR="00000000" w:rsidRPr="00000000">
        <w:rPr>
          <w:rtl w:val="0"/>
        </w:rPr>
      </w:r>
    </w:p>
    <w:p w:rsidR="00000000" w:rsidDel="00000000" w:rsidP="00000000" w:rsidRDefault="00000000" w:rsidRPr="00000000" w14:paraId="00000006">
      <w:pPr>
        <w:pStyle w:val="Heading2"/>
        <w:rPr/>
      </w:pPr>
      <w:bookmarkStart w:colFirst="0" w:colLast="0" w:name="_6jnmuqhhfm7" w:id="5"/>
      <w:bookmarkEnd w:id="5"/>
      <w:r w:rsidDel="00000000" w:rsidR="00000000" w:rsidRPr="00000000">
        <w:rPr>
          <w:rtl w:val="0"/>
        </w:rPr>
        <w:t xml:space="preserve">Talks</w:t>
      </w:r>
    </w:p>
    <w:p w:rsidR="00000000" w:rsidDel="00000000" w:rsidP="00000000" w:rsidRDefault="00000000" w:rsidRPr="00000000" w14:paraId="00000007">
      <w:pPr>
        <w:pStyle w:val="Heading2"/>
        <w:rPr/>
      </w:pPr>
      <w:bookmarkStart w:colFirst="0" w:colLast="0" w:name="_rba6rv2y9dr4" w:id="6"/>
      <w:bookmarkEnd w:id="6"/>
      <w:r w:rsidDel="00000000" w:rsidR="00000000" w:rsidRPr="00000000">
        <w:rPr>
          <w:rtl w:val="0"/>
        </w:rPr>
        <w:t xml:space="preserve">Ontology-Aware Prompting for Knowledge Graph Construction from Text</w:t>
      </w:r>
    </w:p>
    <w:p w:rsidR="00000000" w:rsidDel="00000000" w:rsidP="00000000" w:rsidRDefault="00000000" w:rsidRPr="00000000" w14:paraId="00000008">
      <w:pPr>
        <w:rPr/>
      </w:pPr>
      <w:r w:rsidDel="00000000" w:rsidR="00000000" w:rsidRPr="00000000">
        <w:rPr>
          <w:b w:val="1"/>
          <w:bCs w:val="1"/>
          <w:rtl w:val="0"/>
        </w:rPr>
        <w:t xml:space="preserve">Abstract: </w:t>
      </w:r>
      <w:r w:rsidDel="00000000" w:rsidR="00000000" w:rsidRPr="00000000">
        <w:rPr>
          <w:rtl w:val="0"/>
        </w:rPr>
        <w:t xml:space="preserve">Constructing Knowledge Graphs (KGs) from unstructured text has traditionally relied on multi-stage pipelines combining Named Entity Recognition, Relation Extraction, and Entity Linking components. These architectures are costly to adapt to new domains and suffer from error propagation across stages. While Large Language Models (LLMs) enable end-to-end triple generation from text, their direct application introduces two key challenges: (1) hallucination, where generated facts are not supported by the input text, and (2) ontology misalignment, where extracted entities and relations violate the constraints of a target schema. To address these limitations, we propose an ontology-aware multi-prompt framework that integrates the target ontology into the prompting process and applies hierarchical verification after triple generation. Specifically, we combine Tree-of-Thoughts-style reasoning for structured exploration, schema-constrained OpenIE, and relaxed triple generation to produce a diverse set of candidate triples while maintaining ontological awareness. A rule-based three-filter filtering module then refines these candidates using cross-prompt agreement, evidence grounding, and surface-form alignment, without relying on external toolchains. Experiments on Text2KGBench, including DBpedia-WebNLG and Wikidata-TekGen, show improvements of up to 2.3 times over LLM-based baselines, together with hallucination rates below 0.20 in most domains and ontology conformance above 0.90 on most DBpedia-WebNLG domains. The framework is released as open-source and available at https://anonymous.4open.science/r/ontology-aware-kg-construction-2B0C.</w:t>
      </w:r>
    </w:p>
    <w:p w:rsidR="00000000" w:rsidDel="00000000" w:rsidP="00000000" w:rsidRDefault="00000000" w:rsidRPr="00000000" w14:paraId="00000009">
      <w:pPr>
        <w:rPr/>
      </w:pPr>
      <w:r w:rsidDel="00000000" w:rsidR="00000000" w:rsidRPr="00000000">
        <w:rPr>
          <w:b w:val="1"/>
          <w:bCs w:val="1"/>
          <w:rtl w:val="0"/>
        </w:rPr>
        <w:t xml:space="preserve">Speaker(s): </w:t>
      </w:r>
      <w:r w:rsidDel="00000000" w:rsidR="00000000" w:rsidRPr="00000000">
        <w:rPr>
          <w:rtl w:val="0"/>
        </w:rPr>
        <w:t xml:space="preserve">Balram Tiwari, Italo Oliveira, Asep Fajar Firmansyah, Hamada M Zahera, Frank Hopfgartner and Axel-Cyrille Ngonga Ngomo</w:t>
      </w:r>
    </w:p>
    <w:p w:rsidR="00000000" w:rsidDel="00000000" w:rsidP="00000000" w:rsidRDefault="00000000" w:rsidRPr="00000000" w14:paraId="0000000A">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tw9x0gkymcsk" w:id="7"/>
      <w:bookmarkEnd w:id="7"/>
      <w:r w:rsidDel="00000000" w:rsidR="00000000" w:rsidRPr="00000000">
        <w:rPr>
          <w:rtl w:val="0"/>
        </w:rPr>
        <w:t xml:space="preserve">Best Practices in Graph Retrieval-Augmented Generation: A Systematic Evaluation</w:t>
      </w:r>
    </w:p>
    <w:p w:rsidR="00000000" w:rsidDel="00000000" w:rsidP="00000000" w:rsidRDefault="00000000" w:rsidRPr="00000000" w14:paraId="0000000F">
      <w:pPr>
        <w:rPr/>
      </w:pPr>
      <w:r w:rsidDel="00000000" w:rsidR="00000000" w:rsidRPr="00000000">
        <w:rPr>
          <w:b w:val="1"/>
          <w:bCs w:val="1"/>
          <w:rtl w:val="0"/>
        </w:rPr>
        <w:t xml:space="preserve">Abstract: </w:t>
      </w:r>
      <w:r w:rsidDel="00000000" w:rsidR="00000000" w:rsidRPr="00000000">
        <w:rPr>
          <w:rtl w:val="0"/>
        </w:rPr>
        <w:t xml:space="preserve">Graph Retrieval-Augmented Generation (GraphRAG) enhances Large Language Models (LLMs) by integrating knowledge graphs for structured retrieval and reasoning. However, the design space of GraphRAG systems is vast, and systematic guidance on optimal configurations remains scarce. In this paper, we present a comprehensive empirical study identifying best practices across the three core stages of the GraphRAG pipeline: graph-based indexing, graph-guided retrieval, and graph-enhanced generation. Through extensive experiments on multiple datasets (MSMARCO, HotpotQA, and a domain-specific legal corpus), we evaluate key design decisions, including chunking strategies, embedding model selection, prompt engineering for triplet extraction, entity resolution, retriever architectures, traversal depths, reranking models, and graph representation formats for LLM prompts. Our results show that hierarchical chunking at 512 tokens, schema-based extraction prompts, a combined Hypothetical Question and Entities retriever with cross-encoder reranking, and code-like graph representations (GraphML) yield robust performance across domains. We apply the identified best practices to a real-world use case within EU banking regulations, constructing a knowledge graph from the Capital Requirements Regulation (CRR) and the Capital Requirements Directive (CRD IV). A comparative evaluation demonstrates that the optimised GraphRAG system consistently outperforms Naive RAG, HyDE RAG, and Hybrid RAG, achieving overall win rates of 60.6%, 58.0%, and 67.4%, respectively, as judged by an LLM evaluator across comprehensiveness, diversity, empowerment, and correctness metrics. Our findings provide actionable guidelines for deploying GraphRAG in domain-specific, privacy-sensitive settings using open-source models.</w:t>
      </w:r>
    </w:p>
    <w:p w:rsidR="00000000" w:rsidDel="00000000" w:rsidP="00000000" w:rsidRDefault="00000000" w:rsidRPr="00000000" w14:paraId="00000010">
      <w:pPr>
        <w:rPr/>
      </w:pPr>
      <w:r w:rsidDel="00000000" w:rsidR="00000000" w:rsidRPr="00000000">
        <w:rPr>
          <w:b w:val="1"/>
          <w:bCs w:val="1"/>
          <w:rtl w:val="0"/>
        </w:rPr>
        <w:t xml:space="preserve">Speaker(s): </w:t>
      </w:r>
      <w:r w:rsidDel="00000000" w:rsidR="00000000" w:rsidRPr="00000000">
        <w:rPr>
          <w:rtl w:val="0"/>
        </w:rPr>
        <w:t xml:space="preserve">Yan-Ying Liao, Diego Collarana, Christopher Ingo Pack, Alexander Graß, Andreas Both, Stefan Decker and Christian Beecks</w:t>
      </w:r>
    </w:p>
    <w:p w:rsidR="00000000" w:rsidDel="00000000" w:rsidP="00000000" w:rsidRDefault="00000000" w:rsidRPr="00000000" w14:paraId="00000011">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eo0x224vwllw" w:id="8"/>
      <w:bookmarkEnd w:id="8"/>
      <w:r w:rsidDel="00000000" w:rsidR="00000000" w:rsidRPr="00000000">
        <w:rPr>
          <w:rtl w:val="0"/>
        </w:rPr>
        <w:t xml:space="preserve">OntoExtend: A Framework for Requirement-driven and Scalable Ontology Extension with LLMs</w:t>
      </w:r>
    </w:p>
    <w:p w:rsidR="00000000" w:rsidDel="00000000" w:rsidP="00000000" w:rsidRDefault="00000000" w:rsidRPr="00000000" w14:paraId="00000016">
      <w:pPr>
        <w:rPr/>
      </w:pPr>
      <w:r w:rsidDel="00000000" w:rsidR="00000000" w:rsidRPr="00000000">
        <w:rPr>
          <w:b w:val="1"/>
          <w:bCs w:val="1"/>
          <w:rtl w:val="0"/>
        </w:rPr>
        <w:t xml:space="preserve">Abstract: </w:t>
      </w:r>
      <w:r w:rsidDel="00000000" w:rsidR="00000000" w:rsidRPr="00000000">
        <w:rPr>
          <w:rtl w:val="0"/>
        </w:rPr>
        <w:t xml:space="preserve">Ontology extension refers to the process of enriching an existing ontology in response to emerging requirements, making it more complete. This task is a resource-intensive and error-prone process. Large Language Models (LLMs) have shown promising performance on generating ontologies from scratch, but current approaches rarely tie ontology extension explicitly to requirements or reusable core models, and offer limited, systematic evaluation of LLM outputs. This paper intro- duces OntoExtend, a requirements-driven framework for ontology extension with LLMs. It uses retrieval-augmented generation (RAG) over relevant input ontologies and requirements in the form of competency questions to propose grounded extensions. To evaluate OntoExtend, we propose a multidimensional evaluation, including structural and functional assessment, as well as six ontology engineers who evaluate the generated extensions. The framework is instantiated and assessed on two use cases: a publicly available EU-project ontology and an industrial ontology. The results indicate little to no structural and logical issues and ontology engineers with high Fleiss inter-annotator agreement (Po) reported the generated fragments as semantically and syntactically correct, needing minor and moderate changes before being integrated into the input ontologies. These results suggest that the OntoExtend framework can support effective ontology extension in real-world scenarios.</w:t>
      </w:r>
    </w:p>
    <w:p w:rsidR="00000000" w:rsidDel="00000000" w:rsidP="00000000" w:rsidRDefault="00000000" w:rsidRPr="00000000" w14:paraId="00000017">
      <w:pPr>
        <w:rPr/>
      </w:pPr>
      <w:r w:rsidDel="00000000" w:rsidR="00000000" w:rsidRPr="00000000">
        <w:rPr>
          <w:b w:val="1"/>
          <w:bCs w:val="1"/>
          <w:rtl w:val="0"/>
        </w:rPr>
        <w:t xml:space="preserve">Speaker(s): </w:t>
      </w:r>
      <w:r w:rsidDel="00000000" w:rsidR="00000000" w:rsidRPr="00000000">
        <w:rPr>
          <w:rtl w:val="0"/>
        </w:rPr>
        <w:t xml:space="preserve">Anna Sofia Lippolis, Javad Saeedizade, Eva Blomqvist, Aldo Gangemi, Andrea Giovanni Nuzzolese, Robin Keskisärkkä, Stefan Schmid and Simon Blattner</w:t>
      </w:r>
    </w:p>
    <w:p w:rsidR="00000000" w:rsidDel="00000000" w:rsidP="00000000" w:rsidRDefault="00000000" w:rsidRPr="00000000" w14:paraId="00000018">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bookmarkStart w:colFirst="0" w:colLast="0" w:name="_i2b37ojdi5rs" w:id="9"/>
      <w:bookmarkEnd w:id="9"/>
      <w:r w:rsidDel="00000000" w:rsidR="00000000" w:rsidRPr="00000000">
        <w:rPr>
          <w:rtl w:val="0"/>
        </w:rPr>
        <w:t xml:space="preserve">Surprising Effectiveness of Self-Demonstrations in Enhancing Schema-Ontology Mapping with LLMs</w:t>
      </w:r>
    </w:p>
    <w:p w:rsidR="00000000" w:rsidDel="00000000" w:rsidP="00000000" w:rsidRDefault="00000000" w:rsidRPr="00000000" w14:paraId="0000001D">
      <w:pPr>
        <w:rPr/>
      </w:pPr>
      <w:r w:rsidDel="00000000" w:rsidR="00000000" w:rsidRPr="00000000">
        <w:rPr>
          <w:b w:val="1"/>
          <w:bCs w:val="1"/>
          <w:rtl w:val="0"/>
        </w:rPr>
        <w:t xml:space="preserve">Abstract: </w:t>
      </w:r>
      <w:r w:rsidDel="00000000" w:rsidR="00000000" w:rsidRPr="00000000">
        <w:rPr>
          <w:rtl w:val="0"/>
        </w:rPr>
        <w:t xml:space="preserve">Integrating heterogeneous relational databases into a centralized ontology remains a persistent challenge in enterprise knowledge representation, primarily due to semantic heterogeneity, cryptic schema naming, missing metadata, and the abstraction gap between relational schemas and ontological models. Although large language models (LLMs) offer strong semantic reasoning capabilities, we show that directly applying them through one-shot prompting or naïve multi-stage pipelines leads to poor performance for schema–ontology mapping. This paper presents a self-demonstration-driven approach that combines a neuro-symbolic task decomposition with a novel mechanism for automatically generating pattern-guided, dependency-aware demonstrations to address this integration challenge. Our approach incorporates two key strategies to achieve substantial accuracy gains over existing LLM-based schema integration methods: (i) a neuro-symbolic decomposition of the task into cascaded sub-tasks, where symbolic constraints structure the search space and LLMs perform semantic reasoning within each focused sub-task, and (ii) self-generated demonstrations guided by domain-agnostic patterns to supervise each sub-task. Experiments on three of the most challenging scenarios from the RODI benchmark show that our approach achieves state-of-the-art performance, substantially outperforming (~25 percentage points F1 improvements) both traditional schema-to-ontology mapping techniques and recent LLM-based schema-to-ontology and schema matching approaches. Ablation studies further reveal the significant benefits of pattern-guided self-demonstrations and the complementary benefits of neuro-symbolic task decomposition.</w:t>
      </w:r>
    </w:p>
    <w:p w:rsidR="00000000" w:rsidDel="00000000" w:rsidP="00000000" w:rsidRDefault="00000000" w:rsidRPr="00000000" w14:paraId="0000001E">
      <w:pPr>
        <w:rPr/>
      </w:pPr>
      <w:r w:rsidDel="00000000" w:rsidR="00000000" w:rsidRPr="00000000">
        <w:rPr>
          <w:b w:val="1"/>
          <w:bCs w:val="1"/>
          <w:rtl w:val="0"/>
        </w:rPr>
        <w:t xml:space="preserve">Speaker(s): </w:t>
      </w:r>
      <w:r w:rsidDel="00000000" w:rsidR="00000000" w:rsidRPr="00000000">
        <w:rPr>
          <w:rtl w:val="0"/>
        </w:rPr>
        <w:t xml:space="preserve">Siddhesh Thombre, Manasi Patwardhan and Sunita Sarawagi</w:t>
      </w:r>
    </w:p>
    <w:p w:rsidR="00000000" w:rsidDel="00000000" w:rsidP="00000000" w:rsidRDefault="00000000" w:rsidRPr="00000000" w14:paraId="0000001F">
      <w:pPr>
        <w:rPr>
          <w:b w:val="1"/>
          <w:bCs w:val="1"/>
        </w:rPr>
      </w:pPr>
      <w:r w:rsidDel="00000000" w:rsidR="00000000" w:rsidRPr="00000000">
        <w:rPr>
          <w:b w:val="1"/>
          <w:bCs w:val="1"/>
          <w:rtl w:val="0"/>
        </w:rPr>
        <w:t xml:space="preserve">Track: Research and Innovation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