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giovomonpd3" w:id="0"/>
      <w:bookmarkEnd w:id="0"/>
      <w:r w:rsidDel="00000000" w:rsidR="00000000" w:rsidRPr="00000000">
        <w:rPr>
          <w:rtl w:val="0"/>
        </w:rPr>
        <w:t xml:space="preserve">Semantic Applications</w:t>
      </w:r>
    </w:p>
    <w:p w:rsidR="00000000" w:rsidDel="00000000" w:rsidP="00000000" w:rsidRDefault="00000000" w:rsidRPr="00000000" w14:paraId="00000002">
      <w:pPr>
        <w:pStyle w:val="Heading4"/>
        <w:rPr/>
      </w:pPr>
      <w:bookmarkStart w:colFirst="0" w:colLast="0" w:name="_g2e4zr7ghbk3" w:id="1"/>
      <w:bookmarkEnd w:id="1"/>
      <w:r w:rsidDel="00000000" w:rsidR="00000000" w:rsidRPr="00000000">
        <w:rPr>
          <w:rtl w:val="0"/>
        </w:rPr>
        <w:t xml:space="preserve">Session 3.2</w:t>
      </w:r>
    </w:p>
    <w:p w:rsidR="00000000" w:rsidDel="00000000" w:rsidP="00000000" w:rsidRDefault="00000000" w:rsidRPr="00000000" w14:paraId="00000003">
      <w:pPr>
        <w:pStyle w:val="Heading4"/>
        <w:rPr/>
      </w:pPr>
      <w:bookmarkStart w:colFirst="0" w:colLast="0" w:name="_wfozlpymlp65" w:id="2"/>
      <w:bookmarkEnd w:id="2"/>
      <w:r w:rsidDel="00000000" w:rsidR="00000000" w:rsidRPr="00000000">
        <w:rPr>
          <w:rtl w:val="0"/>
        </w:rPr>
        <w:t xml:space="preserve">Time: September 17, 2026 - 10:30 - 12:00</w:t>
      </w:r>
    </w:p>
    <w:p w:rsidR="00000000" w:rsidDel="00000000" w:rsidP="00000000" w:rsidRDefault="00000000" w:rsidRPr="00000000" w14:paraId="00000004">
      <w:pPr>
        <w:pStyle w:val="Heading4"/>
        <w:rPr/>
      </w:pPr>
      <w:bookmarkStart w:colFirst="0" w:colLast="0" w:name="_pe9eqpl3wd0q" w:id="3"/>
      <w:bookmarkEnd w:id="3"/>
      <w:r w:rsidDel="00000000" w:rsidR="00000000" w:rsidRPr="00000000">
        <w:rPr>
          <w:rtl w:val="0"/>
        </w:rPr>
        <w:t xml:space="preserve">Chair: Beatriz Gonçalves Crisóstomo Esteves</w:t>
      </w:r>
    </w:p>
    <w:p w:rsidR="00000000" w:rsidDel="00000000" w:rsidP="00000000" w:rsidRDefault="00000000" w:rsidRPr="00000000" w14:paraId="00000005">
      <w:pPr>
        <w:pStyle w:val="Heading2"/>
        <w:rPr/>
      </w:pPr>
      <w:bookmarkStart w:colFirst="0" w:colLast="0" w:name="_qpptb0jn51y6"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ia4e94brbv85"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pfg7rdqoq00p" w:id="6"/>
      <w:bookmarkEnd w:id="6"/>
      <w:r w:rsidDel="00000000" w:rsidR="00000000" w:rsidRPr="00000000">
        <w:rPr>
          <w:rtl w:val="0"/>
        </w:rPr>
        <w:t xml:space="preserve">Privacy-Preserving Sharing of Knowledge Graphs at the Bank of Italy</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Corporate ownership graphs are a strategic knowledge asset for banking supervision and financial intelligence, but their dissemination is constrained by strict confidentiality requirements. This talk presents an industrial case study from the Central Bank of Italy on privacy-preserving sharing of corporate ownership Knowledge Graphs (KGs). In our setting, the KG is not only an extensional graph of asserted ownership triples, but a semantic knowledge base whose intensional layer is specified by Datalog rules. These rules define entailment over the graph and derive supervisory notions such as corporate control, ultimate control, joint control, integrated ownership, and qualifying holdings. As a result, what must be protected is not only the explicit graph, but the combination of asserted data and rule-based inferences.  This requirement is central in institutional data-sharing  scenarios involving external analysts, researchers, and  supervisory partners. Existing anonymization and  graph-sanitization techniques typically focus on  structural disclosure in the released graph, while they do  not address confidential information that may be  reconstructed through the semantic rule layer. This gap is  relevant as KGs become core assets for analytics and  grounding layers for LLM-based applications in  high-confidentiality domains. We introduce a semantic anonymization framework for corporate ownership KGs. The method transforms the graph through controlled node and edge additions, entity relabeling, and weight perturbation, while taking the Datalog program into account to prevent both direct disclosure and inference-based leakage. We validate the framework on the Central Bank of Italy ownership dataset and on external benchmarks, assessing formal privacy protection, preservation of supervisory entailments, structural distortion, and downstream analytical utility. The experiments show that the anonymized KGs retain the semantic content required for regulatory analysis while preventing the disclosure of confidential information.</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Luigi Bellomarini, Costanza Catalano, Andrea Coletta and Michela Iezzi</w:t>
      </w:r>
    </w:p>
    <w:p w:rsidR="00000000" w:rsidDel="00000000" w:rsidP="00000000" w:rsidRDefault="00000000" w:rsidRPr="00000000" w14:paraId="0000000A">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n3xa6m7ew92j" w:id="7"/>
      <w:bookmarkEnd w:id="7"/>
      <w:r w:rsidDel="00000000" w:rsidR="00000000" w:rsidRPr="00000000">
        <w:rPr>
          <w:rtl w:val="0"/>
        </w:rPr>
        <w:t xml:space="preserve">From Linked Data to AI-Ready Data: Five Floors, and How to Build Them [SP]</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Every organisation now says it wants its data to be "AI-ready". Almost nobody can say what that means, or how to get there - and the usual answer, put the documents in a vector database and connect an LLM, produces impressive demos that stall before production. The model is rarely the problem. The data underneath it is.This talk introduces a practical framework for AI-ready data: five floors, built foundation-first, in the spirit of Tim Berners-Lee's five-star model for linked open data. Each floor is a state your data is either in or not, testable by specific conditions that can be checked in a pragmatic way.Most of the session focuses on how the floors get built. For every new floor we discuss what it provides, how to tell whether you have successfully built it, and what it takes to reach the next one.This is based on a decade of experience building production knowledge graphs for EU institutions and regulated industries.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Agis Papantoniou (Cognizone)</w:t>
      </w:r>
    </w:p>
    <w:p w:rsidR="00000000" w:rsidDel="00000000" w:rsidP="00000000" w:rsidRDefault="00000000" w:rsidRPr="00000000" w14:paraId="00000011">
      <w:pPr>
        <w:rPr>
          <w:b w:val="1"/>
          <w:bCs w:val="1"/>
        </w:rPr>
      </w:pPr>
      <w:r w:rsidDel="00000000" w:rsidR="00000000" w:rsidRPr="00000000">
        <w:rPr>
          <w:b w:val="1"/>
          <w:bCs w:val="1"/>
          <w:rtl w:val="0"/>
        </w:rPr>
        <w:t xml:space="preserve">Sponsor Talk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iqzuf1jqp9w0" w:id="8"/>
      <w:bookmarkEnd w:id="8"/>
      <w:r w:rsidDel="00000000" w:rsidR="00000000" w:rsidRPr="00000000">
        <w:rPr>
          <w:rtl w:val="0"/>
        </w:rPr>
        <w:t xml:space="preserve">Automated legal reasoning system for generating draft responses to claims, based on Neurosymbolic AI on knowledge graphs.</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If this case is selected, the final case presentation is subject to approval by our client. An insurance entity manages thousands of lawsuits annually across two highly complex regulatory domains: extraordinary risks (floods, earthquakes, terrorist attacks) and compulsory motor vehicle insurance. Each case file arrives as heterogeneous documentary chaos: procedural briefs, expert reports, photographs, scanned administrative files. Processing it through traditional methods represents weeks of specialized legal work, with the risk of argumentative inconsistency and exposure to deadlines that the judicial system does not forgive. GNOSS has built and deployed an automated legal reasoning system that does not merely retrieve relevant documents, but reasons over them. Its core is a knowledge graph encoding the regulatory pyramid applicable to the fund — from the Constitution and EU law down to administrative circulars — integrated with a jurisprudential layer of five thousand CENDOJ rulings. The system extracts the legally material entities from the case file, classifies the case, traverses the corresponding argumentative chain, and identifies the optimal procedural strategy from twelve predefined options. Each inference is an examinable logical instance, not a statistical prediction. The result is a tool that complies by design with the explainability and auditability requirements that the European AI Act demands of high-risk systems. The lawyer does not receive an answer: they receive a line of reasoning they can follow, challenge, and sign. What previously required days of work is completed in minutes, with full traceability and systematic argumentative consistency.</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Ricardo Alonso-Maturana, Angel Esteban Moreno-Beltrán, Marcos Campazas, Susana López-Sola and Karmele Alonso Aia</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or5ttp192aa1" w:id="9"/>
      <w:bookmarkEnd w:id="9"/>
      <w:r w:rsidDel="00000000" w:rsidR="00000000" w:rsidRPr="00000000">
        <w:rPr>
          <w:rtl w:val="0"/>
        </w:rPr>
        <w:t xml:space="preserve">Creating an AI-ready fundament for the Dutch Digital System for the Environment and Planning Act</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AI applications for the Dutch Digital System for the Environment and Planning Act (DSO: Digitaal Stelsel Omgevingswet) increasingly support citizens and professionals in interpreting environmental and planning regulations. However, these applications operate in a legally sensitive domain in which answer quality must not only be useful, but also correct, traceable, and explainable. This creates a need for a semantic infrastructure that can bridge user language and legal concepts, connect the concepts between different domains and create a fundament for AI applications to build on. Our work combines semantic modelling of DSO data with graph-based modelling of legal texts from national, provincial, municipal, and water authority sources. The graph links user-facing activities, legal activities, legal rules, concepts, and legislative structure. To support legal traceability, statutes and decrees were transformed from XML into RDF graph structures using a dedicated ontology in combination with the ontology of European Legislation Identifier (ELI). A graph agent then decomposes a user question into key terms and user-facing activities. The agent then traverses through the graph to retrieve relevant legal context, and re-ranks candidate documents. This approach allows the modelling of knowledge graphs to be directly used as input for (LLM-based) AI-solutions, resulting in a clearer overview of used sources and provides visualisation potential for increased trust and understanding from the user’s perspective.</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Jan Lyckle Bijlsma and Art Ligthart</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