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5rt554774uhm" w:id="0"/>
      <w:bookmarkEnd w:id="0"/>
      <w:r w:rsidDel="00000000" w:rsidR="00000000" w:rsidRPr="00000000">
        <w:rPr>
          <w:rtl w:val="0"/>
        </w:rPr>
        <w:t xml:space="preserve">Knowledge Graph Applications</w:t>
      </w:r>
    </w:p>
    <w:p w:rsidR="00000000" w:rsidDel="00000000" w:rsidP="00000000" w:rsidRDefault="00000000" w:rsidRPr="00000000" w14:paraId="00000002">
      <w:pPr>
        <w:pStyle w:val="Heading4"/>
        <w:rPr/>
      </w:pPr>
      <w:bookmarkStart w:colFirst="0" w:colLast="0" w:name="_mjr7pd4c8x37" w:id="1"/>
      <w:bookmarkEnd w:id="1"/>
      <w:r w:rsidDel="00000000" w:rsidR="00000000" w:rsidRPr="00000000">
        <w:rPr>
          <w:rtl w:val="0"/>
        </w:rPr>
        <w:t xml:space="preserve">Session 3.3</w:t>
      </w:r>
    </w:p>
    <w:p w:rsidR="00000000" w:rsidDel="00000000" w:rsidP="00000000" w:rsidRDefault="00000000" w:rsidRPr="00000000" w14:paraId="00000003">
      <w:pPr>
        <w:pStyle w:val="Heading4"/>
        <w:rPr/>
      </w:pPr>
      <w:bookmarkStart w:colFirst="0" w:colLast="0" w:name="_zdows67s9uei" w:id="2"/>
      <w:bookmarkEnd w:id="2"/>
      <w:r w:rsidDel="00000000" w:rsidR="00000000" w:rsidRPr="00000000">
        <w:rPr>
          <w:rtl w:val="0"/>
        </w:rPr>
        <w:t xml:space="preserve">Time: September 17, 2026 - 10:30 - 12:00</w:t>
      </w:r>
    </w:p>
    <w:p w:rsidR="00000000" w:rsidDel="00000000" w:rsidP="00000000" w:rsidRDefault="00000000" w:rsidRPr="00000000" w14:paraId="00000004">
      <w:pPr>
        <w:pStyle w:val="Heading4"/>
        <w:rPr/>
      </w:pPr>
      <w:bookmarkStart w:colFirst="0" w:colLast="0" w:name="_tgk5f8r6cpav" w:id="3"/>
      <w:bookmarkEnd w:id="3"/>
      <w:r w:rsidDel="00000000" w:rsidR="00000000" w:rsidRPr="00000000">
        <w:rPr>
          <w:rtl w:val="0"/>
        </w:rPr>
        <w:t xml:space="preserve">Chair: Milan Dojchinovski</w:t>
      </w:r>
    </w:p>
    <w:p w:rsidR="00000000" w:rsidDel="00000000" w:rsidP="00000000" w:rsidRDefault="00000000" w:rsidRPr="00000000" w14:paraId="00000005">
      <w:pPr>
        <w:pStyle w:val="Heading2"/>
        <w:rPr/>
      </w:pPr>
      <w:bookmarkStart w:colFirst="0" w:colLast="0" w:name="_y8fbywsgsezq" w:id="4"/>
      <w:bookmarkEnd w:id="4"/>
      <w:r w:rsidDel="00000000" w:rsidR="00000000" w:rsidRPr="00000000">
        <w:rPr>
          <w:rtl w:val="0"/>
        </w:rPr>
      </w:r>
    </w:p>
    <w:p w:rsidR="00000000" w:rsidDel="00000000" w:rsidP="00000000" w:rsidRDefault="00000000" w:rsidRPr="00000000" w14:paraId="00000006">
      <w:pPr>
        <w:pStyle w:val="Heading2"/>
        <w:rPr/>
      </w:pPr>
      <w:bookmarkStart w:colFirst="0" w:colLast="0" w:name="_dnlq51vtyysv" w:id="5"/>
      <w:bookmarkEnd w:id="5"/>
      <w:r w:rsidDel="00000000" w:rsidR="00000000" w:rsidRPr="00000000">
        <w:rPr>
          <w:rtl w:val="0"/>
        </w:rPr>
        <w:t xml:space="preserve">Talks</w:t>
      </w:r>
    </w:p>
    <w:p w:rsidR="00000000" w:rsidDel="00000000" w:rsidP="00000000" w:rsidRDefault="00000000" w:rsidRPr="00000000" w14:paraId="00000007">
      <w:pPr>
        <w:pStyle w:val="Heading2"/>
        <w:rPr/>
      </w:pPr>
      <w:bookmarkStart w:colFirst="0" w:colLast="0" w:name="_eeto9t2o57v0" w:id="6"/>
      <w:bookmarkEnd w:id="6"/>
      <w:r w:rsidDel="00000000" w:rsidR="00000000" w:rsidRPr="00000000">
        <w:rPr>
          <w:rtl w:val="0"/>
        </w:rPr>
        <w:t xml:space="preserve">Engineering the Enterprise Semantic Layer: From Business Meaning to Machine-Executable Data Architecture [SP]</w:t>
      </w:r>
    </w:p>
    <w:p w:rsidR="00000000" w:rsidDel="00000000" w:rsidP="00000000" w:rsidRDefault="00000000" w:rsidRPr="00000000" w14:paraId="00000008">
      <w:pPr>
        <w:rPr/>
      </w:pPr>
      <w:r w:rsidDel="00000000" w:rsidR="00000000" w:rsidRPr="00000000">
        <w:rPr>
          <w:b w:val="1"/>
          <w:bCs w:val="1"/>
          <w:rtl w:val="0"/>
        </w:rPr>
        <w:t xml:space="preserve">Abstract: </w:t>
      </w:r>
      <w:r w:rsidDel="00000000" w:rsidR="00000000" w:rsidRPr="00000000">
        <w:rPr>
          <w:rtl w:val="0"/>
        </w:rPr>
        <w:t xml:space="preserve">Business language and technical data architecture still live in separate worlds and that gap is quietly undermining enterprise AI initiatives. Data catalogs and APIs have improved access to data, but they rarely capture what that data means or how it connects to the business concepts that govern it.This session presents a concise engineering blueprint for an Enterprise Semantic Layer: an architectural approach that connects Business Object ontologies, physical data assets, and technical metadata through explicit semantic models and schema mappings. Drawing on real enterprise implementations, Thomas Kaminski (Senior Knowledge Graph Solutions Engineer, Digital Science / metaphacts) shows how RDF-based schema representations and business object modeling give both humans and AI agents a shared, machine-interpretable view of the enterprise data landscape.In 15 minutes, you'll walk away understanding how this framework transforms Enterprise Information Architecture from static documentation into an operational layer that enables semantic data discovery, automated lineage and explainable AI at enterprise scale.</w:t>
      </w:r>
    </w:p>
    <w:p w:rsidR="00000000" w:rsidDel="00000000" w:rsidP="00000000" w:rsidRDefault="00000000" w:rsidRPr="00000000" w14:paraId="00000009">
      <w:pPr>
        <w:rPr/>
      </w:pPr>
      <w:r w:rsidDel="00000000" w:rsidR="00000000" w:rsidRPr="00000000">
        <w:rPr>
          <w:b w:val="1"/>
          <w:bCs w:val="1"/>
          <w:rtl w:val="0"/>
        </w:rPr>
        <w:t xml:space="preserve">Speaker(s): </w:t>
      </w:r>
      <w:r w:rsidDel="00000000" w:rsidR="00000000" w:rsidRPr="00000000">
        <w:rPr>
          <w:rtl w:val="0"/>
        </w:rPr>
        <w:t xml:space="preserve">Thomas Kaminski (DigitalScience)</w:t>
      </w:r>
    </w:p>
    <w:p w:rsidR="00000000" w:rsidDel="00000000" w:rsidP="00000000" w:rsidRDefault="00000000" w:rsidRPr="00000000" w14:paraId="0000000A">
      <w:pPr>
        <w:rPr>
          <w:b w:val="1"/>
          <w:bCs w:val="1"/>
        </w:rPr>
      </w:pPr>
      <w:r w:rsidDel="00000000" w:rsidR="00000000" w:rsidRPr="00000000">
        <w:rPr>
          <w:b w:val="1"/>
          <w:bCs w:val="1"/>
          <w:rtl w:val="0"/>
        </w:rPr>
        <w:t xml:space="preserve">Sponsor Talk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kokjprllns5x" w:id="7"/>
      <w:bookmarkEnd w:id="7"/>
      <w:r w:rsidDel="00000000" w:rsidR="00000000" w:rsidRPr="00000000">
        <w:rPr>
          <w:rtl w:val="0"/>
        </w:rPr>
        <w:t xml:space="preserve">A Knowledge Graph–Based Framework for Harmonising and Comparing Social Surveys</w:t>
      </w:r>
    </w:p>
    <w:p w:rsidR="00000000" w:rsidDel="00000000" w:rsidP="00000000" w:rsidRDefault="00000000" w:rsidRPr="00000000" w14:paraId="0000000F">
      <w:pPr>
        <w:rPr/>
      </w:pPr>
      <w:r w:rsidDel="00000000" w:rsidR="00000000" w:rsidRPr="00000000">
        <w:rPr>
          <w:b w:val="1"/>
          <w:bCs w:val="1"/>
          <w:rtl w:val="0"/>
        </w:rPr>
        <w:t xml:space="preserve">Abstract: </w:t>
      </w:r>
      <w:r w:rsidDel="00000000" w:rsidR="00000000" w:rsidRPr="00000000">
        <w:rPr>
          <w:rtl w:val="0"/>
        </w:rPr>
        <w:t xml:space="preserve">A wide range of tools in the social sciences, stemming from numerous studies in economics, political science, and sociology, requires systematic methods for reuse, integration, and international comparison. To address this challenge, we present an integrated software archi- tecture that combines ontological modelling and knowledge-extraction techniques to detect, import, and reuse questionnaires in a simple and intuitive way. The system integrates a user-friendly web interface, a ques- tionnaire import module, and a semantic knowledge graph that formalizes and interlinks core survey entities—such as questions, variables, and groups. This infrastructure supports both the construction of new questionnaires and meaningful comparison across heterogeneous studies and diverse contexts. Built upon semantic technologies and established ontology design patterns, the architecture ensures an interoperable representation of survey components and their relationships to social variables. Overall, the proposed system addresses a critical limitation of current research infrastructures in the social sciences: the difficulty of designing FAIR-by-design survey instruments capable of identifying, operationalis- ing, and systematically comparing relevant social variables across coun- tries and over time.</w:t>
      </w:r>
    </w:p>
    <w:p w:rsidR="00000000" w:rsidDel="00000000" w:rsidP="00000000" w:rsidRDefault="00000000" w:rsidRPr="00000000" w14:paraId="00000010">
      <w:pPr>
        <w:rPr/>
      </w:pPr>
      <w:r w:rsidDel="00000000" w:rsidR="00000000" w:rsidRPr="00000000">
        <w:rPr>
          <w:b w:val="1"/>
          <w:bCs w:val="1"/>
          <w:rtl w:val="0"/>
        </w:rPr>
        <w:t xml:space="preserve">Speaker(s): </w:t>
      </w:r>
      <w:r w:rsidDel="00000000" w:rsidR="00000000" w:rsidRPr="00000000">
        <w:rPr>
          <w:rtl w:val="0"/>
        </w:rPr>
        <w:t xml:space="preserve">Sara Zuppiroli, Silvia Cappa and Andrea Giovanni Nuzzolese</w:t>
      </w:r>
    </w:p>
    <w:p w:rsidR="00000000" w:rsidDel="00000000" w:rsidP="00000000" w:rsidRDefault="00000000" w:rsidRPr="00000000" w14:paraId="00000011">
      <w:pPr>
        <w:rPr>
          <w:b w:val="1"/>
          <w:bCs w:val="1"/>
        </w:rPr>
      </w:pPr>
      <w:r w:rsidDel="00000000" w:rsidR="00000000" w:rsidRPr="00000000">
        <w:rPr>
          <w:b w:val="1"/>
          <w:bCs w:val="1"/>
          <w:rtl w:val="0"/>
        </w:rPr>
        <w:t xml:space="preserve">Track: Research and Innovation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83d81pq5jce2" w:id="8"/>
      <w:bookmarkEnd w:id="8"/>
      <w:r w:rsidDel="00000000" w:rsidR="00000000" w:rsidRPr="00000000">
        <w:rPr>
          <w:rtl w:val="0"/>
        </w:rPr>
        <w:t xml:space="preserve">From File Systems to Knowledge Graphs: A Multi-Phase Workflow for the Description of Born-Digital Personal Archives</w:t>
      </w:r>
    </w:p>
    <w:p w:rsidR="00000000" w:rsidDel="00000000" w:rsidP="00000000" w:rsidRDefault="00000000" w:rsidRPr="00000000" w14:paraId="00000016">
      <w:pPr>
        <w:rPr/>
      </w:pPr>
      <w:r w:rsidDel="00000000" w:rsidR="00000000" w:rsidRPr="00000000">
        <w:rPr>
          <w:b w:val="1"/>
          <w:bCs w:val="1"/>
          <w:rtl w:val="0"/>
        </w:rPr>
        <w:t xml:space="preserve">Abstract: </w:t>
      </w:r>
      <w:r w:rsidDel="00000000" w:rsidR="00000000" w:rsidRPr="00000000">
        <w:rPr>
          <w:rtl w:val="0"/>
        </w:rPr>
        <w:t xml:space="preserve">Background: Born-digital personal archives present novel descriptive challenges that conventional archival methods are not equipped to address. Their scale, format heterogeneity, and multi-layered stratification — physical, logical, and conceptual — require a representational framework capable of capturing document structure, provenance, integrity, and relational contexts. The increasing vol- ume of born-digital archives received by cultural heritage institutions makes the development of automated and scalable description methodologies an urgent prac- tical priority. Methods: This paper presents a replicable five-phase pipeline, grounded in the Born-Digital Ontology (BoDi) — a formal extension of Records in Contexts Ontology (RiC-O) integrating PREMIS, PROV-O, and LRMoo — that transforms born- digital personal archive directories into RDF knowledge bases. The phases are: (1) file system ingestion, comprising SHA-256 integrity verification, parallel multi- tool metadata extraction, and triplestore loading; (2) SPARQL-based validation and rule-based enrichment, including cross-tool metadata alignment, document classi- fication, and duplicate detection; (3) hybrid enrichment combining expert biblio- graphic curation with automated LLM-based description generation; (4) chain-of- custody reconstruction; and (5) selective entity-level redaction for privacy-aware dissemination. Results: Evaluated on the Valerio Evangelisti Archive — 78,211 files and 11,135 folders totaling 2.1 TB across three storage media — the pipeline generated 61,154,322 RDF triples across 13 named graphs with minimal manual interven- tion. The resulting knowledge base supports querying across structural, typological, temporal, and relational dimensions, enabling analyses — from duplicate detection across storage media to correlation of archival activity with editorial output — that conventional finding aids cannot support. Conclusions: Born-digital archives present a double challenge: their fragility raises preservation concerns, while their scale renders manual description effectively impossible. The pipeline addresses both by inverting the framing: the properties that make born-digital materials resistant to conventional methods become, within a formal framework, sources of descriptive richness without equivalent in the analog domain. Ontological modeling combined with automated processing and human-in-the-loop validation offers a viable and empirically demonstrated path toward semantic description of born-digital cultural heritage at scale.</w:t>
      </w:r>
    </w:p>
    <w:p w:rsidR="00000000" w:rsidDel="00000000" w:rsidP="00000000" w:rsidRDefault="00000000" w:rsidRPr="00000000" w14:paraId="00000017">
      <w:pPr>
        <w:rPr/>
      </w:pPr>
      <w:r w:rsidDel="00000000" w:rsidR="00000000" w:rsidRPr="00000000">
        <w:rPr>
          <w:b w:val="1"/>
          <w:bCs w:val="1"/>
          <w:rtl w:val="0"/>
        </w:rPr>
        <w:t xml:space="preserve">Speaker(s): </w:t>
      </w:r>
      <w:r w:rsidDel="00000000" w:rsidR="00000000" w:rsidRPr="00000000">
        <w:rPr>
          <w:rtl w:val="0"/>
        </w:rPr>
        <w:t xml:space="preserve">Lucia Giagnolini and Paolo Bonora</w:t>
      </w:r>
    </w:p>
    <w:p w:rsidR="00000000" w:rsidDel="00000000" w:rsidP="00000000" w:rsidRDefault="00000000" w:rsidRPr="00000000" w14:paraId="00000018">
      <w:pPr>
        <w:rPr>
          <w:b w:val="1"/>
          <w:bCs w:val="1"/>
        </w:rPr>
      </w:pPr>
      <w:r w:rsidDel="00000000" w:rsidR="00000000" w:rsidRPr="00000000">
        <w:rPr>
          <w:b w:val="1"/>
          <w:bCs w:val="1"/>
          <w:rtl w:val="0"/>
        </w:rPr>
        <w:t xml:space="preserve">Track: Research and Innovation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1vob16rkpiyv" w:id="9"/>
      <w:bookmarkEnd w:id="9"/>
      <w:r w:rsidDel="00000000" w:rsidR="00000000" w:rsidRPr="00000000">
        <w:rPr>
          <w:rtl w:val="0"/>
        </w:rPr>
        <w:t xml:space="preserve">From MARC21 to WEMI Without a Library-Software Vendor: A Semantic-Platform Bet</w:t>
      </w:r>
    </w:p>
    <w:p w:rsidR="00000000" w:rsidDel="00000000" w:rsidP="00000000" w:rsidRDefault="00000000" w:rsidRPr="00000000" w14:paraId="0000001D">
      <w:pPr>
        <w:rPr/>
      </w:pPr>
      <w:r w:rsidDel="00000000" w:rsidR="00000000" w:rsidRPr="00000000">
        <w:rPr>
          <w:b w:val="1"/>
          <w:bCs w:val="1"/>
          <w:rtl w:val="0"/>
        </w:rPr>
        <w:t xml:space="preserve">Abstract: </w:t>
      </w:r>
      <w:r w:rsidDel="00000000" w:rsidR="00000000" w:rsidRPr="00000000">
        <w:rPr>
          <w:rtl w:val="0"/>
        </w:rPr>
        <w:t xml:space="preserve">Cultuurconnect runs the central catalogue that 300 Flemish public libraries use to catalogue their holdings, with around 60 cataloguers working in it on a typical day. The data sits in MARC21, the legacy library exchange format, even though IFLA's WEMI/LRM model has been the agreed direction for years and most library-software vendors are still slow to ship against it. In 2024 Cultuurconnect concluded that waiting for the next vendor release was not going to get them where they needed to be, and looked across the office floor in Ghent, where Inuits had been building a generic semantic platform called Elody. A joint proof of concept that summer turned into a full build a year later; the new system goes into production in June 2026.   Our pitch was contrarian: do not look for a library-software vendor that has yet to ship WEMI; pair a semantic-platform team with the customer's own domain expertise. The catalogue is now an entity-relation model with a thin collection service that distributes data to and from external sources (VIAF, Boekenbank, Muziekweb), with a real-time MARC21 stream kept alive for downstream consumers. The model holds roughly 3 million WEMI entities, is already published as Linked Open Data, and is shaped by cataloguers through ongoing sprint feedback — without compromising the WEMI model we were aiming for. The lesson we did not expect when we started: sector expertise is not the limiting factor in this kind of project. A serious technology partner paired with the customer's own domain people consistently beats a sector-specific software vendor that hasn't yet implemented the new standard.</w:t>
      </w:r>
    </w:p>
    <w:p w:rsidR="00000000" w:rsidDel="00000000" w:rsidP="00000000" w:rsidRDefault="00000000" w:rsidRPr="00000000" w14:paraId="0000001E">
      <w:pPr>
        <w:rPr/>
      </w:pPr>
      <w:r w:rsidDel="00000000" w:rsidR="00000000" w:rsidRPr="00000000">
        <w:rPr>
          <w:b w:val="1"/>
          <w:bCs w:val="1"/>
          <w:rtl w:val="0"/>
        </w:rPr>
        <w:t xml:space="preserve">Speaker(s): </w:t>
      </w:r>
      <w:r w:rsidDel="00000000" w:rsidR="00000000" w:rsidRPr="00000000">
        <w:rPr>
          <w:rtl w:val="0"/>
        </w:rPr>
        <w:t xml:space="preserve">Jeroen Wouters</w:t>
      </w:r>
    </w:p>
    <w:p w:rsidR="00000000" w:rsidDel="00000000" w:rsidP="00000000" w:rsidRDefault="00000000" w:rsidRPr="00000000" w14:paraId="0000001F">
      <w:pPr>
        <w:rPr>
          <w:b w:val="1"/>
          <w:bCs w:val="1"/>
        </w:rPr>
      </w:pPr>
      <w:r w:rsidDel="00000000" w:rsidR="00000000" w:rsidRPr="00000000">
        <w:rPr>
          <w:b w:val="1"/>
          <w:bCs w:val="1"/>
          <w:rtl w:val="0"/>
        </w:rPr>
        <w:t xml:space="preserve">Track: Industry and Use Cases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8"/>
      <w:szCs w:val="48"/>
    </w:rPr>
  </w:style>
  <w:style w:type="paragraph" w:styleId="Heading2">
    <w:name w:val="heading 2"/>
    <w:basedOn w:val="Normal"/>
    <w:next w:val="Normal"/>
    <w:pPr>
      <w:keepNext w:val="1"/>
      <w:keepLines w:val="1"/>
      <w:pageBreakBefore w:val="0"/>
      <w:spacing w:after="0" w:before="40" w:line="240" w:lineRule="auto"/>
    </w:pPr>
    <w:rPr>
      <w:rFonts w:ascii="Calibri" w:cs="Calibri" w:eastAsia="Calibri" w:hAnsi="Calibri"/>
      <w:b w:val="0"/>
      <w:bCs w:val="0"/>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