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cge0db5u877m" w:id="0"/>
      <w:bookmarkEnd w:id="0"/>
      <w:r w:rsidDel="00000000" w:rsidR="00000000" w:rsidRPr="00000000">
        <w:rPr>
          <w:rtl w:val="0"/>
        </w:rPr>
        <w:t xml:space="preserve">Information Extraction and Data Quality</w:t>
      </w:r>
    </w:p>
    <w:p w:rsidR="00000000" w:rsidDel="00000000" w:rsidP="00000000" w:rsidRDefault="00000000" w:rsidRPr="00000000" w14:paraId="00000002">
      <w:pPr>
        <w:pStyle w:val="Heading4"/>
        <w:rPr/>
      </w:pPr>
      <w:bookmarkStart w:colFirst="0" w:colLast="0" w:name="_awsalyeat4mm" w:id="1"/>
      <w:bookmarkEnd w:id="1"/>
      <w:r w:rsidDel="00000000" w:rsidR="00000000" w:rsidRPr="00000000">
        <w:rPr>
          <w:rtl w:val="0"/>
        </w:rPr>
        <w:t xml:space="preserve">Session 4.1</w:t>
      </w:r>
    </w:p>
    <w:p w:rsidR="00000000" w:rsidDel="00000000" w:rsidP="00000000" w:rsidRDefault="00000000" w:rsidRPr="00000000" w14:paraId="00000003">
      <w:pPr>
        <w:pStyle w:val="Heading4"/>
        <w:rPr/>
      </w:pPr>
      <w:bookmarkStart w:colFirst="0" w:colLast="0" w:name="_lxdc76uq28ds" w:id="2"/>
      <w:bookmarkEnd w:id="2"/>
      <w:r w:rsidDel="00000000" w:rsidR="00000000" w:rsidRPr="00000000">
        <w:rPr>
          <w:rtl w:val="0"/>
        </w:rPr>
        <w:t xml:space="preserve">Time: September 17, 2026 - 13:00 - 14:40</w:t>
      </w:r>
    </w:p>
    <w:p w:rsidR="00000000" w:rsidDel="00000000" w:rsidP="00000000" w:rsidRDefault="00000000" w:rsidRPr="00000000" w14:paraId="00000004">
      <w:pPr>
        <w:pStyle w:val="Heading4"/>
        <w:rPr/>
      </w:pPr>
      <w:bookmarkStart w:colFirst="0" w:colLast="0" w:name="_lmwygf6p099i" w:id="3"/>
      <w:bookmarkEnd w:id="3"/>
      <w:r w:rsidDel="00000000" w:rsidR="00000000" w:rsidRPr="00000000">
        <w:rPr>
          <w:rtl w:val="0"/>
        </w:rPr>
        <w:t xml:space="preserve">Chair: Kathrin Füllenbach</w:t>
      </w:r>
    </w:p>
    <w:p w:rsidR="00000000" w:rsidDel="00000000" w:rsidP="00000000" w:rsidRDefault="00000000" w:rsidRPr="00000000" w14:paraId="00000005">
      <w:pPr>
        <w:pStyle w:val="Heading2"/>
        <w:rPr/>
      </w:pPr>
      <w:bookmarkStart w:colFirst="0" w:colLast="0" w:name="_3boo4vxfi16d"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1nu1d0d42vqv" w:id="5"/>
      <w:bookmarkEnd w:id="5"/>
      <w:r w:rsidDel="00000000" w:rsidR="00000000" w:rsidRPr="00000000">
        <w:rPr>
          <w:rtl w:val="0"/>
        </w:rPr>
        <w:t xml:space="preserve">Talks</w:t>
      </w:r>
    </w:p>
    <w:p w:rsidR="00000000" w:rsidDel="00000000" w:rsidP="00000000" w:rsidRDefault="00000000" w:rsidRPr="00000000" w14:paraId="00000007">
      <w:pPr>
        <w:pStyle w:val="Heading2"/>
        <w:rPr/>
      </w:pPr>
      <w:bookmarkStart w:colFirst="0" w:colLast="0" w:name="_8ypgj6jva8q8" w:id="6"/>
      <w:bookmarkEnd w:id="6"/>
      <w:r w:rsidDel="00000000" w:rsidR="00000000" w:rsidRPr="00000000">
        <w:rPr>
          <w:rtl w:val="0"/>
        </w:rPr>
        <w:t xml:space="preserve">From confusion to confidence: why semantic data management matters now [SP]</w:t>
      </w:r>
    </w:p>
    <w:p w:rsidR="00000000" w:rsidDel="00000000" w:rsidP="00000000" w:rsidRDefault="00000000" w:rsidRPr="00000000" w14:paraId="00000008">
      <w:pPr>
        <w:rPr/>
      </w:pPr>
      <w:r w:rsidDel="00000000" w:rsidR="00000000" w:rsidRPr="00000000">
        <w:rPr>
          <w:b w:val="1"/>
          <w:bCs w:val="1"/>
          <w:rtl w:val="0"/>
        </w:rPr>
        <w:t xml:space="preserve">Abstract: </w:t>
      </w:r>
      <w:r w:rsidDel="00000000" w:rsidR="00000000" w:rsidRPr="00000000">
        <w:rPr>
          <w:rtl w:val="0"/>
        </w:rPr>
        <w:t xml:space="preserve">Trust in data is a strategic requirement: organisations cannot scale AI, satisfy regulations, or make confident decisions if they lack a shared, explicit understanding of what their data means. Today, that meaning is scattered across systems, documents and experts’ heads, making information hard to combine, interpret and reuse. This makes turning compliance with complex regulation, such as the EU AI Act, into a slow, fragile exercise.Semantic Data Management addresses this gap by making business concepts, relationships and rules explicit, shareable and machine‑readable. By grounding data in semantic models and knowledge graphs that are based on standards, organisations ensure that people and AI reason over the same reality. This “trust by design” approach creates an explainable data foundation, improves data quality, enables cross‑domain collaboration and unlocks advanced analytics and AI at scale.In highly regulated, multi‑stakeholder environments, the same principles transform legal and regulatory knowledge from static text into a living, operational asset. Knowledge graphs capture human legal interpretation in structured form, so compliance questions can be answered instantly and requirements translated into executable policies. For executives, the message is simple: semantics and knowledge graphs provide the missing strategic layer that connects data, AI and regulation into one trustworthy ecosystem.Join us if you want to know more about how a semantic backbone for your data can turn today’s regulatory and AI challenges into a coherent, trustworthy advantage for your entire organisation.</w:t>
      </w:r>
    </w:p>
    <w:p w:rsidR="00000000" w:rsidDel="00000000" w:rsidP="00000000" w:rsidRDefault="00000000" w:rsidRPr="00000000" w14:paraId="00000009">
      <w:pPr>
        <w:rPr/>
      </w:pPr>
      <w:r w:rsidDel="00000000" w:rsidR="00000000" w:rsidRPr="00000000">
        <w:rPr>
          <w:b w:val="1"/>
          <w:bCs w:val="1"/>
          <w:rtl w:val="0"/>
        </w:rPr>
        <w:t xml:space="preserve">Speaker(s): </w:t>
      </w:r>
      <w:r w:rsidDel="00000000" w:rsidR="00000000" w:rsidRPr="00000000">
        <w:rPr>
          <w:rtl w:val="0"/>
        </w:rPr>
        <w:t xml:space="preserve">Ingrid Thurlings (SopraSteria)</w:t>
      </w:r>
    </w:p>
    <w:p w:rsidR="00000000" w:rsidDel="00000000" w:rsidP="00000000" w:rsidRDefault="00000000" w:rsidRPr="00000000" w14:paraId="0000000A">
      <w:pPr>
        <w:rPr>
          <w:b w:val="1"/>
          <w:bCs w:val="1"/>
        </w:rPr>
      </w:pPr>
      <w:r w:rsidDel="00000000" w:rsidR="00000000" w:rsidRPr="00000000">
        <w:rPr>
          <w:b w:val="1"/>
          <w:bCs w:val="1"/>
          <w:rtl w:val="0"/>
        </w:rPr>
        <w:t xml:space="preserve">Sponsor Talk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l8dnrw66hqee" w:id="7"/>
      <w:bookmarkEnd w:id="7"/>
      <w:r w:rsidDel="00000000" w:rsidR="00000000" w:rsidRPr="00000000">
        <w:rPr>
          <w:rtl w:val="0"/>
        </w:rPr>
        <w:t xml:space="preserve">DQV4AI: Representing AI Quality Dimensions for ISO and EU AI Act using the Data Quality Vocabulary</w:t>
      </w:r>
    </w:p>
    <w:p w:rsidR="00000000" w:rsidDel="00000000" w:rsidP="00000000" w:rsidRDefault="00000000" w:rsidRPr="00000000" w14:paraId="0000000F">
      <w:pPr>
        <w:rPr/>
      </w:pPr>
      <w:r w:rsidDel="00000000" w:rsidR="00000000" w:rsidRPr="00000000">
        <w:rPr>
          <w:b w:val="1"/>
          <w:bCs w:val="1"/>
          <w:rtl w:val="0"/>
        </w:rPr>
        <w:t xml:space="preserve">Abstract: </w:t>
      </w:r>
      <w:r w:rsidDel="00000000" w:rsidR="00000000" w:rsidRPr="00000000">
        <w:rPr>
          <w:rtl w:val="0"/>
        </w:rPr>
        <w:t xml:space="preserve">As the use of AI proliferates rapidly, its development and deployment across all stages requires understanding and documentation regarding aspects such as its accuracy, fairness, and transparency---collectively called 'quality characteristics'. This has led to standardisation at forums such as ISO, and creation of obligations within regulations such as the EU's AI Act. To support this developing landscape, we assess the sufficiency of the Data Quality Vocabulary (DQV), which is a W3C Working Note, for representing AI quality dimensions. We find that while the DQV can be useful, some concepts require changes to the definition to enable use beyond datasets, for AI models and systems. Based on our findings, we propose updates to DQV concepts to allow a more general quality representation and provide taxonomies based on ISO/IEC DIS 25059 standard on AI quality models and the EU AI Act to represent key AI quality dimensions and examples of their use. We conclude with a discussion on the future of AI quality documentation, the role of Semantic Web standards, and facilitating interoperability across value chains and data spaces.</w:t>
      </w:r>
    </w:p>
    <w:p w:rsidR="00000000" w:rsidDel="00000000" w:rsidP="00000000" w:rsidRDefault="00000000" w:rsidRPr="00000000" w14:paraId="00000010">
      <w:pPr>
        <w:rPr/>
      </w:pPr>
      <w:r w:rsidDel="00000000" w:rsidR="00000000" w:rsidRPr="00000000">
        <w:rPr>
          <w:b w:val="1"/>
          <w:bCs w:val="1"/>
          <w:rtl w:val="0"/>
        </w:rPr>
        <w:t xml:space="preserve">Speaker(s): </w:t>
      </w:r>
      <w:r w:rsidDel="00000000" w:rsidR="00000000" w:rsidRPr="00000000">
        <w:rPr>
          <w:rtl w:val="0"/>
        </w:rPr>
        <w:t xml:space="preserve">Delaram Golpayegani, Beyza Yaman, Fabian Linde, Riccardo Albertoni and Harshvardhan J. Pandit</w:t>
      </w:r>
    </w:p>
    <w:p w:rsidR="00000000" w:rsidDel="00000000" w:rsidP="00000000" w:rsidRDefault="00000000" w:rsidRPr="00000000" w14:paraId="00000011">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msrgyw8v09mj" w:id="8"/>
      <w:bookmarkEnd w:id="8"/>
      <w:r w:rsidDel="00000000" w:rsidR="00000000" w:rsidRPr="00000000">
        <w:rPr>
          <w:rtl w:val="0"/>
        </w:rPr>
        <w:t xml:space="preserve">SHACL, The Enabler For Human-Supported, LLM-Based Extraction With High Quality In The Engineering Legal Domain</w:t>
      </w:r>
    </w:p>
    <w:p w:rsidR="00000000" w:rsidDel="00000000" w:rsidP="00000000" w:rsidRDefault="00000000" w:rsidRPr="00000000" w14:paraId="00000016">
      <w:pPr>
        <w:rPr/>
      </w:pPr>
      <w:r w:rsidDel="00000000" w:rsidR="00000000" w:rsidRPr="00000000">
        <w:rPr>
          <w:b w:val="1"/>
          <w:bCs w:val="1"/>
          <w:rtl w:val="0"/>
        </w:rPr>
        <w:t xml:space="preserve">Abstract: </w:t>
      </w:r>
      <w:r w:rsidDel="00000000" w:rsidR="00000000" w:rsidRPr="00000000">
        <w:rPr>
          <w:rtl w:val="0"/>
        </w:rPr>
        <w:t xml:space="preserve">In the energy market, legally binding contracts between constructors and operators of a power plant define expectations regarding how a given plant should perform. If these guarantees are not met, the disadvantaged party can claim damages, the calculation of which is also specified within the contract document. Today, these contract documents consist mostly of unstructured text. As a result, calculating potential damages is labor-intensive. With graphs, we aim to transform these contracts into machine-readable documents and perform such checks automatically. Extracting the information with the correct set of terms is challenging: on the one hand, the diverse prose of legal texts requires LLM-based background knowledge for proper interpretation, as the documents do not follow strict guidelines regarding their content and structure. On the other hand, LLMs tend to hallucinate when dealing with vague or underspecified requirements. In the presented use case, we demonstrate how we utilize the Shape Constraint Language (SHACL) to build self-repairing LLM extraction pipelines for generating graphs from unstructured documents and enabling automatic data validation. While the ontology provides the context for what to extract, an integrated validation engine performs checks and delivers targeted repair messages to the LLM whenever the data does not conform to the desired constraints. That allows for a self-repairing data pipeline. Subsequently, we use a SHACL-defined UI to create a data interface for reviewing and editing accessible to legal scholars for a human in the loop architecture. Once the data is prepared, we transpile the extracted contract elements into newly generated SHACL contract constraints. Together with data from a digital twin, these automatically</w:t>
      </w:r>
    </w:p>
    <w:p w:rsidR="00000000" w:rsidDel="00000000" w:rsidP="00000000" w:rsidRDefault="00000000" w:rsidRPr="00000000" w14:paraId="00000017">
      <w:pPr>
        <w:rPr/>
      </w:pPr>
      <w:r w:rsidDel="00000000" w:rsidR="00000000" w:rsidRPr="00000000">
        <w:rPr>
          <w:b w:val="1"/>
          <w:bCs w:val="1"/>
          <w:rtl w:val="0"/>
        </w:rPr>
        <w:t xml:space="preserve">Speaker(s): </w:t>
      </w:r>
      <w:r w:rsidDel="00000000" w:rsidR="00000000" w:rsidRPr="00000000">
        <w:rPr>
          <w:rtl w:val="0"/>
        </w:rPr>
        <w:t xml:space="preserve">Achim Reiz, Gregor Seifer, Heinrich Terborg, Claudia Rachadell and León Martinez</w:t>
      </w:r>
    </w:p>
    <w:p w:rsidR="00000000" w:rsidDel="00000000" w:rsidP="00000000" w:rsidRDefault="00000000" w:rsidRPr="00000000" w14:paraId="00000018">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lw4ptl501w3c" w:id="9"/>
      <w:bookmarkEnd w:id="9"/>
      <w:r w:rsidDel="00000000" w:rsidR="00000000" w:rsidRPr="00000000">
        <w:rPr>
          <w:rtl w:val="0"/>
        </w:rPr>
        <w:t xml:space="preserve">Populating and Evaluating a Knowledge Graph for Risk Management in Medical Devices</w:t>
      </w:r>
    </w:p>
    <w:p w:rsidR="00000000" w:rsidDel="00000000" w:rsidP="00000000" w:rsidRDefault="00000000" w:rsidRPr="00000000" w14:paraId="0000001D">
      <w:pPr>
        <w:rPr/>
      </w:pPr>
      <w:r w:rsidDel="00000000" w:rsidR="00000000" w:rsidRPr="00000000">
        <w:rPr>
          <w:b w:val="1"/>
          <w:bCs w:val="1"/>
          <w:rtl w:val="0"/>
        </w:rPr>
        <w:t xml:space="preserve">Abstract: </w:t>
      </w:r>
      <w:r w:rsidDel="00000000" w:rsidR="00000000" w:rsidRPr="00000000">
        <w:rPr>
          <w:rtl w:val="0"/>
        </w:rPr>
        <w:t xml:space="preserve">Manufacturers of medical devices are required to systematically manage risks under ISO 14971, a process that remains largely manual and dependent on domain expertise. Large Language Models offer interesting automation potential, but their adoption in regulated contexts requires traceable outputs, which is something that isolated LLM pipelines do not guarantee. This use case describes a methodology for grounding LLM risk management in a Knowledge Graph populated from real-world incident data, and introduces a consensus-based framework for evaluating the quality of the AI pipeline before deployment. We collected incident reports from the FDA MAUDE database across 26 product codes, yielding approximately 28,000 reports. A deduplication and normalization pipeline combining narrative normalization, text embeddings, and clustering reduced the results to a representative set of incidents per product family. For each incident cluster, we generated reasonably foreseeable sequences of events drawing on normalized narratives, patient problem codes, and device characteristics extracted from regulatory submission documents. Regulatory affairs specialists curated the outputs. Because no single ground-truth risk matrix exists under ISO 14971, we developed a structured expert consensus methodology. Panelists assessed baseline risk matrices, then reconciled them. Their agreed outputs form a gold standard against which further AI-generated risk matrices are benchmarked using a composite score. The methodology is replicable, device-agnostic, and designed to be integrated into electronic Quality Management Systems. Each ingestion cycle strengthens the Knowledge Graph, improving the quality of subsequent generation. To our knowledge, no published approach covers automated ISO 14971 compliant risk matrix generation with this combination of incident grounding, human curation, and continuous quality benchmarking.</w:t>
      </w:r>
    </w:p>
    <w:p w:rsidR="00000000" w:rsidDel="00000000" w:rsidP="00000000" w:rsidRDefault="00000000" w:rsidRPr="00000000" w14:paraId="0000001E">
      <w:pPr>
        <w:rPr/>
      </w:pPr>
      <w:r w:rsidDel="00000000" w:rsidR="00000000" w:rsidRPr="00000000">
        <w:rPr>
          <w:b w:val="1"/>
          <w:bCs w:val="1"/>
          <w:rtl w:val="0"/>
        </w:rPr>
        <w:t xml:space="preserve">Speaker(s): </w:t>
      </w:r>
      <w:r w:rsidDel="00000000" w:rsidR="00000000" w:rsidRPr="00000000">
        <w:rPr>
          <w:rtl w:val="0"/>
        </w:rPr>
        <w:t xml:space="preserve">Guilherme Semedo, Rodrigo Carvalho, Emanuel Valpaços, Liliana Teles, Mariana Pinto, Edmundo Miranda, Pedro Oliveira, Pedro Colarejo and Bruno Gago</w:t>
      </w:r>
    </w:p>
    <w:p w:rsidR="00000000" w:rsidDel="00000000" w:rsidP="00000000" w:rsidRDefault="00000000" w:rsidRPr="00000000" w14:paraId="0000001F">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aqb628yauc8a" w:id="10"/>
      <w:bookmarkEnd w:id="10"/>
      <w:r w:rsidDel="00000000" w:rsidR="00000000" w:rsidRPr="00000000">
        <w:rPr>
          <w:rtl w:val="0"/>
        </w:rPr>
        <w:t xml:space="preserve">Semantic Annotation of Vaccination and Medication Information for Cross-Border Healthcare</w:t>
      </w:r>
    </w:p>
    <w:p w:rsidR="00000000" w:rsidDel="00000000" w:rsidP="00000000" w:rsidRDefault="00000000" w:rsidRPr="00000000" w14:paraId="00000024">
      <w:pPr>
        <w:rPr/>
      </w:pPr>
      <w:r w:rsidDel="00000000" w:rsidR="00000000" w:rsidRPr="00000000">
        <w:rPr>
          <w:b w:val="1"/>
          <w:bCs w:val="1"/>
          <w:rtl w:val="0"/>
        </w:rPr>
        <w:t xml:space="preserve">Abstract: </w:t>
      </w:r>
      <w:r w:rsidDel="00000000" w:rsidR="00000000" w:rsidRPr="00000000">
        <w:rPr>
          <w:rtl w:val="0"/>
        </w:rPr>
        <w:t xml:space="preserve">Healthcare information such as medications and vaccinations is typically recorded using national product names, local terminologies, and language-specific descriptions. While this information is meaningful within a country, it often becomes difficult to interpret across borders. Citizens travelling abroad and healthcare professionals treating international patients may struggle to identify equivalent medications, understand vaccination histories, or communicate treatment information effectively. This presentation introduces a semantic approach developed by FAQIR Institute to improve the cross-border understanding and exchange of medication and vaccination information. The approach uses internationally recognized standards and ontologies, including SNOMED CT, IDMP, the IDMP Ontology (IDMP-O), the ATC Classification System, and EMA SPOR controlled vocabularies. Vaccinations are linked to SNOMED CT concepts to identify vaccine types independently of national product names, while medications are represented through their active substances, pharmaceutical forms, strengths, and regulatory characteristics. FAQIR Institute maintains semantic representations of medicinal products from multiple countries. By combining semantic annotations with international classifications, the platform can identify equivalent or closely matching medicinal products and vaccine types across countries and languages. The hierarchical structures of SNOMED CT and ATC also enable semantic browsing, allowing users to discover broader or related therapeutic and vaccine categories. The use case demonstrates how semantic technologies can support cross-border healthcare, improve patient safety, enable language-independent understanding, and promote interoperability through the reuse of internationally recognized standards. The work is currently being integrated into the Personal Health Record Ontology (PHR-O) and implemented in Qwenda, a mobile application based on person-centric data vaults. Together, these initiatives illustrate how semantic technologies can transform national health information into interoperable, multilingual, and reusable knowledge that supports future digital health services.</w:t>
      </w:r>
    </w:p>
    <w:p w:rsidR="00000000" w:rsidDel="00000000" w:rsidP="00000000" w:rsidRDefault="00000000" w:rsidRPr="00000000" w14:paraId="00000025">
      <w:pPr>
        <w:rPr/>
      </w:pPr>
      <w:r w:rsidDel="00000000" w:rsidR="00000000" w:rsidRPr="00000000">
        <w:rPr>
          <w:b w:val="1"/>
          <w:bCs w:val="1"/>
          <w:rtl w:val="0"/>
        </w:rPr>
        <w:t xml:space="preserve">Speaker(s): </w:t>
      </w:r>
      <w:r w:rsidDel="00000000" w:rsidR="00000000" w:rsidRPr="00000000">
        <w:rPr>
          <w:rtl w:val="0"/>
        </w:rPr>
        <w:t xml:space="preserve">Filip Pattyn</w:t>
      </w:r>
    </w:p>
    <w:p w:rsidR="00000000" w:rsidDel="00000000" w:rsidP="00000000" w:rsidRDefault="00000000" w:rsidRPr="00000000" w14:paraId="00000026">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