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5B6B80"/>
          <w:sz w:val="20"/>
          <w:szCs w:val="20"/>
        </w:rPr>
        <w:t xml:space="preserve">26SP-CS650-154HY · Artificial Intelligence</w:t>
      </w:r>
    </w:p>
    <w:p>
      <w:pPr>
        <w:spacing w:after="40"/>
        <w:jc w:val="center"/>
      </w:pPr>
      <w:r>
        <w:rPr>
          <w:rFonts w:ascii="Calibri" w:cs="Calibri" w:eastAsia="Calibri" w:hAnsi="Calibri"/>
          <w:b/>
          <w:bCs/>
          <w:color w:val="1E3A5F"/>
          <w:sz w:val="36"/>
          <w:szCs w:val="36"/>
        </w:rPr>
        <w:t xml:space="preserve">Chapter 12 Reading Assignment — Instructions</w:t>
      </w:r>
    </w:p>
    <w:p>
      <w:pPr>
        <w:spacing w:after="60"/>
        <w:jc w:val="center"/>
      </w:pPr>
      <w:r>
        <w:rPr>
          <w:rFonts w:ascii="Calibri" w:cs="Calibri" w:eastAsia="Calibri" w:hAnsi="Calibri"/>
          <w:b/>
          <w:bCs/>
          <w:i/>
          <w:iCs/>
          <w:color w:val="C8840A"/>
          <w:sz w:val="26"/>
          <w:szCs w:val="26"/>
        </w:rPr>
        <w:t xml:space="preserve">Quantifying Uncertainty</w:t>
      </w:r>
    </w:p>
    <w:p>
      <w:pPr>
        <w:pBdr>
          <w:bottom w:val="single" w:color="BFC7D4" w:sz="6" w:space="8"/>
        </w:pBdr>
        <w:spacing w:after="280"/>
        <w:jc w:val="center"/>
      </w:pPr>
      <w:r>
        <w:rPr>
          <w:rFonts w:ascii="Calibri" w:cs="Calibri" w:eastAsia="Calibri" w:hAnsi="Calibri"/>
          <w:color w:val="5B6B80"/>
          <w:sz w:val="20"/>
          <w:szCs w:val="20"/>
        </w:rPr>
        <w:t xml:space="preserve">Professor Fomba Kassoh</w:t>
      </w:r>
    </w:p>
    <w:p>
      <w:pPr>
        <w:pBdr>
          <w:top w:val="single" w:color="C8840A" w:sz="6" w:space="6"/>
          <w:left w:val="single" w:color="C8840A" w:sz="16" w:space="8"/>
        </w:pBdr>
        <w:spacing w:after="40"/>
        <w:ind w:left="260"/>
      </w:pPr>
      <w:r>
        <w:rPr>
          <w:rFonts w:ascii="Calibri" w:cs="Calibri" w:eastAsia="Calibri" w:hAnsi="Calibri"/>
          <w:i/>
          <w:iCs/>
          <w:color w:val="16233A"/>
          <w:sz w:val="22"/>
          <w:szCs w:val="22"/>
        </w:rPr>
        <w:t xml:space="preserve">Due: [insert date/time here] — submitted as instructed on the course site.</w:t>
      </w:r>
    </w:p>
    <w:p>
      <w:pPr>
        <w:pBdr>
          <w:left w:val="single" w:color="C8840A" w:sz="16" w:space="8"/>
        </w:pBdr>
        <w:spacing w:after="160"/>
        <w:ind w:left="260"/>
      </w:pPr>
      <w:r>
        <w:rPr>
          <w:rFonts w:ascii="Calibri" w:cs="Calibri" w:eastAsia="Calibri" w:hAnsi="Calibri"/>
          <w:i/>
          <w:iCs/>
          <w:color w:val="16233A"/>
          <w:sz w:val="22"/>
          <w:szCs w:val="22"/>
        </w:rPr>
        <w:t xml:space="preserve">This reading is completed individually, online, at the link provided in the course module. No make-up extensions without prior arrangement.</w:t>
      </w:r>
    </w:p>
    <w:p>
      <w:pPr>
        <w:pStyle w:val="Heading1"/>
        <w:pBdr>
          <w:bottom w:val="single" w:color="1E3A5F" w:sz="8" w:space="4"/>
        </w:pBdr>
        <w:spacing w:after="160" w:before="320"/>
      </w:pPr>
      <w:r>
        <w:rPr>
          <w:rFonts w:ascii="Calibri" w:cs="Calibri" w:eastAsia="Calibri" w:hAnsi="Calibri"/>
          <w:b/>
          <w:bCs/>
          <w:color w:val="1E3A5F"/>
          <w:sz w:val="30"/>
          <w:szCs w:val="30"/>
        </w:rPr>
        <w:t xml:space="preserve">1. Overview</w:t>
      </w:r>
    </w:p>
    <w:p>
      <w:pPr>
        <w:spacing w:after="140" w:line="276"/>
      </w:pPr>
      <w:r>
        <w:rPr>
          <w:rFonts w:ascii="Calibri" w:cs="Calibri" w:eastAsia="Calibri" w:hAnsi="Calibri"/>
          <w:b w:val="false"/>
          <w:bCs w:val="false"/>
          <w:i w:val="false"/>
          <w:iCs w:val="false"/>
          <w:color w:val="16233A"/>
          <w:sz w:val="22"/>
          <w:szCs w:val="22"/>
        </w:rPr>
        <w:t xml:space="preserve">This assignment is a self-paced, interactive reading for Chapter 12 of Russell &amp; Norvig, Artificial Intelligence: A Modern Approach (4th edition) — “Quantifying Uncertainty.” Instead of reading the textbook chapter cold, you will work through an interactive slide deck that walks through every major idea in the chapter using two running examples: the textbook’s own Dentist’s Chair example, and our familiar Northgate General Hospital scenario from Chapters 10 and 11.</w:t>
      </w:r>
    </w:p>
    <w:p>
      <w:pPr>
        <w:spacing w:after="140" w:line="276"/>
      </w:pPr>
      <w:r>
        <w:rPr>
          <w:rFonts w:ascii="Calibri" w:cs="Calibri" w:eastAsia="Calibri" w:hAnsi="Calibri"/>
          <w:b w:val="false"/>
          <w:bCs w:val="false"/>
          <w:i w:val="false"/>
          <w:iCs w:val="false"/>
          <w:color w:val="16233A"/>
          <w:sz w:val="22"/>
          <w:szCs w:val="22"/>
        </w:rPr>
        <w:t xml:space="preserve">The deck is divided into seven content sections, mirroring the textbook’s own section numbers (12.1 through 12.7), plus a short introduction and wrap-up. After each section, you must answer a small set of short-answer checkpoint questions, in your own words, before the next section unlocks.</w:t>
      </w:r>
    </w:p>
    <w:p>
      <w:pPr>
        <w:spacing w:after="140" w:line="276"/>
      </w:pPr>
      <w:r>
        <w:rPr>
          <w:rFonts w:ascii="Calibri" w:cs="Calibri" w:eastAsia="Calibri" w:hAnsi="Calibri"/>
          <w:b w:val="false"/>
          <w:bCs w:val="false"/>
          <w:i w:val="false"/>
          <w:iCs w:val="false"/>
          <w:color w:val="16233A"/>
          <w:sz w:val="22"/>
          <w:szCs w:val="22"/>
        </w:rPr>
        <w:t xml:space="preserve">The goal is not to trip you up — it is to make sure you actually engage with each idea, one at a time, before moving on, and to give your instructor a genuine record of your own understanding as you build it.</w:t>
      </w:r>
    </w:p>
    <w:p>
      <w:pPr>
        <w:pStyle w:val="Heading1"/>
        <w:pBdr>
          <w:bottom w:val="single" w:color="1E3A5F" w:sz="8" w:space="4"/>
        </w:pBdr>
        <w:spacing w:after="160" w:before="320"/>
      </w:pPr>
      <w:r>
        <w:rPr>
          <w:rFonts w:ascii="Calibri" w:cs="Calibri" w:eastAsia="Calibri" w:hAnsi="Calibri"/>
          <w:b/>
          <w:bCs/>
          <w:color w:val="1E3A5F"/>
          <w:sz w:val="30"/>
          <w:szCs w:val="30"/>
        </w:rPr>
        <w:t xml:space="preserve">2. How to Access the Reading</w:t>
      </w:r>
    </w:p>
    <w:p>
      <w:pPr>
        <w:pStyle w:val="ListParagraph"/>
        <w:numPr>
          <w:ilvl w:val="0"/>
          <w:numId w:val="2"/>
        </w:numPr>
        <w:spacing w:after="90" w:line="268"/>
      </w:pPr>
      <w:r>
        <w:rPr>
          <w:rFonts w:ascii="Calibri" w:cs="Calibri" w:eastAsia="Calibri" w:hAnsi="Calibri"/>
          <w:color w:val="16233A"/>
          <w:sz w:val="22"/>
          <w:szCs w:val="22"/>
        </w:rPr>
        <w:t xml:space="preserve">Open the assignment link posted in the Chapter 12 module on the course site (Canvas).</w:t>
      </w:r>
    </w:p>
    <w:p>
      <w:pPr>
        <w:pStyle w:val="ListParagraph"/>
        <w:numPr>
          <w:ilvl w:val="0"/>
          <w:numId w:val="2"/>
        </w:numPr>
        <w:spacing w:after="90" w:line="268"/>
      </w:pPr>
      <w:r>
        <w:rPr>
          <w:rFonts w:ascii="Calibri" w:cs="Calibri" w:eastAsia="Calibri" w:hAnsi="Calibri"/>
          <w:color w:val="16233A"/>
          <w:sz w:val="22"/>
          <w:szCs w:val="22"/>
        </w:rPr>
        <w:t xml:space="preserve">The reading works in any modern browser, on a laptop, tablet, or phone — no installation required.</w:t>
      </w:r>
    </w:p>
    <w:p>
      <w:pPr>
        <w:pStyle w:val="ListParagraph"/>
        <w:numPr>
          <w:ilvl w:val="0"/>
          <w:numId w:val="2"/>
        </w:numPr>
        <w:spacing w:after="90" w:line="268"/>
      </w:pPr>
      <w:r>
        <w:rPr>
          <w:rFonts w:ascii="Calibri" w:cs="Calibri" w:eastAsia="Calibri" w:hAnsi="Calibri"/>
          <w:color w:val="16233A"/>
          <w:sz w:val="22"/>
          <w:szCs w:val="22"/>
        </w:rPr>
        <w:t xml:space="preserve">Your progress is saved automatically on the device and browser you are using. If you switch devices partway through, you will need to either finish on the original device or restart (see Section 5, “If Something Goes Wrong”).</w:t>
      </w:r>
    </w:p>
    <w:p>
      <w:pPr>
        <w:pStyle w:val="ListParagraph"/>
        <w:numPr>
          <w:ilvl w:val="0"/>
          <w:numId w:val="2"/>
        </w:numPr>
        <w:spacing w:after="90" w:line="268"/>
      </w:pPr>
      <w:r>
        <w:rPr>
          <w:rFonts w:ascii="Calibri" w:cs="Calibri" w:eastAsia="Calibri" w:hAnsi="Calibri"/>
          <w:color w:val="16233A"/>
          <w:sz w:val="22"/>
          <w:szCs w:val="22"/>
        </w:rPr>
        <w:t xml:space="preserve">Give yourself roughly 75–90 minutes of uninterrupted time. You do not have to finish in one sitting — your progress is saved — but each checkpoint is designed to be completed as a connected block of thought.</w:t>
      </w:r>
    </w:p>
    <w:p>
      <w:pPr>
        <w:pStyle w:val="Heading1"/>
        <w:pBdr>
          <w:bottom w:val="single" w:color="1E3A5F" w:sz="8" w:space="4"/>
        </w:pBdr>
        <w:spacing w:after="160" w:before="320"/>
      </w:pPr>
      <w:r>
        <w:rPr>
          <w:rFonts w:ascii="Calibri" w:cs="Calibri" w:eastAsia="Calibri" w:hAnsi="Calibri"/>
          <w:b/>
          <w:bCs/>
          <w:color w:val="1E3A5F"/>
          <w:sz w:val="30"/>
          <w:szCs w:val="30"/>
        </w:rPr>
        <w:t xml:space="preserve">3. How the Gated Reading Works</w:t>
      </w:r>
    </w:p>
    <w:p>
      <w:pPr>
        <w:pStyle w:val="Heading2"/>
        <w:spacing w:after="120" w:before="260"/>
      </w:pPr>
      <w:r>
        <w:rPr>
          <w:rFonts w:ascii="Calibri" w:cs="Calibri" w:eastAsia="Calibri" w:hAnsi="Calibri"/>
          <w:b/>
          <w:bCs/>
          <w:color w:val="1E3A5F"/>
          <w:sz w:val="24"/>
          <w:szCs w:val="24"/>
        </w:rPr>
        <w:t xml:space="preserve">3.1 — Reading each slide</w:t>
      </w:r>
    </w:p>
    <w:p>
      <w:pPr>
        <w:spacing w:after="140" w:line="276"/>
      </w:pPr>
      <w:r>
        <w:rPr>
          <w:rFonts w:ascii="Calibri" w:cs="Calibri" w:eastAsia="Calibri" w:hAnsi="Calibri"/>
          <w:b w:val="false"/>
          <w:bCs w:val="false"/>
          <w:i w:val="false"/>
          <w:iCs w:val="false"/>
          <w:color w:val="16233A"/>
          <w:sz w:val="22"/>
          <w:szCs w:val="22"/>
        </w:rPr>
        <w:t xml:space="preserve">Use the “Next →” and “← Prev” buttons (or the left/right arrow keys, or swipe on a touchscreen) to move through the slides. Each slide has a short on-screen summary. Press the Notes button (or the N key) at any time to open a drawer with a fuller, spoken-style explanation of that exact slide — use this whenever the short version isn’t enough.</w:t>
      </w:r>
    </w:p>
    <w:p>
      <w:pPr>
        <w:spacing w:after="140" w:line="276"/>
      </w:pPr>
      <w:r>
        <w:rPr>
          <w:rFonts w:ascii="Calibri" w:cs="Calibri" w:eastAsia="Calibri" w:hAnsi="Calibri"/>
          <w:b w:val="false"/>
          <w:bCs w:val="false"/>
          <w:i w:val="false"/>
          <w:iCs w:val="false"/>
          <w:color w:val="16233A"/>
          <w:sz w:val="22"/>
          <w:szCs w:val="22"/>
        </w:rPr>
        <w:t xml:space="preserve">You can jump directly to any section you have already unlocked using the dropdown menu in the top-right corner.</w:t>
      </w:r>
    </w:p>
    <w:p>
      <w:pPr>
        <w:pStyle w:val="Heading2"/>
        <w:spacing w:after="120" w:before="260"/>
      </w:pPr>
      <w:r>
        <w:rPr>
          <w:rFonts w:ascii="Calibri" w:cs="Calibri" w:eastAsia="Calibri" w:hAnsi="Calibri"/>
          <w:b/>
          <w:bCs/>
          <w:color w:val="1E3A5F"/>
          <w:sz w:val="24"/>
          <w:szCs w:val="24"/>
        </w:rPr>
        <w:t xml:space="preserve">3.2 — Checkpoints</w:t>
      </w:r>
    </w:p>
    <w:p>
      <w:pPr>
        <w:spacing w:after="140" w:line="276"/>
      </w:pPr>
      <w:r>
        <w:rPr>
          <w:rFonts w:ascii="Calibri" w:cs="Calibri" w:eastAsia="Calibri" w:hAnsi="Calibri"/>
          <w:b w:val="false"/>
          <w:bCs w:val="false"/>
          <w:i w:val="false"/>
          <w:iCs w:val="false"/>
          <w:color w:val="16233A"/>
          <w:sz w:val="22"/>
          <w:szCs w:val="22"/>
        </w:rPr>
        <w:t xml:space="preserve">At the end of each of the seven content sections, you will reach a checkpoint: 3–4 short-answer questions about the section you just read. Checkpoints are answered one question at a time:</w:t>
      </w:r>
    </w:p>
    <w:p>
      <w:pPr>
        <w:pStyle w:val="ListParagraph"/>
        <w:numPr>
          <w:ilvl w:val="0"/>
          <w:numId w:val="3"/>
        </w:numPr>
        <w:spacing w:after="90" w:line="268"/>
      </w:pPr>
      <w:r>
        <w:rPr>
          <w:rFonts w:ascii="Calibri" w:cs="Calibri" w:eastAsia="Calibri" w:hAnsi="Calibri"/>
          <w:color w:val="16233A"/>
          <w:sz w:val="22"/>
          <w:szCs w:val="22"/>
        </w:rPr>
        <w:t xml:space="preserve">Type your answer in your own words. Answers must be at least a couple of sentences (the box will tell you if you need more detail).</w:t>
      </w:r>
    </w:p>
    <w:p>
      <w:pPr>
        <w:pStyle w:val="ListParagraph"/>
        <w:numPr>
          <w:ilvl w:val="0"/>
          <w:numId w:val="3"/>
        </w:numPr>
        <w:spacing w:after="90" w:line="268"/>
      </w:pPr>
      <w:r>
        <w:rPr>
          <w:rFonts w:ascii="Calibri" w:cs="Calibri" w:eastAsia="Calibri" w:hAnsi="Calibri"/>
          <w:color w:val="16233A"/>
          <w:sz w:val="22"/>
          <w:szCs w:val="22"/>
        </w:rPr>
        <w:t xml:space="preserve">You cannot paste text into the answer box — it must be typed.</w:t>
      </w:r>
    </w:p>
    <w:p>
      <w:pPr>
        <w:pStyle w:val="ListParagraph"/>
        <w:numPr>
          <w:ilvl w:val="0"/>
          <w:numId w:val="3"/>
        </w:numPr>
        <w:spacing w:after="90" w:line="268"/>
      </w:pPr>
      <w:r>
        <w:rPr>
          <w:rFonts w:ascii="Calibri" w:cs="Calibri" w:eastAsia="Calibri" w:hAnsi="Calibri"/>
          <w:color w:val="16233A"/>
          <w:sz w:val="22"/>
          <w:szCs w:val="22"/>
        </w:rPr>
        <w:t xml:space="preserve">Each question has a short minimum thinking time before “Submit” becomes available. This is intentional — it is there to stop you from reflexively answering before you’ve actually thought about the question.</w:t>
      </w:r>
    </w:p>
    <w:p>
      <w:pPr>
        <w:pStyle w:val="ListParagraph"/>
        <w:numPr>
          <w:ilvl w:val="0"/>
          <w:numId w:val="3"/>
        </w:numPr>
        <w:spacing w:after="90" w:line="268"/>
      </w:pPr>
      <w:r>
        <w:rPr>
          <w:rFonts w:ascii="Calibri" w:cs="Calibri" w:eastAsia="Calibri" w:hAnsi="Calibri"/>
          <w:color w:val="16233A"/>
          <w:sz w:val="22"/>
          <w:szCs w:val="22"/>
        </w:rPr>
        <w:t xml:space="preserve">Once you submit an answer, it locks in. You can look back at a locked answer (click its green checkmark), but you cannot edit it.</w:t>
      </w:r>
    </w:p>
    <w:p>
      <w:pPr>
        <w:pStyle w:val="ListParagraph"/>
        <w:numPr>
          <w:ilvl w:val="0"/>
          <w:numId w:val="3"/>
        </w:numPr>
        <w:spacing w:after="90" w:line="268"/>
      </w:pPr>
      <w:r>
        <w:rPr>
          <w:rFonts w:ascii="Calibri" w:cs="Calibri" w:eastAsia="Calibri" w:hAnsi="Calibri"/>
          <w:color w:val="16233A"/>
          <w:sz w:val="22"/>
          <w:szCs w:val="22"/>
        </w:rPr>
        <w:t xml:space="preserve">After all questions in a section are submitted, a “Review &amp; Screenshot My Answers” button appears. Click it, take your screenshot (see Section 4), then click “Continue to Next Section” to unlock the rest of the chapter.</w:t>
      </w:r>
    </w:p>
    <w:p>
      <w:pPr>
        <w:pStyle w:val="Heading2"/>
        <w:spacing w:after="120" w:before="260"/>
      </w:pPr>
      <w:r>
        <w:rPr>
          <w:rFonts w:ascii="Calibri" w:cs="Calibri" w:eastAsia="Calibri" w:hAnsi="Calibri"/>
          <w:b/>
          <w:bCs/>
          <w:color w:val="1E3A5F"/>
          <w:sz w:val="24"/>
          <w:szCs w:val="24"/>
        </w:rPr>
        <w:t xml:space="preserve">3.3 — What “gated” means</w:t>
      </w:r>
    </w:p>
    <w:p>
      <w:pPr>
        <w:spacing w:after="140" w:line="276"/>
      </w:pPr>
      <w:r>
        <w:rPr>
          <w:rFonts w:ascii="Calibri" w:cs="Calibri" w:eastAsia="Calibri" w:hAnsi="Calibri"/>
          <w:b w:val="false"/>
          <w:bCs w:val="false"/>
          <w:i w:val="false"/>
          <w:iCs w:val="false"/>
          <w:color w:val="16233A"/>
          <w:sz w:val="22"/>
          <w:szCs w:val="22"/>
        </w:rPr>
        <w:t xml:space="preserve">You cannot skip ahead. Every later section, and the section dropdown menu, stays locked (shown with a 🔒) until you have completed the checkpoint immediately before it. This is by design — it keeps the reading in order and ensures you’ve actually engaged with each section before moving to the next.</w:t>
      </w:r>
    </w:p>
    <w:p>
      <w:pPr>
        <w:pStyle w:val="Heading1"/>
        <w:pBdr>
          <w:bottom w:val="single" w:color="1E3A5F" w:sz="8" w:space="4"/>
        </w:pBdr>
        <w:spacing w:after="160" w:before="320"/>
      </w:pPr>
      <w:r>
        <w:rPr>
          <w:rFonts w:ascii="Calibri" w:cs="Calibri" w:eastAsia="Calibri" w:hAnsi="Calibri"/>
          <w:b/>
          <w:bCs/>
          <w:color w:val="1E3A5F"/>
          <w:sz w:val="30"/>
          <w:szCs w:val="30"/>
        </w:rPr>
        <w:t xml:space="preserve">4. What You Need to Submit</w:t>
      </w:r>
    </w:p>
    <w:p>
      <w:pPr>
        <w:spacing w:after="140" w:line="276"/>
      </w:pPr>
      <w:r>
        <w:rPr>
          <w:rFonts w:ascii="Calibri" w:cs="Calibri" w:eastAsia="Calibri" w:hAnsi="Calibri"/>
          <w:b w:val="false"/>
          <w:bCs w:val="false"/>
          <w:i w:val="false"/>
          <w:iCs w:val="false"/>
          <w:color w:val="16233A"/>
          <w:sz w:val="22"/>
          <w:szCs w:val="22"/>
        </w:rPr>
        <w:t xml:space="preserve">For each of the seven checkpoints, take one screenshot of the full “Review &amp; Screenshot My Answers” window (the pop-up box showing all of that section’s questions and your answers together). You should end up with seven screenshots total.</w:t>
      </w:r>
    </w:p>
    <w:p>
      <w:pPr>
        <w:pStyle w:val="ListParagraph"/>
        <w:numPr>
          <w:ilvl w:val="0"/>
          <w:numId w:val="2"/>
        </w:numPr>
        <w:spacing w:after="90" w:line="268"/>
      </w:pPr>
      <w:r>
        <w:rPr>
          <w:rFonts w:ascii="Calibri" w:cs="Calibri" w:eastAsia="Calibri" w:hAnsi="Calibri"/>
          <w:color w:val="16233A"/>
          <w:sz w:val="22"/>
          <w:szCs w:val="22"/>
        </w:rPr>
        <w:t xml:space="preserve">Name your screenshots clearly, e.g. LastName_Ch12_Checkpoint1.png through LastName_Ch12_Checkpoint7.png.</w:t>
      </w:r>
    </w:p>
    <w:p>
      <w:pPr>
        <w:pStyle w:val="ListParagraph"/>
        <w:numPr>
          <w:ilvl w:val="0"/>
          <w:numId w:val="2"/>
        </w:numPr>
        <w:spacing w:after="90" w:line="268"/>
      </w:pPr>
      <w:r>
        <w:rPr>
          <w:rFonts w:ascii="Calibri" w:cs="Calibri" w:eastAsia="Calibri" w:hAnsi="Calibri"/>
          <w:color w:val="16233A"/>
          <w:sz w:val="22"/>
          <w:szCs w:val="22"/>
        </w:rPr>
        <w:t xml:space="preserve">Combine all seven into a single PDF or a single Word document, in order, and upload that one file to the Chapter 12 Reading Assignment submission link on the course site.</w:t>
      </w:r>
    </w:p>
    <w:p>
      <w:pPr>
        <w:pStyle w:val="ListParagraph"/>
        <w:numPr>
          <w:ilvl w:val="0"/>
          <w:numId w:val="2"/>
        </w:numPr>
        <w:spacing w:after="90" w:line="268"/>
      </w:pPr>
      <w:r>
        <w:rPr>
          <w:rFonts w:ascii="Calibri" w:cs="Calibri" w:eastAsia="Calibri" w:hAnsi="Calibri"/>
          <w:color w:val="16233A"/>
          <w:sz w:val="22"/>
          <w:szCs w:val="22"/>
        </w:rPr>
        <w:t xml:space="preserve">Make sure each screenshot is fully legible — if a grader cannot read your answer, it cannot be scored.</w:t>
      </w:r>
    </w:p>
    <w:p>
      <w:pPr>
        <w:pBdr>
          <w:top w:val="single" w:color="C8840A" w:sz="6" w:space="6"/>
          <w:left w:val="single" w:color="C8840A" w:sz="16" w:space="8"/>
        </w:pBdr>
        <w:spacing w:after="160"/>
        <w:ind w:left="260"/>
      </w:pPr>
      <w:r>
        <w:rPr>
          <w:rFonts w:ascii="Calibri" w:cs="Calibri" w:eastAsia="Calibri" w:hAnsi="Calibri"/>
          <w:i/>
          <w:iCs/>
          <w:color w:val="16233A"/>
          <w:sz w:val="22"/>
          <w:szCs w:val="22"/>
        </w:rPr>
        <w:t xml:space="preserve">Reminder: the review screen only becomes available once every question in that section is submitted, so you cannot screenshot a partially-completed section — finish the section first.</w:t>
      </w:r>
    </w:p>
    <w:p>
      <w:pPr>
        <w:pStyle w:val="Heading1"/>
        <w:pBdr>
          <w:bottom w:val="single" w:color="1E3A5F" w:sz="8" w:space="4"/>
        </w:pBdr>
        <w:spacing w:after="160" w:before="320"/>
      </w:pPr>
      <w:r>
        <w:rPr>
          <w:rFonts w:ascii="Calibri" w:cs="Calibri" w:eastAsia="Calibri" w:hAnsi="Calibri"/>
          <w:b/>
          <w:bCs/>
          <w:color w:val="1E3A5F"/>
          <w:sz w:val="30"/>
          <w:szCs w:val="30"/>
        </w:rPr>
        <w:t xml:space="preserve">5. If Something Goes Wrong</w:t>
      </w:r>
    </w:p>
    <w:p>
      <w:pPr>
        <w:pStyle w:val="ListParagraph"/>
        <w:numPr>
          <w:ilvl w:val="0"/>
          <w:numId w:val="2"/>
        </w:numPr>
        <w:spacing w:after="90" w:line="268"/>
      </w:pPr>
      <w:r>
        <w:rPr>
          <w:rFonts w:ascii="Calibri" w:cs="Calibri" w:eastAsia="Calibri" w:hAnsi="Calibri"/>
          <w:color w:val="16233A"/>
          <w:sz w:val="22"/>
          <w:szCs w:val="22"/>
        </w:rPr>
        <w:t xml:space="preserve">Progress is stored in your browser on one specific device. Clearing your browser data, using a different browser, or switching devices will reset what the page shows you — but it will not affect screenshots you’ve already saved.</w:t>
      </w:r>
    </w:p>
    <w:p>
      <w:pPr>
        <w:pStyle w:val="ListParagraph"/>
        <w:numPr>
          <w:ilvl w:val="0"/>
          <w:numId w:val="2"/>
        </w:numPr>
        <w:spacing w:after="90" w:line="268"/>
      </w:pPr>
      <w:r>
        <w:rPr>
          <w:rFonts w:ascii="Calibri" w:cs="Calibri" w:eastAsia="Calibri" w:hAnsi="Calibri"/>
          <w:color w:val="16233A"/>
          <w:sz w:val="22"/>
          <w:szCs w:val="22"/>
        </w:rPr>
        <w:t xml:space="preserve">There is a “Reset my progress” button in the top bar if you genuinely need to start over on a given device. This is permanent and cannot be undone — use it only if necessary.</w:t>
      </w:r>
    </w:p>
    <w:p>
      <w:pPr>
        <w:pStyle w:val="ListParagraph"/>
        <w:numPr>
          <w:ilvl w:val="0"/>
          <w:numId w:val="2"/>
        </w:numPr>
        <w:spacing w:after="90" w:line="268"/>
      </w:pPr>
      <w:r>
        <w:rPr>
          <w:rFonts w:ascii="Calibri" w:cs="Calibri" w:eastAsia="Calibri" w:hAnsi="Calibri"/>
          <w:color w:val="16233A"/>
          <w:sz w:val="22"/>
          <w:szCs w:val="22"/>
        </w:rPr>
        <w:t xml:space="preserve">If you believe you lost work due to a technical problem (not simply switching devices), email your instructor before the deadline with a description of what happened, and any screenshots you already have.</w:t>
      </w:r>
    </w:p>
    <w:p>
      <w:pPr>
        <w:pStyle w:val="Heading1"/>
        <w:pBdr>
          <w:bottom w:val="single" w:color="1E3A5F" w:sz="8" w:space="4"/>
        </w:pBdr>
        <w:spacing w:after="160" w:before="320"/>
      </w:pPr>
      <w:r>
        <w:rPr>
          <w:rFonts w:ascii="Calibri" w:cs="Calibri" w:eastAsia="Calibri" w:hAnsi="Calibri"/>
          <w:b/>
          <w:bCs/>
          <w:color w:val="1E3A5F"/>
          <w:sz w:val="30"/>
          <w:szCs w:val="30"/>
        </w:rPr>
        <w:t xml:space="preserve">6. What Each Section Covers</w:t>
      </w:r>
    </w:p>
    <w:p>
      <w:pPr>
        <w:spacing w:after="140" w:line="276"/>
      </w:pPr>
      <w:r>
        <w:rPr>
          <w:rFonts w:ascii="Calibri" w:cs="Calibri" w:eastAsia="Calibri" w:hAnsi="Calibri"/>
          <w:b w:val="false"/>
          <w:bCs w:val="false"/>
          <w:i w:val="false"/>
          <w:iCs w:val="false"/>
          <w:color w:val="16233A"/>
          <w:sz w:val="22"/>
          <w:szCs w:val="22"/>
        </w:rPr>
        <w:t xml:space="preserve">For reference, here is the section-by-section map of the chapter and what each checkpoint will ask you about: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3400"/>
        <w:gridCol w:w="5060"/>
      </w:tblGrid>
      <w:tr>
        <w:tc>
          <w:tcPr>
            <w:tcW w:type="dxa" w:w="900"/>
            <w:shd w:fill="1E3A5F" w:val="clear"/>
            <w:tcMar>
              <w:top w:type="dxa" w:w="80"/>
              <w:left w:type="dxa" w:w="120"/>
              <w:bottom w:type="dxa" w:w="80"/>
              <w:right w:type="dxa" w:w="120"/>
            </w:tcMar>
          </w:tcPr>
          <w:p>
            <w:r>
              <w:rPr>
                <w:rFonts w:ascii="Calibri" w:cs="Calibri" w:eastAsia="Calibri" w:hAnsi="Calibri"/>
                <w:b/>
                <w:bCs/>
                <w:color w:val="FFFFFF"/>
                <w:sz w:val="20"/>
                <w:szCs w:val="20"/>
              </w:rPr>
              <w:t xml:space="preserve">§</w:t>
            </w:r>
          </w:p>
        </w:tc>
        <w:tc>
          <w:tcPr>
            <w:tcW w:type="dxa" w:w="3400"/>
            <w:shd w:fill="1E3A5F" w:val="clear"/>
            <w:tcMar>
              <w:top w:type="dxa" w:w="80"/>
              <w:left w:type="dxa" w:w="120"/>
              <w:bottom w:type="dxa" w:w="80"/>
              <w:right w:type="dxa" w:w="120"/>
            </w:tcMar>
          </w:tcPr>
          <w:p>
            <w:r>
              <w:rPr>
                <w:rFonts w:ascii="Calibri" w:cs="Calibri" w:eastAsia="Calibri" w:hAnsi="Calibri"/>
                <w:b/>
                <w:bCs/>
                <w:color w:val="FFFFFF"/>
                <w:sz w:val="20"/>
                <w:szCs w:val="20"/>
              </w:rPr>
              <w:t xml:space="preserve">Section</w:t>
            </w:r>
          </w:p>
        </w:tc>
        <w:tc>
          <w:tcPr>
            <w:tcW w:type="dxa" w:w="5060"/>
            <w:shd w:fill="1E3A5F" w:val="clear"/>
            <w:tcMar>
              <w:top w:type="dxa" w:w="80"/>
              <w:left w:type="dxa" w:w="120"/>
              <w:bottom w:type="dxa" w:w="80"/>
              <w:right w:type="dxa" w:w="120"/>
            </w:tcMar>
          </w:tcPr>
          <w:p>
            <w:r>
              <w:rPr>
                <w:rFonts w:ascii="Calibri" w:cs="Calibri" w:eastAsia="Calibri" w:hAnsi="Calibri"/>
                <w:b/>
                <w:bCs/>
                <w:color w:val="FFFFFF"/>
                <w:sz w:val="20"/>
                <w:szCs w:val="20"/>
              </w:rPr>
              <w:t xml:space="preserve">Checkpoint focus</w:t>
            </w:r>
          </w:p>
        </w:tc>
      </w:tr>
      <w:tr>
        <w:tc>
          <w:tcPr>
            <w:tcW w:type="dxa" w:w="900"/>
            <w:tcMar>
              <w:top w:type="dxa" w:w="80"/>
              <w:left w:type="dxa" w:w="120"/>
              <w:bottom w:type="dxa" w:w="80"/>
              <w:right w:type="dxa" w:w="120"/>
            </w:tcMar>
          </w:tcPr>
          <w:p>
            <w:r>
              <w:rPr>
                <w:rFonts w:ascii="Calibri" w:cs="Calibri" w:eastAsia="Calibri" w:hAnsi="Calibri"/>
                <w:b w:val="false"/>
                <w:bCs w:val="false"/>
                <w:color w:val="16233A"/>
                <w:sz w:val="20"/>
                <w:szCs w:val="20"/>
              </w:rPr>
              <w:t xml:space="preserve">12.1</w:t>
            </w:r>
          </w:p>
        </w:tc>
        <w:tc>
          <w:tcPr>
            <w:tcW w:type="dxa" w:w="3400"/>
            <w:tcMar>
              <w:top w:type="dxa" w:w="80"/>
              <w:left w:type="dxa" w:w="120"/>
              <w:bottom w:type="dxa" w:w="80"/>
              <w:right w:type="dxa" w:w="120"/>
            </w:tcMar>
          </w:tcPr>
          <w:p>
            <w:r>
              <w:rPr>
                <w:rFonts w:ascii="Calibri" w:cs="Calibri" w:eastAsia="Calibri" w:hAnsi="Calibri"/>
                <w:b w:val="false"/>
                <w:bCs w:val="false"/>
                <w:color w:val="16233A"/>
                <w:sz w:val="20"/>
                <w:szCs w:val="20"/>
              </w:rPr>
              <w:t xml:space="preserve">Acting Under Uncertainty</w:t>
            </w:r>
          </w:p>
        </w:tc>
        <w:tc>
          <w:tcPr>
            <w:tcW w:type="dxa" w:w="5060"/>
            <w:tcMar>
              <w:top w:type="dxa" w:w="80"/>
              <w:left w:type="dxa" w:w="120"/>
              <w:bottom w:type="dxa" w:w="80"/>
              <w:right w:type="dxa" w:w="120"/>
            </w:tcMar>
          </w:tcPr>
          <w:p>
            <w:r>
              <w:rPr>
                <w:rFonts w:ascii="Calibri" w:cs="Calibri" w:eastAsia="Calibri" w:hAnsi="Calibri"/>
                <w:b w:val="false"/>
                <w:bCs w:val="false"/>
                <w:color w:val="16233A"/>
                <w:sz w:val="20"/>
                <w:szCs w:val="20"/>
              </w:rPr>
              <w:t xml:space="preserve">Why logical rules break down; the qualification problem; decision theory preview</w:t>
            </w:r>
          </w:p>
        </w:tc>
      </w:tr>
      <w:tr>
        <w:tc>
          <w:tcPr>
            <w:tcW w:type="dxa" w:w="900"/>
            <w:tcMar>
              <w:top w:type="dxa" w:w="80"/>
              <w:left w:type="dxa" w:w="120"/>
              <w:bottom w:type="dxa" w:w="80"/>
              <w:right w:type="dxa" w:w="120"/>
            </w:tcMar>
          </w:tcPr>
          <w:p>
            <w:r>
              <w:rPr>
                <w:rFonts w:ascii="Calibri" w:cs="Calibri" w:eastAsia="Calibri" w:hAnsi="Calibri"/>
                <w:b w:val="false"/>
                <w:bCs w:val="false"/>
                <w:color w:val="16233A"/>
                <w:sz w:val="20"/>
                <w:szCs w:val="20"/>
              </w:rPr>
              <w:t xml:space="preserve">12.2</w:t>
            </w:r>
          </w:p>
        </w:tc>
        <w:tc>
          <w:tcPr>
            <w:tcW w:type="dxa" w:w="3400"/>
            <w:tcMar>
              <w:top w:type="dxa" w:w="80"/>
              <w:left w:type="dxa" w:w="120"/>
              <w:bottom w:type="dxa" w:w="80"/>
              <w:right w:type="dxa" w:w="120"/>
            </w:tcMar>
          </w:tcPr>
          <w:p>
            <w:r>
              <w:rPr>
                <w:rFonts w:ascii="Calibri" w:cs="Calibri" w:eastAsia="Calibri" w:hAnsi="Calibri"/>
                <w:b w:val="false"/>
                <w:bCs w:val="false"/>
                <w:color w:val="16233A"/>
                <w:sz w:val="20"/>
                <w:szCs w:val="20"/>
              </w:rPr>
              <w:t xml:space="preserve">Basic Probability Notation</w:t>
            </w:r>
          </w:p>
        </w:tc>
        <w:tc>
          <w:tcPr>
            <w:tcW w:type="dxa" w:w="5060"/>
            <w:tcMar>
              <w:top w:type="dxa" w:w="80"/>
              <w:left w:type="dxa" w:w="120"/>
              <w:bottom w:type="dxa" w:w="80"/>
              <w:right w:type="dxa" w:w="120"/>
            </w:tcMar>
          </w:tcPr>
          <w:p>
            <w:r>
              <w:rPr>
                <w:rFonts w:ascii="Calibri" w:cs="Calibri" w:eastAsia="Calibri" w:hAnsi="Calibri"/>
                <w:b w:val="false"/>
                <w:bCs w:val="false"/>
                <w:color w:val="16233A"/>
                <w:sz w:val="20"/>
                <w:szCs w:val="20"/>
              </w:rPr>
              <w:t xml:space="preserve">Random variables, prior vs. conditional probability, the joint distribution, Kolmogorov's axioms</w:t>
            </w:r>
          </w:p>
        </w:tc>
      </w:tr>
      <w:tr>
        <w:tc>
          <w:tcPr>
            <w:tcW w:type="dxa" w:w="900"/>
            <w:tcMar>
              <w:top w:type="dxa" w:w="80"/>
              <w:left w:type="dxa" w:w="120"/>
              <w:bottom w:type="dxa" w:w="80"/>
              <w:right w:type="dxa" w:w="120"/>
            </w:tcMar>
          </w:tcPr>
          <w:p>
            <w:r>
              <w:rPr>
                <w:rFonts w:ascii="Calibri" w:cs="Calibri" w:eastAsia="Calibri" w:hAnsi="Calibri"/>
                <w:b w:val="false"/>
                <w:bCs w:val="false"/>
                <w:color w:val="16233A"/>
                <w:sz w:val="20"/>
                <w:szCs w:val="20"/>
              </w:rPr>
              <w:t xml:space="preserve">12.3</w:t>
            </w:r>
          </w:p>
        </w:tc>
        <w:tc>
          <w:tcPr>
            <w:tcW w:type="dxa" w:w="3400"/>
            <w:tcMar>
              <w:top w:type="dxa" w:w="80"/>
              <w:left w:type="dxa" w:w="120"/>
              <w:bottom w:type="dxa" w:w="80"/>
              <w:right w:type="dxa" w:w="120"/>
            </w:tcMar>
          </w:tcPr>
          <w:p>
            <w:r>
              <w:rPr>
                <w:rFonts w:ascii="Calibri" w:cs="Calibri" w:eastAsia="Calibri" w:hAnsi="Calibri"/>
                <w:b w:val="false"/>
                <w:bCs w:val="false"/>
                <w:color w:val="16233A"/>
                <w:sz w:val="20"/>
                <w:szCs w:val="20"/>
              </w:rPr>
              <w:t xml:space="preserve">Inference Using Full Joint Distributions</w:t>
            </w:r>
          </w:p>
        </w:tc>
        <w:tc>
          <w:tcPr>
            <w:tcW w:type="dxa" w:w="5060"/>
            <w:tcMar>
              <w:top w:type="dxa" w:w="80"/>
              <w:left w:type="dxa" w:w="120"/>
              <w:bottom w:type="dxa" w:w="80"/>
              <w:right w:type="dxa" w:w="120"/>
            </w:tcMar>
          </w:tcPr>
          <w:p>
            <w:r>
              <w:rPr>
                <w:rFonts w:ascii="Calibri" w:cs="Calibri" w:eastAsia="Calibri" w:hAnsi="Calibri"/>
                <w:b w:val="false"/>
                <w:bCs w:val="false"/>
                <w:color w:val="16233A"/>
                <w:sz w:val="20"/>
                <w:szCs w:val="20"/>
              </w:rPr>
              <w:t xml:space="preserve">Marginalization, normalization, and why the full joint doesn't scale</w:t>
            </w:r>
          </w:p>
        </w:tc>
      </w:tr>
      <w:tr>
        <w:tc>
          <w:tcPr>
            <w:tcW w:type="dxa" w:w="900"/>
            <w:tcMar>
              <w:top w:type="dxa" w:w="80"/>
              <w:left w:type="dxa" w:w="120"/>
              <w:bottom w:type="dxa" w:w="80"/>
              <w:right w:type="dxa" w:w="120"/>
            </w:tcMar>
          </w:tcPr>
          <w:p>
            <w:r>
              <w:rPr>
                <w:rFonts w:ascii="Calibri" w:cs="Calibri" w:eastAsia="Calibri" w:hAnsi="Calibri"/>
                <w:b w:val="false"/>
                <w:bCs w:val="false"/>
                <w:color w:val="16233A"/>
                <w:sz w:val="20"/>
                <w:szCs w:val="20"/>
              </w:rPr>
              <w:t xml:space="preserve">12.4</w:t>
            </w:r>
          </w:p>
        </w:tc>
        <w:tc>
          <w:tcPr>
            <w:tcW w:type="dxa" w:w="3400"/>
            <w:tcMar>
              <w:top w:type="dxa" w:w="80"/>
              <w:left w:type="dxa" w:w="120"/>
              <w:bottom w:type="dxa" w:w="80"/>
              <w:right w:type="dxa" w:w="120"/>
            </w:tcMar>
          </w:tcPr>
          <w:p>
            <w:r>
              <w:rPr>
                <w:rFonts w:ascii="Calibri" w:cs="Calibri" w:eastAsia="Calibri" w:hAnsi="Calibri"/>
                <w:b w:val="false"/>
                <w:bCs w:val="false"/>
                <w:color w:val="16233A"/>
                <w:sz w:val="20"/>
                <w:szCs w:val="20"/>
              </w:rPr>
              <w:t xml:space="preserve">Independence</w:t>
            </w:r>
          </w:p>
        </w:tc>
        <w:tc>
          <w:tcPr>
            <w:tcW w:type="dxa" w:w="5060"/>
            <w:tcMar>
              <w:top w:type="dxa" w:w="80"/>
              <w:left w:type="dxa" w:w="120"/>
              <w:bottom w:type="dxa" w:w="80"/>
              <w:right w:type="dxa" w:w="120"/>
            </w:tcMar>
          </w:tcPr>
          <w:p>
            <w:r>
              <w:rPr>
                <w:rFonts w:ascii="Calibri" w:cs="Calibri" w:eastAsia="Calibri" w:hAnsi="Calibri"/>
                <w:b w:val="false"/>
                <w:bCs w:val="false"/>
                <w:color w:val="16233A"/>
                <w:sz w:val="20"/>
                <w:szCs w:val="20"/>
              </w:rPr>
              <w:t xml:space="preserve">Unconditional vs. conditional independence, and how to test for it</w:t>
            </w:r>
          </w:p>
        </w:tc>
      </w:tr>
      <w:tr>
        <w:tc>
          <w:tcPr>
            <w:tcW w:type="dxa" w:w="900"/>
            <w:tcMar>
              <w:top w:type="dxa" w:w="80"/>
              <w:left w:type="dxa" w:w="120"/>
              <w:bottom w:type="dxa" w:w="80"/>
              <w:right w:type="dxa" w:w="120"/>
            </w:tcMar>
          </w:tcPr>
          <w:p>
            <w:r>
              <w:rPr>
                <w:rFonts w:ascii="Calibri" w:cs="Calibri" w:eastAsia="Calibri" w:hAnsi="Calibri"/>
                <w:b w:val="false"/>
                <w:bCs w:val="false"/>
                <w:color w:val="16233A"/>
                <w:sz w:val="20"/>
                <w:szCs w:val="20"/>
              </w:rPr>
              <w:t xml:space="preserve">12.5</w:t>
            </w:r>
          </w:p>
        </w:tc>
        <w:tc>
          <w:tcPr>
            <w:tcW w:type="dxa" w:w="3400"/>
            <w:tcMar>
              <w:top w:type="dxa" w:w="80"/>
              <w:left w:type="dxa" w:w="120"/>
              <w:bottom w:type="dxa" w:w="80"/>
              <w:right w:type="dxa" w:w="120"/>
            </w:tcMar>
          </w:tcPr>
          <w:p>
            <w:r>
              <w:rPr>
                <w:rFonts w:ascii="Calibri" w:cs="Calibri" w:eastAsia="Calibri" w:hAnsi="Calibri"/>
                <w:b w:val="false"/>
                <w:bCs w:val="false"/>
                <w:color w:val="16233A"/>
                <w:sz w:val="20"/>
                <w:szCs w:val="20"/>
              </w:rPr>
              <w:t xml:space="preserve">Bayes' Rule and Its Use</w:t>
            </w:r>
          </w:p>
        </w:tc>
        <w:tc>
          <w:tcPr>
            <w:tcW w:type="dxa" w:w="5060"/>
            <w:tcMar>
              <w:top w:type="dxa" w:w="80"/>
              <w:left w:type="dxa" w:w="120"/>
              <w:bottom w:type="dxa" w:w="80"/>
              <w:right w:type="dxa" w:w="120"/>
            </w:tcMar>
          </w:tcPr>
          <w:p>
            <w:r>
              <w:rPr>
                <w:rFonts w:ascii="Calibri" w:cs="Calibri" w:eastAsia="Calibri" w:hAnsi="Calibri"/>
                <w:b w:val="false"/>
                <w:bCs w:val="false"/>
                <w:color w:val="16233A"/>
                <w:sz w:val="20"/>
                <w:szCs w:val="20"/>
              </w:rPr>
              <w:t xml:space="preserve">Deriving Bayes' rule; causal vs. diagnostic knowledge; the base-rate effect</w:t>
            </w:r>
          </w:p>
        </w:tc>
      </w:tr>
      <w:tr>
        <w:tc>
          <w:tcPr>
            <w:tcW w:type="dxa" w:w="900"/>
            <w:tcMar>
              <w:top w:type="dxa" w:w="80"/>
              <w:left w:type="dxa" w:w="120"/>
              <w:bottom w:type="dxa" w:w="80"/>
              <w:right w:type="dxa" w:w="120"/>
            </w:tcMar>
          </w:tcPr>
          <w:p>
            <w:r>
              <w:rPr>
                <w:rFonts w:ascii="Calibri" w:cs="Calibri" w:eastAsia="Calibri" w:hAnsi="Calibri"/>
                <w:b w:val="false"/>
                <w:bCs w:val="false"/>
                <w:color w:val="16233A"/>
                <w:sz w:val="20"/>
                <w:szCs w:val="20"/>
              </w:rPr>
              <w:t xml:space="preserve">12.6</w:t>
            </w:r>
          </w:p>
        </w:tc>
        <w:tc>
          <w:tcPr>
            <w:tcW w:type="dxa" w:w="3400"/>
            <w:tcMar>
              <w:top w:type="dxa" w:w="80"/>
              <w:left w:type="dxa" w:w="120"/>
              <w:bottom w:type="dxa" w:w="80"/>
              <w:right w:type="dxa" w:w="120"/>
            </w:tcMar>
          </w:tcPr>
          <w:p>
            <w:r>
              <w:rPr>
                <w:rFonts w:ascii="Calibri" w:cs="Calibri" w:eastAsia="Calibri" w:hAnsi="Calibri"/>
                <w:b w:val="false"/>
                <w:bCs w:val="false"/>
                <w:color w:val="16233A"/>
                <w:sz w:val="20"/>
                <w:szCs w:val="20"/>
              </w:rPr>
              <w:t xml:space="preserve">Naive Bayes Models</w:t>
            </w:r>
          </w:p>
        </w:tc>
        <w:tc>
          <w:tcPr>
            <w:tcW w:type="dxa" w:w="5060"/>
            <w:tcMar>
              <w:top w:type="dxa" w:w="80"/>
              <w:left w:type="dxa" w:w="120"/>
              <w:bottom w:type="dxa" w:w="80"/>
              <w:right w:type="dxa" w:w="120"/>
            </w:tcMar>
          </w:tcPr>
          <w:p>
            <w:r>
              <w:rPr>
                <w:rFonts w:ascii="Calibri" w:cs="Calibri" w:eastAsia="Calibri" w:hAnsi="Calibri"/>
                <w:b w:val="false"/>
                <w:bCs w:val="false"/>
                <w:color w:val="16233A"/>
                <w:sz w:val="20"/>
                <w:szCs w:val="20"/>
              </w:rPr>
              <w:t xml:space="preserve">Combining multiple pieces of evidence; where the independence assumption breaks</w:t>
            </w:r>
          </w:p>
        </w:tc>
      </w:tr>
      <w:tr>
        <w:tc>
          <w:tcPr>
            <w:tcW w:type="dxa" w:w="900"/>
            <w:tcMar>
              <w:top w:type="dxa" w:w="80"/>
              <w:left w:type="dxa" w:w="120"/>
              <w:bottom w:type="dxa" w:w="80"/>
              <w:right w:type="dxa" w:w="120"/>
            </w:tcMar>
          </w:tcPr>
          <w:p>
            <w:r>
              <w:rPr>
                <w:rFonts w:ascii="Calibri" w:cs="Calibri" w:eastAsia="Calibri" w:hAnsi="Calibri"/>
                <w:b w:val="false"/>
                <w:bCs w:val="false"/>
                <w:color w:val="16233A"/>
                <w:sz w:val="20"/>
                <w:szCs w:val="20"/>
              </w:rPr>
              <w:t xml:space="preserve">12.7</w:t>
            </w:r>
          </w:p>
        </w:tc>
        <w:tc>
          <w:tcPr>
            <w:tcW w:type="dxa" w:w="3400"/>
            <w:tcMar>
              <w:top w:type="dxa" w:w="80"/>
              <w:left w:type="dxa" w:w="120"/>
              <w:bottom w:type="dxa" w:w="80"/>
              <w:right w:type="dxa" w:w="120"/>
            </w:tcMar>
          </w:tcPr>
          <w:p>
            <w:r>
              <w:rPr>
                <w:rFonts w:ascii="Calibri" w:cs="Calibri" w:eastAsia="Calibri" w:hAnsi="Calibri"/>
                <w:b w:val="false"/>
                <w:bCs w:val="false"/>
                <w:color w:val="16233A"/>
                <w:sz w:val="20"/>
                <w:szCs w:val="20"/>
              </w:rPr>
              <w:t xml:space="preserve">The Wumpus World Revisited</w:t>
            </w:r>
          </w:p>
        </w:tc>
        <w:tc>
          <w:tcPr>
            <w:tcW w:type="dxa" w:w="5060"/>
            <w:tcMar>
              <w:top w:type="dxa" w:w="80"/>
              <w:left w:type="dxa" w:w="120"/>
              <w:bottom w:type="dxa" w:w="80"/>
              <w:right w:type="dxa" w:w="120"/>
            </w:tcMar>
          </w:tcPr>
          <w:p>
            <w:r>
              <w:rPr>
                <w:rFonts w:ascii="Calibri" w:cs="Calibri" w:eastAsia="Calibri" w:hAnsi="Calibri"/>
                <w:b w:val="false"/>
                <w:bCs w:val="false"/>
                <w:color w:val="16233A"/>
                <w:sz w:val="20"/>
                <w:szCs w:val="20"/>
              </w:rPr>
              <w:t xml:space="preserve">Applying everything to a genuinely rational decision under uncertainty</w:t>
            </w:r>
          </w:p>
        </w:tc>
      </w:tr>
    </w:tbl>
    <w:p>
      <w:pPr>
        <w:spacing w:before="200"/>
      </w:pPr>
    </w:p>
    <w:p>
      <w:pPr>
        <w:pStyle w:val="Heading1"/>
        <w:pBdr>
          <w:bottom w:val="single" w:color="1E3A5F" w:sz="8" w:space="4"/>
        </w:pBdr>
        <w:spacing w:after="160" w:before="320"/>
      </w:pPr>
      <w:r>
        <w:rPr>
          <w:rFonts w:ascii="Calibri" w:cs="Calibri" w:eastAsia="Calibri" w:hAnsi="Calibri"/>
          <w:b/>
          <w:bCs/>
          <w:color w:val="1E3A5F"/>
          <w:sz w:val="30"/>
          <w:szCs w:val="30"/>
        </w:rPr>
        <w:t xml:space="preserve">7. Grading and Expectations</w:t>
      </w:r>
    </w:p>
    <w:p>
      <w:pPr>
        <w:spacing w:after="140" w:line="276"/>
      </w:pPr>
      <w:r>
        <w:rPr>
          <w:rFonts w:ascii="Calibri" w:cs="Calibri" w:eastAsia="Calibri" w:hAnsi="Calibri"/>
          <w:b w:val="false"/>
          <w:bCs w:val="false"/>
          <w:i w:val="false"/>
          <w:iCs w:val="false"/>
          <w:color w:val="16233A"/>
          <w:sz w:val="22"/>
          <w:szCs w:val="22"/>
        </w:rPr>
        <w:t xml:space="preserve">This assignment is graded on genuine engagement, not on getting a “correct password.” There is no secret phrase you are trying to guess — every question has a real, gradable answer drawn from the material in that section.</w:t>
      </w:r>
    </w:p>
    <w:p>
      <w:pPr>
        <w:pStyle w:val="ListParagraph"/>
        <w:numPr>
          <w:ilvl w:val="0"/>
          <w:numId w:val="2"/>
        </w:numPr>
        <w:spacing w:after="90" w:line="268"/>
      </w:pPr>
      <w:r>
        <w:rPr>
          <w:rFonts w:ascii="Calibri" w:cs="Calibri" w:eastAsia="Calibri" w:hAnsi="Calibri"/>
          <w:color w:val="16233A"/>
          <w:sz w:val="22"/>
          <w:szCs w:val="22"/>
        </w:rPr>
        <w:t xml:space="preserve">Answers should be in your own words and reflect that you read (or listened to, via the Notes drawer) the corresponding section.</w:t>
      </w:r>
    </w:p>
    <w:p>
      <w:pPr>
        <w:pStyle w:val="ListParagraph"/>
        <w:numPr>
          <w:ilvl w:val="0"/>
          <w:numId w:val="2"/>
        </w:numPr>
        <w:spacing w:after="90" w:line="268"/>
      </w:pPr>
      <w:r>
        <w:rPr>
          <w:rFonts w:ascii="Calibri" w:cs="Calibri" w:eastAsia="Calibri" w:hAnsi="Calibri"/>
          <w:color w:val="16233A"/>
          <w:sz w:val="22"/>
          <w:szCs w:val="22"/>
        </w:rPr>
        <w:t xml:space="preserve">Short, vague, or clearly rushed answers (e.g., restating the question, or a single fragment) will not receive full credit.</w:t>
      </w:r>
    </w:p>
    <w:p>
      <w:pPr>
        <w:pStyle w:val="ListParagraph"/>
        <w:numPr>
          <w:ilvl w:val="0"/>
          <w:numId w:val="2"/>
        </w:numPr>
        <w:spacing w:after="90" w:line="268"/>
      </w:pPr>
      <w:r>
        <w:rPr>
          <w:rFonts w:ascii="Calibri" w:cs="Calibri" w:eastAsia="Calibri" w:hAnsi="Calibri"/>
          <w:color w:val="16233A"/>
          <w:sz w:val="22"/>
          <w:szCs w:val="22"/>
        </w:rPr>
        <w:t xml:space="preserve">You are welcome, and encouraged, to reference the interactive slides and Notes drawer while answering — this is an open-book reading check, not a memory test.</w:t>
      </w:r>
    </w:p>
    <w:p>
      <w:pPr>
        <w:pStyle w:val="ListParagraph"/>
        <w:numPr>
          <w:ilvl w:val="0"/>
          <w:numId w:val="2"/>
        </w:numPr>
        <w:spacing w:after="90" w:line="268"/>
      </w:pPr>
      <w:r>
        <w:rPr>
          <w:rFonts w:ascii="Calibri" w:cs="Calibri" w:eastAsia="Calibri" w:hAnsi="Calibri"/>
          <w:color w:val="16233A"/>
          <w:sz w:val="22"/>
          <w:szCs w:val="22"/>
        </w:rPr>
        <w:t xml:space="preserve">Because answers must be typed by hand and cannot be pasted, copying text directly from an AI assistant or another source is not possible within the tool itself — but answers that are clearly not your own reasoning (e.g., implausibly polished, or inconsistent with your own phrasing elsewhere) may be flagged for follow-up.</w:t>
      </w:r>
    </w:p>
    <w:p>
      <w:pPr>
        <w:pStyle w:val="Heading1"/>
        <w:pBdr>
          <w:bottom w:val="single" w:color="1E3A5F" w:sz="8" w:space="4"/>
        </w:pBdr>
        <w:spacing w:after="160" w:before="320"/>
      </w:pPr>
      <w:r>
        <w:rPr>
          <w:rFonts w:ascii="Calibri" w:cs="Calibri" w:eastAsia="Calibri" w:hAnsi="Calibri"/>
          <w:b/>
          <w:bCs/>
          <w:color w:val="1E3A5F"/>
          <w:sz w:val="30"/>
          <w:szCs w:val="30"/>
        </w:rPr>
        <w:t xml:space="preserve">8. Tips for Success</w:t>
      </w:r>
    </w:p>
    <w:p>
      <w:pPr>
        <w:pStyle w:val="ListParagraph"/>
        <w:numPr>
          <w:ilvl w:val="0"/>
          <w:numId w:val="2"/>
        </w:numPr>
        <w:spacing w:after="90" w:line="268"/>
      </w:pPr>
      <w:r>
        <w:rPr>
          <w:rFonts w:ascii="Calibri" w:cs="Calibri" w:eastAsia="Calibri" w:hAnsi="Calibri"/>
          <w:color w:val="16233A"/>
          <w:sz w:val="22"/>
          <w:szCs w:val="22"/>
        </w:rPr>
        <w:t xml:space="preserve">Read the short on-screen version first, then open the Notes drawer (press N) if you want the fuller explanation before answering the checkpoint.</w:t>
      </w:r>
    </w:p>
    <w:p>
      <w:pPr>
        <w:pStyle w:val="ListParagraph"/>
        <w:numPr>
          <w:ilvl w:val="0"/>
          <w:numId w:val="2"/>
        </w:numPr>
        <w:spacing w:after="90" w:line="268"/>
      </w:pPr>
      <w:r>
        <w:rPr>
          <w:rFonts w:ascii="Calibri" w:cs="Calibri" w:eastAsia="Calibri" w:hAnsi="Calibri"/>
          <w:color w:val="16233A"/>
          <w:sz w:val="22"/>
          <w:szCs w:val="22"/>
        </w:rPr>
        <w:t xml:space="preserve">Work through the two running examples — the Dentist’s Chair and Northgate General Hospital — side by side. If an idea makes sense in one domain but not the other, that’s a sign to reread that slide.</w:t>
      </w:r>
    </w:p>
    <w:p>
      <w:pPr>
        <w:pStyle w:val="ListParagraph"/>
        <w:numPr>
          <w:ilvl w:val="0"/>
          <w:numId w:val="2"/>
        </w:numPr>
        <w:spacing w:after="90" w:line="268"/>
      </w:pPr>
      <w:r>
        <w:rPr>
          <w:rFonts w:ascii="Calibri" w:cs="Calibri" w:eastAsia="Calibri" w:hAnsi="Calibri"/>
          <w:color w:val="16233A"/>
          <w:sz w:val="22"/>
          <w:szCs w:val="22"/>
        </w:rPr>
        <w:t xml:space="preserve">Don’t rush the dwell timer on checkpoint questions — it’s short, and using that time to actually think through your answer will make the question easier to answer well.</w:t>
      </w:r>
    </w:p>
    <w:p>
      <w:pPr>
        <w:pStyle w:val="ListParagraph"/>
        <w:numPr>
          <w:ilvl w:val="0"/>
          <w:numId w:val="2"/>
        </w:numPr>
        <w:spacing w:after="90" w:line="268"/>
      </w:pPr>
      <w:r>
        <w:rPr>
          <w:rFonts w:ascii="Calibri" w:cs="Calibri" w:eastAsia="Calibri" w:hAnsi="Calibri"/>
          <w:color w:val="16233A"/>
          <w:sz w:val="22"/>
          <w:szCs w:val="22"/>
        </w:rPr>
        <w:t xml:space="preserve">If a formula derivation box (labeled GENERAL / SUBSTITUTE / RESULT) doesn’t make sense, work it through with pencil and paper using your own numbers — it’s designed to be followed step by step.</w:t>
      </w:r>
    </w:p>
    <w:p>
      <w:pPr>
        <w:pStyle w:val="Heading1"/>
        <w:pBdr>
          <w:bottom w:val="single" w:color="1E3A5F" w:sz="8" w:space="4"/>
        </w:pBdr>
        <w:spacing w:after="160" w:before="320"/>
      </w:pPr>
      <w:r>
        <w:rPr>
          <w:rFonts w:ascii="Calibri" w:cs="Calibri" w:eastAsia="Calibri" w:hAnsi="Calibri"/>
          <w:b/>
          <w:bCs/>
          <w:color w:val="1E3A5F"/>
          <w:sz w:val="30"/>
          <w:szCs w:val="30"/>
        </w:rPr>
        <w:t xml:space="preserve">9. Questions or Issues</w:t>
      </w:r>
    </w:p>
    <w:p>
      <w:pPr>
        <w:spacing w:after="140" w:line="276"/>
      </w:pPr>
      <w:r>
        <w:rPr>
          <w:rFonts w:ascii="Calibri" w:cs="Calibri" w:eastAsia="Calibri" w:hAnsi="Calibri"/>
          <w:b w:val="false"/>
          <w:bCs w:val="false"/>
          <w:i w:val="false"/>
          <w:iCs w:val="false"/>
          <w:color w:val="16233A"/>
          <w:sz w:val="22"/>
          <w:szCs w:val="22"/>
        </w:rPr>
        <w:t xml:space="preserve">If anything in these instructions is unclear, or you run into a technical problem with the reading itself, email your instructor as early as possible — ideally well before the deadline, so there is time to help before you're up against the clock.</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78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2026-07-03T01:49:03.908Z</dcterms:created>
  <dcterms:modified xsi:type="dcterms:W3CDTF">2026-07-03T01:49:03.930Z</dcterms:modified>
</cp:coreProperties>
</file>

<file path=docProps/custom.xml><?xml version="1.0" encoding="utf-8"?>
<Properties xmlns="http://schemas.openxmlformats.org/officeDocument/2006/custom-properties" xmlns:vt="http://schemas.openxmlformats.org/officeDocument/2006/docPropsVTypes"/>
</file>