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8840A"/>
          <w:sz w:val="20"/>
          <w:szCs w:val="20"/>
        </w:rPr>
        <w:t xml:space="preserve">CS650 · ARTIFICIAL INTELLIGENCE</w:t>
      </w:r>
    </w:p>
    <w:p>
      <w:pPr>
        <w:spacing w:after="60"/>
      </w:pPr>
      <w:r>
        <w:rPr>
          <w:rFonts w:ascii="Arial" w:cs="Arial" w:eastAsia="Arial" w:hAnsi="Arial"/>
          <w:b/>
          <w:bCs/>
          <w:color w:val="1A3A5C"/>
          <w:sz w:val="40"/>
          <w:szCs w:val="40"/>
        </w:rPr>
        <w:t xml:space="preserve">Chapter 19 Reading Assignment: Learning from Examples</w:t>
      </w:r>
    </w:p>
    <w:p>
      <w:pPr>
        <w:spacing w:after="300"/>
      </w:pPr>
      <w:r>
        <w:rPr>
          <w:rFonts w:ascii="Arial" w:cs="Arial" w:eastAsia="Arial" w:hAnsi="Arial"/>
          <w:i/>
          <w:iCs/>
          <w:color w:val="4A6FA5"/>
          <w:sz w:val="24"/>
          <w:szCs w:val="24"/>
        </w:rPr>
        <w:t xml:space="preserve">Instructions for the Gated, Self-Paced Reading (Sections 19.1–19.9)</w:t>
      </w:r>
    </w:p>
    <w:p>
      <w:pPr>
        <w:pStyle w:val="Heading1"/>
        <w:pBdr>
          <w:bottom w:val="single" w:color="C8840A" w:sz="6" w:space="4"/>
        </w:pBdr>
        <w:spacing w:after="160" w:before="320"/>
      </w:pPr>
      <w:r>
        <w:rPr>
          <w:rFonts w:ascii="Arial" w:cs="Arial" w:eastAsia="Arial" w:hAnsi="Arial"/>
          <w:b/>
          <w:bCs/>
          <w:color w:val="1A3A5C"/>
          <w:sz w:val="30"/>
          <w:szCs w:val="30"/>
        </w:rPr>
        <w:t xml:space="preserve">1. Overview</w:t>
      </w:r>
    </w:p>
    <w:p>
      <w:pPr>
        <w:spacing w:after="160" w:line="276"/>
      </w:pPr>
      <w:r>
        <w:rPr>
          <w:rFonts w:ascii="Arial" w:cs="Arial" w:eastAsia="Arial" w:hAnsi="Arial"/>
          <w:sz w:val="22"/>
          <w:szCs w:val="22"/>
        </w:rPr>
        <w:t xml:space="preserve">This assignment is a self-paced, interactive reading covering Chapter 19, “Learning from Examples,” from Russell and Norvig's Artificial Intelligence: A Modern Approach, 4th edition (pages 651–688), organized into the same seven groupings used in the companion lecture pamphlet: Forms of Learning &amp; Supervised Learning (19.1–19.2), Learning Decision Trees (19.3), Model Selection, Optimization &amp; Theory (19.4–19.5), Linear Regression and Classification (19.6), Nonparametric Models (19.7), Ensemble Learning (19.8), and Developing Machine Learning Systems (19.9).</w:t>
      </w:r>
    </w:p>
    <w:p>
      <w:pPr>
        <w:spacing w:after="160" w:line="276"/>
      </w:pPr>
      <w:r>
        <w:rPr>
          <w:rFonts w:ascii="Arial" w:cs="Arial" w:eastAsia="Arial" w:hAnsi="Arial"/>
          <w:sz w:val="22"/>
          <w:szCs w:val="22"/>
        </w:rPr>
        <w:t xml:space="preserve">The reading uses two running examples throughout: the textbook's own Restaurant Waiting Problem, and our course's running scenario at Northgate General Hospital, where Dr. James Okafor and Nurse Priya Mehta screen patients like Maria Santos for appendicitis risk.</w:t>
      </w:r>
    </w:p>
    <w:tbl>
      <w:tblPr>
        <w:tblW w:type="pct" w:w="100%"/>
        <w:tblBorders>
          <w:top w:val="single" w:color="C8840A" w:sz="4"/>
          <w:left w:val="single" w:color="C8840A" w:sz="24"/>
          <w:bottom w:val="single" w:color="C8840A" w:sz="4"/>
          <w:right w:val="single" w:color="C8840A" w:sz="4"/>
          <w:insideH w:val="none" w:color="FFFFFF" w:sz="0"/>
          <w:insideV w:val="none" w:color="FFFFFF" w:sz="0"/>
        </w:tblBorders>
      </w:tblPr>
      <w:tblGrid>
        <w:gridCol w:w="100"/>
      </w:tblGrid>
      <w:tr>
        <w:tc>
          <w:tcPr>
            <w:tcW w:type="pct" w:w="100%"/>
            <w:shd w:fill="FFF8E6" w:val="clear"/>
            <w:tcMar>
              <w:top w:type="dxa" w:w="160"/>
              <w:left w:type="dxa" w:w="220"/>
              <w:bottom w:type="dxa" w:w="160"/>
              <w:right w:type="dxa" w:w="220"/>
            </w:tcMar>
          </w:tcPr>
          <w:p>
            <w:pPr>
              <w:spacing w:after="60"/>
            </w:pPr>
            <w:r>
              <w:rPr>
                <w:rFonts w:ascii="Arial" w:cs="Arial" w:eastAsia="Arial" w:hAnsi="Arial"/>
                <w:b/>
                <w:bCs/>
                <w:color w:val="1A3A5C"/>
                <w:sz w:val="20"/>
                <w:szCs w:val="20"/>
              </w:rPr>
              <w:t xml:space="preserve">⚠ Key difference from a normal reading</w:t>
            </w:r>
          </w:p>
          <w:p>
            <w:pPr>
              <w:spacing w:after="0" w:line="264"/>
            </w:pPr>
            <w:r>
              <w:rPr>
                <w:rFonts w:ascii="Arial" w:cs="Arial" w:eastAsia="Arial" w:hAnsi="Arial"/>
                <w:sz w:val="22"/>
                <w:szCs w:val="22"/>
              </w:rPr>
              <w:t xml:space="preserve">This is a gated reading: you must answer a short set of checkpoint questions after each of the 7 groupings before the next one unlocks. There is no way to skip ahead.</w:t>
            </w:r>
          </w:p>
        </w:tc>
      </w:tr>
    </w:tbl>
    <w:p>
      <w:pPr>
        <w:pStyle w:val="Heading1"/>
        <w:pBdr>
          <w:bottom w:val="single" w:color="C8840A" w:sz="6" w:space="4"/>
        </w:pBdr>
        <w:spacing w:after="160" w:before="320"/>
      </w:pPr>
      <w:r>
        <w:rPr>
          <w:rFonts w:ascii="Arial" w:cs="Arial" w:eastAsia="Arial" w:hAnsi="Arial"/>
          <w:b/>
          <w:bCs/>
          <w:color w:val="1A3A5C"/>
          <w:sz w:val="30"/>
          <w:szCs w:val="30"/>
        </w:rPr>
        <w:t xml:space="preserve">2. Before You Start</w:t>
      </w:r>
    </w:p>
    <w:p>
      <w:pPr>
        <w:pStyle w:val="ListParagraph"/>
        <w:numPr>
          <w:ilvl w:val="0"/>
          <w:numId w:val="2"/>
        </w:numPr>
        <w:spacing w:after="100" w:line="276"/>
      </w:pPr>
      <w:r>
        <w:rPr>
          <w:rFonts w:ascii="Arial" w:cs="Arial" w:eastAsia="Arial" w:hAnsi="Arial"/>
          <w:sz w:val="22"/>
          <w:szCs w:val="22"/>
        </w:rPr>
        <w:t xml:space="preserve">Use a laptop or desktop, not a phone, if possible — you will be typing short answers in text boxes throughout.</w:t>
      </w:r>
    </w:p>
    <w:p>
      <w:pPr>
        <w:pStyle w:val="ListParagraph"/>
        <w:numPr>
          <w:ilvl w:val="0"/>
          <w:numId w:val="2"/>
        </w:numPr>
        <w:spacing w:after="100" w:line="276"/>
      </w:pPr>
      <w:r>
        <w:rPr>
          <w:rFonts w:ascii="Arial" w:cs="Arial" w:eastAsia="Arial" w:hAnsi="Arial"/>
          <w:sz w:val="22"/>
          <w:szCs w:val="22"/>
        </w:rPr>
        <w:t xml:space="preserve">Set aside approximately 70–90 minutes of uninterrupted time. This is a long chapter; the reading is designed to be worked through in one or two sittings.</w:t>
      </w:r>
    </w:p>
    <w:p>
      <w:pPr>
        <w:pStyle w:val="ListParagraph"/>
        <w:numPr>
          <w:ilvl w:val="0"/>
          <w:numId w:val="2"/>
        </w:numPr>
        <w:spacing w:after="100" w:line="276"/>
      </w:pPr>
      <w:r>
        <w:rPr>
          <w:rFonts w:ascii="Arial" w:cs="Arial" w:eastAsia="Arial" w:hAnsi="Arial"/>
          <w:sz w:val="22"/>
          <w:szCs w:val="22"/>
        </w:rPr>
        <w:t xml:space="preserve">Make sure you can take a screenshot on your device before you begin (Windows: Win+Shift+S; Mac: Cmd+Shift+4; Chromebook: Ctrl+Shift+Show Windows). You will need this at the end of every section.</w:t>
      </w:r>
    </w:p>
    <w:p>
      <w:pPr>
        <w:spacing w:after="120"/>
      </w:pPr>
    </w:p>
    <w:p>
      <w:pPr>
        <w:pStyle w:val="Heading1"/>
        <w:pBdr>
          <w:bottom w:val="single" w:color="C8840A" w:sz="6" w:space="4"/>
        </w:pBdr>
        <w:spacing w:after="160" w:before="320"/>
      </w:pPr>
      <w:r>
        <w:rPr>
          <w:rFonts w:ascii="Arial" w:cs="Arial" w:eastAsia="Arial" w:hAnsi="Arial"/>
          <w:b/>
          <w:bCs/>
          <w:color w:val="1A3A5C"/>
          <w:sz w:val="30"/>
          <w:szCs w:val="30"/>
        </w:rPr>
        <w:t xml:space="preserve">3. How the Reading Works</w:t>
      </w:r>
    </w:p>
    <w:p>
      <w:pPr>
        <w:pStyle w:val="Heading2"/>
        <w:spacing w:after="120" w:before="240"/>
      </w:pPr>
      <w:r>
        <w:rPr>
          <w:rFonts w:ascii="Arial" w:cs="Arial" w:eastAsia="Arial" w:hAnsi="Arial"/>
          <w:b/>
          <w:bCs/>
          <w:color w:val="1E3A5F"/>
          <w:sz w:val="24"/>
          <w:szCs w:val="24"/>
        </w:rPr>
        <w:t xml:space="preserve">3.1 Slides and presenter notes</w:t>
      </w:r>
    </w:p>
    <w:p>
      <w:pPr>
        <w:spacing w:after="160" w:line="276"/>
      </w:pPr>
      <w:r>
        <w:rPr>
          <w:rFonts w:ascii="Arial" w:cs="Arial" w:eastAsia="Arial" w:hAnsi="Arial"/>
          <w:sz w:val="22"/>
          <w:szCs w:val="22"/>
        </w:rPr>
        <w:t xml:space="preserve">Each screen (“slide”) presents a concept, analogy, or worked example — the same nurse, food-inspector, fog-walking, and dimmer-switch analogies used in the companion pamphlet. Every slide also has a detailed spoken-style explanation available in the Notes drawer — click the “📝 Notes” button at the top right, or press N on your keyboard, to open it.</w:t>
      </w:r>
    </w:p>
    <w:p>
      <w:pPr>
        <w:pStyle w:val="Heading2"/>
        <w:spacing w:after="120" w:before="240"/>
      </w:pPr>
      <w:r>
        <w:rPr>
          <w:rFonts w:ascii="Arial" w:cs="Arial" w:eastAsia="Arial" w:hAnsi="Arial"/>
          <w:b/>
          <w:bCs/>
          <w:color w:val="1E3A5F"/>
          <w:sz w:val="24"/>
          <w:szCs w:val="24"/>
        </w:rPr>
        <w:t xml:space="preserve">3.2 Navigating</w:t>
      </w:r>
    </w:p>
    <w:p>
      <w:pPr>
        <w:pStyle w:val="ListParagraph"/>
        <w:numPr>
          <w:ilvl w:val="0"/>
          <w:numId w:val="3"/>
        </w:numPr>
        <w:spacing w:after="100" w:line="276"/>
      </w:pPr>
      <w:r>
        <w:rPr>
          <w:rFonts w:ascii="Arial" w:cs="Arial" w:eastAsia="Arial" w:hAnsi="Arial"/>
          <w:sz w:val="22"/>
          <w:szCs w:val="22"/>
        </w:rPr>
        <w:t xml:space="preserve">Use the “← Prev” and “Next →” buttons at the bottom, or the left/right arrow keys, to move between slides.</w:t>
      </w:r>
    </w:p>
    <w:p>
      <w:pPr>
        <w:pStyle w:val="ListParagraph"/>
        <w:numPr>
          <w:ilvl w:val="0"/>
          <w:numId w:val="3"/>
        </w:numPr>
        <w:spacing w:after="100" w:line="276"/>
      </w:pPr>
      <w:r>
        <w:rPr>
          <w:rFonts w:ascii="Arial" w:cs="Arial" w:eastAsia="Arial" w:hAnsi="Arial"/>
          <w:sz w:val="22"/>
          <w:szCs w:val="22"/>
        </w:rPr>
        <w:t xml:space="preserve">Use the dropdown menu at the top right to jump directly to any section you've already unlocked. Locked sections show a 🔒 icon and cannot be selected.</w:t>
      </w:r>
    </w:p>
    <w:p>
      <w:pPr>
        <w:pStyle w:val="ListParagraph"/>
        <w:numPr>
          <w:ilvl w:val="0"/>
          <w:numId w:val="3"/>
        </w:numPr>
        <w:spacing w:after="100" w:line="276"/>
      </w:pPr>
      <w:r>
        <w:rPr>
          <w:rFonts w:ascii="Arial" w:cs="Arial" w:eastAsia="Arial" w:hAnsi="Arial"/>
          <w:sz w:val="22"/>
          <w:szCs w:val="22"/>
        </w:rPr>
        <w:t xml:space="preserve">Your progress is saved automatically in your browser on this device. You can close the tab and come back later — you'll resume where you left off.</w:t>
      </w:r>
    </w:p>
    <w:p>
      <w:pPr>
        <w:pStyle w:val="Heading2"/>
        <w:spacing w:after="120" w:before="240"/>
      </w:pPr>
      <w:r>
        <w:rPr>
          <w:rFonts w:ascii="Arial" w:cs="Arial" w:eastAsia="Arial" w:hAnsi="Arial"/>
          <w:b/>
          <w:bCs/>
          <w:color w:val="1E3A5F"/>
          <w:sz w:val="24"/>
          <w:szCs w:val="24"/>
        </w:rPr>
        <w:t xml:space="preserve">3.3 Checkpoint questions</w:t>
      </w:r>
    </w:p>
    <w:p>
      <w:pPr>
        <w:spacing w:after="160" w:line="276"/>
      </w:pPr>
      <w:r>
        <w:rPr>
          <w:rFonts w:ascii="Arial" w:cs="Arial" w:eastAsia="Arial" w:hAnsi="Arial"/>
          <w:sz w:val="22"/>
          <w:szCs w:val="22"/>
        </w:rPr>
        <w:t xml:space="preserve">At the end of each of the 7 groupings, you'll reach a checkpoint screen with 3–4 short-answer questions. These checkpoints work as follows:</w:t>
      </w:r>
    </w:p>
    <w:p>
      <w:pPr>
        <w:pStyle w:val="ListParagraph"/>
        <w:numPr>
          <w:ilvl w:val="0"/>
          <w:numId w:val="3"/>
        </w:numPr>
        <w:spacing w:after="100" w:line="276"/>
      </w:pPr>
      <w:r>
        <w:rPr>
          <w:rFonts w:ascii="Arial" w:cs="Arial" w:eastAsia="Arial" w:hAnsi="Arial"/>
          <w:sz w:val="22"/>
          <w:szCs w:val="22"/>
        </w:rPr>
        <w:t xml:space="preserve">Questions appear one at a time. Type a real, thoughtful answer (at least a couple of sentences) in the box.</w:t>
      </w:r>
    </w:p>
    <w:p>
      <w:pPr>
        <w:pStyle w:val="ListParagraph"/>
        <w:numPr>
          <w:ilvl w:val="0"/>
          <w:numId w:val="3"/>
        </w:numPr>
        <w:spacing w:after="100" w:line="276"/>
      </w:pPr>
      <w:r>
        <w:rPr>
          <w:rFonts w:ascii="Arial" w:cs="Arial" w:eastAsia="Arial" w:hAnsi="Arial"/>
          <w:sz w:val="22"/>
          <w:szCs w:val="22"/>
        </w:rPr>
        <w:t xml:space="preserve">A brief pause (about 12 seconds) is built into each question before the Submit button becomes active — this is intentional, to encourage you to actually think about your answer rather than typing instantly.</w:t>
      </w:r>
    </w:p>
    <w:p>
      <w:pPr>
        <w:pStyle w:val="ListParagraph"/>
        <w:numPr>
          <w:ilvl w:val="0"/>
          <w:numId w:val="3"/>
        </w:numPr>
        <w:spacing w:after="100" w:line="276"/>
      </w:pPr>
      <w:r>
        <w:rPr>
          <w:rFonts w:ascii="Arial" w:cs="Arial" w:eastAsia="Arial" w:hAnsi="Arial"/>
          <w:sz w:val="22"/>
          <w:szCs w:val="22"/>
        </w:rPr>
        <w:t xml:space="preserve">Once you submit an answer, it locks in and cannot be edited. You'll move on to the next question in that section.</w:t>
      </w:r>
    </w:p>
    <w:p>
      <w:pPr>
        <w:pStyle w:val="ListParagraph"/>
        <w:numPr>
          <w:ilvl w:val="0"/>
          <w:numId w:val="3"/>
        </w:numPr>
        <w:spacing w:after="100" w:line="276"/>
      </w:pPr>
      <w:r>
        <w:rPr>
          <w:rFonts w:ascii="Arial" w:cs="Arial" w:eastAsia="Arial" w:hAnsi="Arial"/>
          <w:sz w:val="22"/>
          <w:szCs w:val="22"/>
        </w:rPr>
        <w:t xml:space="preserve">After all questions in a section are submitted, a “🔍 Review &amp; Screenshot My Answers” button appears, showing all of that section's questions and your answers together in one compact view.</w:t>
      </w:r>
    </w:p>
    <w:tbl>
      <w:tblPr>
        <w:tblW w:type="pct" w:w="100%"/>
        <w:tblBorders>
          <w:top w:val="single" w:color="1B6B3A" w:sz="4"/>
          <w:left w:val="single" w:color="1B6B3A" w:sz="24"/>
          <w:bottom w:val="single" w:color="1B6B3A" w:sz="4"/>
          <w:right w:val="single" w:color="1B6B3A" w:sz="4"/>
          <w:insideH w:val="none" w:color="FFFFFF" w:sz="0"/>
          <w:insideV w:val="none" w:color="FFFFFF" w:sz="0"/>
        </w:tblBorders>
      </w:tblPr>
      <w:tblGrid>
        <w:gridCol w:w="100"/>
      </w:tblGrid>
      <w:tr>
        <w:tc>
          <w:tcPr>
            <w:tcW w:type="pct" w:w="100%"/>
            <w:shd w:fill="EEF8EE" w:val="clear"/>
            <w:tcMar>
              <w:top w:type="dxa" w:w="160"/>
              <w:left w:type="dxa" w:w="220"/>
              <w:bottom w:type="dxa" w:w="160"/>
              <w:right w:type="dxa" w:w="220"/>
            </w:tcMar>
          </w:tcPr>
          <w:p>
            <w:pPr>
              <w:spacing w:after="60"/>
            </w:pPr>
            <w:r>
              <w:rPr>
                <w:rFonts w:ascii="Arial" w:cs="Arial" w:eastAsia="Arial" w:hAnsi="Arial"/>
                <w:b/>
                <w:bCs/>
                <w:color w:val="1A3A5C"/>
                <w:sz w:val="20"/>
                <w:szCs w:val="20"/>
              </w:rPr>
              <w:t xml:space="preserve">✓ Good to know</w:t>
            </w:r>
          </w:p>
          <w:p>
            <w:pPr>
              <w:spacing w:after="0" w:line="264"/>
            </w:pPr>
            <w:r>
              <w:rPr>
                <w:rFonts w:ascii="Arial" w:cs="Arial" w:eastAsia="Arial" w:hAnsi="Arial"/>
                <w:sz w:val="22"/>
                <w:szCs w:val="22"/>
              </w:rPr>
              <w:t xml:space="preserve">There is no hidden “correct password” to guess. Any genuine, on-topic answer of reasonable length will unlock the next section. The checkpoints are about engagement and comprehension, not trick questions.</w:t>
            </w:r>
          </w:p>
        </w:tc>
      </w:tr>
    </w:tbl>
    <w:p>
      <w:pPr>
        <w:pStyle w:val="Heading1"/>
        <w:pBdr>
          <w:bottom w:val="single" w:color="C8840A" w:sz="6" w:space="4"/>
        </w:pBdr>
        <w:spacing w:after="160" w:before="320"/>
      </w:pPr>
      <w:r>
        <w:rPr>
          <w:rFonts w:ascii="Arial" w:cs="Arial" w:eastAsia="Arial" w:hAnsi="Arial"/>
          <w:b/>
          <w:bCs/>
          <w:color w:val="1A3A5C"/>
          <w:sz w:val="30"/>
          <w:szCs w:val="30"/>
        </w:rPr>
        <w:t xml:space="preserve">4. What You Must Submit</w:t>
      </w:r>
    </w:p>
    <w:p>
      <w:pPr>
        <w:spacing w:after="160" w:line="276"/>
      </w:pPr>
      <w:r>
        <w:rPr>
          <w:rFonts w:ascii="Arial" w:cs="Arial" w:eastAsia="Arial" w:hAnsi="Arial"/>
          <w:sz w:val="22"/>
          <w:szCs w:val="22"/>
        </w:rPr>
        <w:t xml:space="preserve">For each of the 7 groupings, after you click “Review &amp; Screenshot My Answers,” take one screenshot of the entire review box (all questions and answers for that section together). You will end up with 7 screenshots total — one per section.</w:t>
      </w:r>
    </w:p>
    <w:p>
      <w:pPr>
        <w:pStyle w:val="ListParagraph"/>
        <w:numPr>
          <w:ilvl w:val="0"/>
          <w:numId w:val="2"/>
        </w:numPr>
        <w:spacing w:after="100" w:line="276"/>
      </w:pPr>
      <w:r>
        <w:rPr>
          <w:rFonts w:ascii="Arial" w:cs="Arial" w:eastAsia="Arial" w:hAnsi="Arial"/>
          <w:sz w:val="22"/>
          <w:szCs w:val="22"/>
        </w:rPr>
        <w:t xml:space="preserve">Complete all 7 sections of the reading, in order (the gating enforces this automatically).</w:t>
      </w:r>
    </w:p>
    <w:p>
      <w:pPr>
        <w:pStyle w:val="ListParagraph"/>
        <w:numPr>
          <w:ilvl w:val="0"/>
          <w:numId w:val="2"/>
        </w:numPr>
        <w:spacing w:after="100" w:line="276"/>
      </w:pPr>
      <w:r>
        <w:rPr>
          <w:rFonts w:ascii="Arial" w:cs="Arial" w:eastAsia="Arial" w:hAnsi="Arial"/>
          <w:sz w:val="22"/>
          <w:szCs w:val="22"/>
        </w:rPr>
        <w:t xml:space="preserve">Take a screenshot of the Review window at the end of each section, before clicking “Continue to Next Section.”</w:t>
      </w:r>
    </w:p>
    <w:p>
      <w:pPr>
        <w:pStyle w:val="ListParagraph"/>
        <w:numPr>
          <w:ilvl w:val="0"/>
          <w:numId w:val="2"/>
        </w:numPr>
        <w:spacing w:after="100" w:line="276"/>
      </w:pPr>
      <w:r>
        <w:rPr>
          <w:rFonts w:ascii="Arial" w:cs="Arial" w:eastAsia="Arial" w:hAnsi="Arial"/>
          <w:sz w:val="22"/>
          <w:szCs w:val="22"/>
        </w:rPr>
        <w:t xml:space="preserve">Combine your 7 screenshots into a single PDF, in section order (19.1–19.2 first, 19.9 last).</w:t>
      </w:r>
    </w:p>
    <w:p>
      <w:pPr>
        <w:pStyle w:val="ListParagraph"/>
        <w:numPr>
          <w:ilvl w:val="0"/>
          <w:numId w:val="2"/>
        </w:numPr>
        <w:spacing w:after="100" w:line="276"/>
      </w:pPr>
      <w:r>
        <w:rPr>
          <w:rFonts w:ascii="Arial" w:cs="Arial" w:eastAsia="Arial" w:hAnsi="Arial"/>
          <w:sz w:val="22"/>
          <w:szCs w:val="22"/>
        </w:rPr>
        <w:t xml:space="preserve">Submit that single PDF to the Chapter 19 Reading Assignment on [LMS/Canvas link to be added by instructor], due by [DUE DATE — to be filled in by Professor Kassoh].</w:t>
      </w:r>
    </w:p>
    <w:tbl>
      <w:tblPr>
        <w:tblW w:type="pct" w:w="100%"/>
        <w:tblBorders>
          <w:top w:val="single" w:color="4A6FA5" w:sz="4"/>
          <w:left w:val="single" w:color="4A6FA5" w:sz="24"/>
          <w:bottom w:val="single" w:color="4A6FA5" w:sz="4"/>
          <w:right w:val="single" w:color="4A6FA5" w:sz="4"/>
          <w:insideH w:val="none" w:color="FFFFFF" w:sz="0"/>
          <w:insideV w:val="none" w:color="FFFFFF" w:sz="0"/>
        </w:tblBorders>
      </w:tblPr>
      <w:tblGrid>
        <w:gridCol w:w="100"/>
      </w:tblGrid>
      <w:tr>
        <w:tc>
          <w:tcPr>
            <w:tcW w:type="pct" w:w="100%"/>
            <w:shd w:fill="F4F7FB" w:val="clear"/>
            <w:tcMar>
              <w:top w:type="dxa" w:w="160"/>
              <w:left w:type="dxa" w:w="220"/>
              <w:bottom w:type="dxa" w:w="160"/>
              <w:right w:type="dxa" w:w="220"/>
            </w:tcMar>
          </w:tcPr>
          <w:p>
            <w:pPr>
              <w:spacing w:after="60"/>
            </w:pPr>
            <w:r>
              <w:rPr>
                <w:rFonts w:ascii="Arial" w:cs="Arial" w:eastAsia="Arial" w:hAnsi="Arial"/>
                <w:b/>
                <w:bCs/>
                <w:color w:val="1A3A5C"/>
                <w:sz w:val="20"/>
                <w:szCs w:val="20"/>
              </w:rPr>
              <w:t xml:space="preserve">ℹ Tip</w:t>
            </w:r>
          </w:p>
          <w:p>
            <w:pPr>
              <w:spacing w:after="0" w:line="264"/>
            </w:pPr>
            <w:r>
              <w:rPr>
                <w:rFonts w:ascii="Arial" w:cs="Arial" w:eastAsia="Arial" w:hAnsi="Arial"/>
                <w:sz w:val="22"/>
                <w:szCs w:val="22"/>
              </w:rPr>
              <w:t xml:space="preserve">Combining images into one PDF: on Windows or Mac, you can select all your screenshot image files, right-click, and choose a “Print” or “Combine” option that outputs a PDF; free online tools (e.g., a PDF-merge utility) also work. If you're unsure how, ask before the due date — not after.</w:t>
            </w:r>
          </w:p>
        </w:tc>
      </w:tr>
    </w:tbl>
    <w:p>
      <w:pPr>
        <w:pStyle w:val="Heading1"/>
        <w:pBdr>
          <w:bottom w:val="single" w:color="C8840A" w:sz="6" w:space="4"/>
        </w:pBdr>
        <w:spacing w:after="160" w:before="320"/>
      </w:pPr>
      <w:r>
        <w:rPr>
          <w:rFonts w:ascii="Arial" w:cs="Arial" w:eastAsia="Arial" w:hAnsi="Arial"/>
          <w:b/>
          <w:bCs/>
          <w:color w:val="1A3A5C"/>
          <w:sz w:val="30"/>
          <w:szCs w:val="30"/>
        </w:rPr>
        <w:t xml:space="preserve">5. Grading</w:t>
      </w:r>
    </w:p>
    <w:tbl>
      <w:tblPr>
        <w:tblW w:type="pct" w:w="100%"/>
        <w:tblBorders>
          <w:top w:val="single" w:color="C9D3E0" w:sz="4"/>
          <w:left w:val="single" w:color="C9D3E0" w:sz="4"/>
          <w:bottom w:val="single" w:color="C9D3E0" w:sz="4"/>
          <w:right w:val="single" w:color="C9D3E0" w:sz="4"/>
          <w:insideH w:val="single" w:color="C9D3E0" w:sz="4"/>
          <w:insideV w:val="single" w:color="C9D3E0" w:sz="4"/>
        </w:tblBorders>
      </w:tblPr>
      <w:tblGrid>
        <w:gridCol w:w="5400"/>
        <w:gridCol w:w="4860"/>
      </w:tblGrid>
      <w:tr>
        <w:trPr>
          <w:tblHeader/>
        </w:trPr>
        <w:tc>
          <w:tcPr>
            <w:tcW w:type="dxa" w:w="5400"/>
            <w:shd w:fill="1A3A5C" w:val="clear"/>
            <w:tcMar>
              <w:top w:type="dxa" w:w="100"/>
              <w:left w:type="dxa" w:w="160"/>
              <w:bottom w:type="dxa" w:w="100"/>
              <w:right w:type="dxa" w:w="160"/>
            </w:tcMar>
          </w:tcPr>
          <w:p>
            <w:r>
              <w:rPr>
                <w:rFonts w:ascii="Arial" w:cs="Arial" w:eastAsia="Arial" w:hAnsi="Arial"/>
                <w:b/>
                <w:bCs/>
                <w:color w:val="FFFFFF"/>
                <w:sz w:val="21"/>
                <w:szCs w:val="21"/>
              </w:rPr>
              <w:t xml:space="preserve">Component</w:t>
            </w:r>
          </w:p>
        </w:tc>
        <w:tc>
          <w:tcPr>
            <w:tcW w:type="dxa" w:w="4860"/>
            <w:shd w:fill="1A3A5C" w:val="clear"/>
            <w:tcMar>
              <w:top w:type="dxa" w:w="100"/>
              <w:left w:type="dxa" w:w="160"/>
              <w:bottom w:type="dxa" w:w="100"/>
              <w:right w:type="dxa" w:w="160"/>
            </w:tcMar>
          </w:tcPr>
          <w:p>
            <w:r>
              <w:rPr>
                <w:rFonts w:ascii="Arial" w:cs="Arial" w:eastAsia="Arial" w:hAnsi="Arial"/>
                <w:b/>
                <w:bCs/>
                <w:color w:val="FFFFFF"/>
                <w:sz w:val="21"/>
                <w:szCs w:val="21"/>
              </w:rPr>
              <w:t xml:space="preserve">Basis for credit</w:t>
            </w:r>
          </w:p>
        </w:tc>
      </w:tr>
      <w:tr>
        <w:tc>
          <w:tcPr>
            <w:tcW w:type="dxa" w:w="5400"/>
            <w:shd w:fill="FFFFFF" w:val="clear"/>
            <w:tcMar>
              <w:top w:type="dxa" w:w="100"/>
              <w:left w:type="dxa" w:w="160"/>
              <w:bottom w:type="dxa" w:w="100"/>
              <w:right w:type="dxa" w:w="160"/>
            </w:tcMar>
          </w:tcPr>
          <w:p>
            <w:r>
              <w:rPr>
                <w:rFonts w:ascii="Arial" w:cs="Arial" w:eastAsia="Arial" w:hAnsi="Arial"/>
                <w:sz w:val="21"/>
                <w:szCs w:val="21"/>
              </w:rPr>
              <w:t xml:space="preserve">Completion of all 7 sections</w:t>
            </w:r>
          </w:p>
        </w:tc>
        <w:tc>
          <w:tcPr>
            <w:tcW w:type="dxa" w:w="4860"/>
            <w:shd w:fill="FFFFFF" w:val="clear"/>
            <w:tcMar>
              <w:top w:type="dxa" w:w="100"/>
              <w:left w:type="dxa" w:w="160"/>
              <w:bottom w:type="dxa" w:w="100"/>
              <w:right w:type="dxa" w:w="160"/>
            </w:tcMar>
          </w:tcPr>
          <w:p>
            <w:r>
              <w:rPr>
                <w:rFonts w:ascii="Arial" w:cs="Arial" w:eastAsia="Arial" w:hAnsi="Arial"/>
                <w:sz w:val="21"/>
                <w:szCs w:val="21"/>
              </w:rPr>
              <w:t xml:space="preserve">All 7 sections' checkpoints answered and unlocked, in order</w:t>
            </w:r>
          </w:p>
        </w:tc>
      </w:tr>
      <w:tr>
        <w:tc>
          <w:tcPr>
            <w:tcW w:type="dxa" w:w="5400"/>
            <w:shd w:fill="F7F9FC" w:val="clear"/>
            <w:tcMar>
              <w:top w:type="dxa" w:w="100"/>
              <w:left w:type="dxa" w:w="160"/>
              <w:bottom w:type="dxa" w:w="100"/>
              <w:right w:type="dxa" w:w="160"/>
            </w:tcMar>
          </w:tcPr>
          <w:p>
            <w:r>
              <w:rPr>
                <w:rFonts w:ascii="Arial" w:cs="Arial" w:eastAsia="Arial" w:hAnsi="Arial"/>
                <w:sz w:val="21"/>
                <w:szCs w:val="21"/>
              </w:rPr>
              <w:t xml:space="preserve">Quality of checkpoint answers</w:t>
            </w:r>
          </w:p>
        </w:tc>
        <w:tc>
          <w:tcPr>
            <w:tcW w:type="dxa" w:w="4860"/>
            <w:shd w:fill="F7F9FC" w:val="clear"/>
            <w:tcMar>
              <w:top w:type="dxa" w:w="100"/>
              <w:left w:type="dxa" w:w="160"/>
              <w:bottom w:type="dxa" w:w="100"/>
              <w:right w:type="dxa" w:w="160"/>
            </w:tcMar>
          </w:tcPr>
          <w:p>
            <w:r>
              <w:rPr>
                <w:rFonts w:ascii="Arial" w:cs="Arial" w:eastAsia="Arial" w:hAnsi="Arial"/>
                <w:sz w:val="21"/>
                <w:szCs w:val="21"/>
              </w:rPr>
              <w:t xml:space="preserve">Answers reflect genuine engagement with the section's content, in your own words</w:t>
            </w:r>
          </w:p>
        </w:tc>
      </w:tr>
      <w:tr>
        <w:tc>
          <w:tcPr>
            <w:tcW w:type="dxa" w:w="5400"/>
            <w:shd w:fill="FFFFFF" w:val="clear"/>
            <w:tcMar>
              <w:top w:type="dxa" w:w="100"/>
              <w:left w:type="dxa" w:w="160"/>
              <w:bottom w:type="dxa" w:w="100"/>
              <w:right w:type="dxa" w:w="160"/>
            </w:tcMar>
          </w:tcPr>
          <w:p>
            <w:r>
              <w:rPr>
                <w:rFonts w:ascii="Arial" w:cs="Arial" w:eastAsia="Arial" w:hAnsi="Arial"/>
                <w:sz w:val="21"/>
                <w:szCs w:val="21"/>
              </w:rPr>
              <w:t xml:space="preserve">Submitted PDF</w:t>
            </w:r>
          </w:p>
        </w:tc>
        <w:tc>
          <w:tcPr>
            <w:tcW w:type="dxa" w:w="4860"/>
            <w:shd w:fill="FFFFFF" w:val="clear"/>
            <w:tcMar>
              <w:top w:type="dxa" w:w="100"/>
              <w:left w:type="dxa" w:w="160"/>
              <w:bottom w:type="dxa" w:w="100"/>
              <w:right w:type="dxa" w:w="160"/>
            </w:tcMar>
          </w:tcPr>
          <w:p>
            <w:r>
              <w:rPr>
                <w:rFonts w:ascii="Arial" w:cs="Arial" w:eastAsia="Arial" w:hAnsi="Arial"/>
                <w:sz w:val="21"/>
                <w:szCs w:val="21"/>
              </w:rPr>
              <w:t xml:space="preserve">Contains all 7 section screenshots, in order, submitted by the due date</w:t>
            </w:r>
          </w:p>
        </w:tc>
      </w:tr>
    </w:tbl>
    <w:p>
      <w:pPr>
        <w:spacing w:after="200"/>
      </w:pPr>
    </w:p>
    <w:p>
      <w:pPr>
        <w:pStyle w:val="Heading1"/>
        <w:pBdr>
          <w:bottom w:val="single" w:color="C8840A" w:sz="6" w:space="4"/>
        </w:pBdr>
        <w:spacing w:after="160" w:before="320"/>
      </w:pPr>
      <w:r>
        <w:rPr>
          <w:rFonts w:ascii="Arial" w:cs="Arial" w:eastAsia="Arial" w:hAnsi="Arial"/>
          <w:b/>
          <w:bCs/>
          <w:color w:val="1A3A5C"/>
          <w:sz w:val="30"/>
          <w:szCs w:val="30"/>
        </w:rPr>
        <w:t xml:space="preserve">6. What Each Section Covers</w:t>
      </w:r>
    </w:p>
    <w:p>
      <w:pPr>
        <w:spacing w:after="160" w:line="276"/>
      </w:pPr>
      <w:r>
        <w:rPr>
          <w:rFonts w:ascii="Arial" w:cs="Arial" w:eastAsia="Arial" w:hAnsi="Arial"/>
          <w:sz w:val="22"/>
          <w:szCs w:val="22"/>
        </w:rPr>
        <w:t xml:space="preserve">Use this as a quick reference while you work through the reading.</w:t>
      </w:r>
    </w:p>
    <w:p>
      <w:pPr>
        <w:spacing w:after="160" w:line="276"/>
      </w:pPr>
      <w:r>
        <w:rPr>
          <w:rFonts w:ascii="Arial" w:cs="Arial" w:eastAsia="Arial" w:hAnsi="Arial"/>
          <w:b/>
          <w:bCs/>
          <w:color w:val="C8840A"/>
          <w:sz w:val="22"/>
          <w:szCs w:val="22"/>
        </w:rPr>
        <w:t xml:space="preserve">19.1–19.2  </w:t>
      </w:r>
      <w:r>
        <w:rPr>
          <w:rFonts w:ascii="Arial" w:cs="Arial" w:eastAsia="Arial" w:hAnsi="Arial"/>
          <w:b/>
          <w:bCs/>
          <w:color w:val="1A3A5C"/>
          <w:sz w:val="22"/>
          <w:szCs w:val="22"/>
        </w:rPr>
        <w:t xml:space="preserve">Forms of Learning &amp; Supervised Learning — </w:t>
      </w:r>
      <w:r>
        <w:rPr>
          <w:rFonts w:ascii="Arial" w:cs="Arial" w:eastAsia="Arial" w:hAnsi="Arial"/>
          <w:sz w:val="22"/>
          <w:szCs w:val="22"/>
        </w:rPr>
        <w:t xml:space="preserve">The nurse analogy; what can be learned; flashcards (supervised), junk-drawer (unsupervised), video-game (reinforcement); the formal supervised task; bias (“stubborn friend”) and variance (“unpredictable friend”); Ockham's Razor.</w:t>
      </w:r>
    </w:p>
    <w:p>
      <w:pPr>
        <w:spacing w:after="160" w:line="276"/>
      </w:pPr>
      <w:r>
        <w:rPr>
          <w:rFonts w:ascii="Arial" w:cs="Arial" w:eastAsia="Arial" w:hAnsi="Arial"/>
          <w:b/>
          <w:bCs/>
          <w:color w:val="C8840A"/>
          <w:sz w:val="22"/>
          <w:szCs w:val="22"/>
        </w:rPr>
        <w:t xml:space="preserve">19.3  </w:t>
      </w:r>
      <w:r>
        <w:rPr>
          <w:rFonts w:ascii="Arial" w:cs="Arial" w:eastAsia="Arial" w:hAnsi="Arial"/>
          <w:b/>
          <w:bCs/>
          <w:color w:val="1A3A5C"/>
          <w:sz w:val="22"/>
          <w:szCs w:val="22"/>
        </w:rPr>
        <w:t xml:space="preserve">Learning Decision Trees — </w:t>
      </w:r>
      <w:r>
        <w:rPr>
          <w:rFonts w:ascii="Arial" w:cs="Arial" w:eastAsia="Arial" w:hAnsi="Arial"/>
          <w:sz w:val="22"/>
          <w:szCs w:val="22"/>
        </w:rPr>
        <w:t xml:space="preserve">Decision trees as flowcharts; the tree-growing recipe worked through a real student pass/fail example; entropy as “suspense”; information gain, fully worked with numbers; Gini impurity as a faster alternative; pruning with a χ² significance test; the early-stopping warning (XOR).</w:t>
      </w:r>
    </w:p>
    <w:p>
      <w:pPr>
        <w:spacing w:after="160" w:line="276"/>
      </w:pPr>
      <w:r>
        <w:rPr>
          <w:rFonts w:ascii="Arial" w:cs="Arial" w:eastAsia="Arial" w:hAnsi="Arial"/>
          <w:b/>
          <w:bCs/>
          <w:color w:val="C8840A"/>
          <w:sz w:val="22"/>
          <w:szCs w:val="22"/>
        </w:rPr>
        <w:t xml:space="preserve">19.4–19.5  </w:t>
      </w:r>
      <w:r>
        <w:rPr>
          <w:rFonts w:ascii="Arial" w:cs="Arial" w:eastAsia="Arial" w:hAnsi="Arial"/>
          <w:b/>
          <w:bCs/>
          <w:color w:val="1A3A5C"/>
          <w:sz w:val="22"/>
          <w:szCs w:val="22"/>
        </w:rPr>
        <w:t xml:space="preserve">Model Selection, Optimization &amp; Theory — </w:t>
      </w:r>
      <w:r>
        <w:rPr>
          <w:rFonts w:ascii="Arial" w:cs="Arial" w:eastAsia="Arial" w:hAnsi="Arial"/>
          <w:sz w:val="22"/>
          <w:szCs w:val="22"/>
        </w:rPr>
        <w:t xml:space="preserve">Training/validation/test splits; k-fold cross-validation; picking model complexity; loss functions; L1/L2 regularization (“strict editor” vs. “gentle trim”); PAC learning (the food-inspector guarantee); decision lists.</w:t>
      </w:r>
    </w:p>
    <w:p>
      <w:pPr>
        <w:spacing w:after="160" w:line="276"/>
      </w:pPr>
      <w:r>
        <w:rPr>
          <w:rFonts w:ascii="Arial" w:cs="Arial" w:eastAsia="Arial" w:hAnsi="Arial"/>
          <w:b/>
          <w:bCs/>
          <w:color w:val="C8840A"/>
          <w:sz w:val="22"/>
          <w:szCs w:val="22"/>
        </w:rPr>
        <w:t xml:space="preserve">19.6  </w:t>
      </w:r>
      <w:r>
        <w:rPr>
          <w:rFonts w:ascii="Arial" w:cs="Arial" w:eastAsia="Arial" w:hAnsi="Arial"/>
          <w:b/>
          <w:bCs/>
          <w:color w:val="1A3A5C"/>
          <w:sz w:val="22"/>
          <w:szCs w:val="22"/>
        </w:rPr>
        <w:t xml:space="preserve">Linear Regression and Classification — </w:t>
      </w:r>
      <w:r>
        <w:rPr>
          <w:rFonts w:ascii="Arial" w:cs="Arial" w:eastAsia="Arial" w:hAnsi="Arial"/>
          <w:sz w:val="22"/>
          <w:szCs w:val="22"/>
        </w:rPr>
        <w:t xml:space="preserve">Fitting a line (closed-form solution); gradient descent (“walking downhill in the fog”); the perceptron (hard on/off) vs. logistic regression (“dimmer switch”).</w:t>
      </w:r>
    </w:p>
    <w:p>
      <w:pPr>
        <w:spacing w:after="160" w:line="276"/>
      </w:pPr>
      <w:r>
        <w:rPr>
          <w:rFonts w:ascii="Arial" w:cs="Arial" w:eastAsia="Arial" w:hAnsi="Arial"/>
          <w:b/>
          <w:bCs/>
          <w:color w:val="C8840A"/>
          <w:sz w:val="22"/>
          <w:szCs w:val="22"/>
        </w:rPr>
        <w:t xml:space="preserve">19.7  </w:t>
      </w:r>
      <w:r>
        <w:rPr>
          <w:rFonts w:ascii="Arial" w:cs="Arial" w:eastAsia="Arial" w:hAnsi="Arial"/>
          <w:b/>
          <w:bCs/>
          <w:color w:val="1A3A5C"/>
          <w:sz w:val="22"/>
          <w:szCs w:val="22"/>
        </w:rPr>
        <w:t xml:space="preserve">Nonparametric Models — </w:t>
      </w:r>
      <w:r>
        <w:rPr>
          <w:rFonts w:ascii="Arial" w:cs="Arial" w:eastAsia="Arial" w:hAnsi="Arial"/>
          <w:sz w:val="22"/>
          <w:szCs w:val="22"/>
        </w:rPr>
        <w:t xml:space="preserve">k-nearest-neighbors (“who does this most resemble?”); choosing k; support vector machines and the kernel trick.</w:t>
      </w:r>
    </w:p>
    <w:p>
      <w:pPr>
        <w:spacing w:after="160" w:line="276"/>
      </w:pPr>
      <w:r>
        <w:rPr>
          <w:rFonts w:ascii="Arial" w:cs="Arial" w:eastAsia="Arial" w:hAnsi="Arial"/>
          <w:b/>
          <w:bCs/>
          <w:color w:val="C8840A"/>
          <w:sz w:val="22"/>
          <w:szCs w:val="22"/>
        </w:rPr>
        <w:t xml:space="preserve">19.8  </w:t>
      </w:r>
      <w:r>
        <w:rPr>
          <w:rFonts w:ascii="Arial" w:cs="Arial" w:eastAsia="Arial" w:hAnsi="Arial"/>
          <w:b/>
          <w:bCs/>
          <w:color w:val="1A3A5C"/>
          <w:sz w:val="22"/>
          <w:szCs w:val="22"/>
        </w:rPr>
        <w:t xml:space="preserve">Ensemble Learning — </w:t>
      </w:r>
      <w:r>
        <w:rPr>
          <w:rFonts w:ascii="Arial" w:cs="Arial" w:eastAsia="Arial" w:hAnsi="Arial"/>
          <w:sz w:val="22"/>
          <w:szCs w:val="22"/>
        </w:rPr>
        <w:t xml:space="preserve">Why committees beat single experts; bagging and random forests; stacking; boosting and AdaBoost; the restaurant-data stump example.</w:t>
      </w:r>
    </w:p>
    <w:p>
      <w:pPr>
        <w:spacing w:after="160" w:line="276"/>
      </w:pPr>
      <w:r>
        <w:rPr>
          <w:rFonts w:ascii="Arial" w:cs="Arial" w:eastAsia="Arial" w:hAnsi="Arial"/>
          <w:b/>
          <w:bCs/>
          <w:color w:val="C8840A"/>
          <w:sz w:val="22"/>
          <w:szCs w:val="22"/>
        </w:rPr>
        <w:t xml:space="preserve">19.9  </w:t>
      </w:r>
      <w:r>
        <w:rPr>
          <w:rFonts w:ascii="Arial" w:cs="Arial" w:eastAsia="Arial" w:hAnsi="Arial"/>
          <w:b/>
          <w:bCs/>
          <w:color w:val="1A3A5C"/>
          <w:sz w:val="22"/>
          <w:szCs w:val="22"/>
        </w:rPr>
        <w:t xml:space="preserve">Developing Machine Learning Systems — </w:t>
      </w:r>
      <w:r>
        <w:rPr>
          <w:rFonts w:ascii="Arial" w:cs="Arial" w:eastAsia="Arial" w:hAnsi="Arial"/>
          <w:sz w:val="22"/>
          <w:szCs w:val="22"/>
        </w:rPr>
        <w:t xml:space="preserve">Problem formulation; data provenance and lopsided data; feature engineering; ROC/AUC and confusion matrices; interpretability vs. explainability; deployment, monitoring, and nonstationarity.</w:t>
      </w:r>
    </w:p>
    <w:p>
      <w:pPr>
        <w:spacing w:after="200"/>
      </w:pPr>
    </w:p>
    <w:p>
      <w:pPr>
        <w:pStyle w:val="Heading1"/>
        <w:pBdr>
          <w:bottom w:val="single" w:color="C8840A" w:sz="6" w:space="4"/>
        </w:pBdr>
        <w:spacing w:after="160" w:before="320"/>
      </w:pPr>
      <w:r>
        <w:rPr>
          <w:rFonts w:ascii="Arial" w:cs="Arial" w:eastAsia="Arial" w:hAnsi="Arial"/>
          <w:b/>
          <w:bCs/>
          <w:color w:val="1A3A5C"/>
          <w:sz w:val="30"/>
          <w:szCs w:val="30"/>
        </w:rPr>
        <w:t xml:space="preserve">7. Troubleshooting</w:t>
      </w:r>
    </w:p>
    <w:p>
      <w:pPr>
        <w:pStyle w:val="Heading2"/>
        <w:spacing w:after="120" w:before="240"/>
      </w:pPr>
      <w:r>
        <w:rPr>
          <w:rFonts w:ascii="Arial" w:cs="Arial" w:eastAsia="Arial" w:hAnsi="Arial"/>
          <w:b/>
          <w:bCs/>
          <w:color w:val="1E3A5F"/>
          <w:sz w:val="24"/>
          <w:szCs w:val="24"/>
        </w:rPr>
        <w:t xml:space="preserve">“The next section won't unlock”</w:t>
      </w:r>
    </w:p>
    <w:p>
      <w:pPr>
        <w:spacing w:after="160" w:line="276"/>
      </w:pPr>
      <w:r>
        <w:rPr>
          <w:rFonts w:ascii="Arial" w:cs="Arial" w:eastAsia="Arial" w:hAnsi="Arial"/>
          <w:sz w:val="22"/>
          <w:szCs w:val="22"/>
        </w:rPr>
        <w:t xml:space="preserve">Make sure every question on the current checkpoint has actually been submitted — check the numbered circles at the top of the checkpoint screen; a green checkmark means submitted, and a plain number means still pending. All questions in a section must show a checkmark, and you must click “Review &amp; Screenshot,” before “Continue to Next Section” becomes active.</w:t>
      </w:r>
    </w:p>
    <w:p>
      <w:pPr>
        <w:pStyle w:val="Heading2"/>
        <w:spacing w:after="120" w:before="240"/>
      </w:pPr>
      <w:r>
        <w:rPr>
          <w:rFonts w:ascii="Arial" w:cs="Arial" w:eastAsia="Arial" w:hAnsi="Arial"/>
          <w:b/>
          <w:bCs/>
          <w:color w:val="1E3A5F"/>
          <w:sz w:val="24"/>
          <w:szCs w:val="24"/>
        </w:rPr>
        <w:t xml:space="preserve">“The Submit button is grayed out”</w:t>
      </w:r>
    </w:p>
    <w:p>
      <w:pPr>
        <w:spacing w:after="160" w:line="276"/>
      </w:pPr>
      <w:r>
        <w:rPr>
          <w:rFonts w:ascii="Arial" w:cs="Arial" w:eastAsia="Arial" w:hAnsi="Arial"/>
          <w:sz w:val="22"/>
          <w:szCs w:val="22"/>
        </w:rPr>
        <w:t xml:space="preserve">Two things can cause this: (1) your answer needs a bit more detail (at least ~20 characters), or (2) the short 12-second thinking pause for that question hasn't finished yet. Wait a moment and try again.</w:t>
      </w:r>
    </w:p>
    <w:p>
      <w:pPr>
        <w:pStyle w:val="Heading2"/>
        <w:spacing w:after="120" w:before="240"/>
      </w:pPr>
      <w:r>
        <w:rPr>
          <w:rFonts w:ascii="Arial" w:cs="Arial" w:eastAsia="Arial" w:hAnsi="Arial"/>
          <w:b/>
          <w:bCs/>
          <w:color w:val="1E3A5F"/>
          <w:sz w:val="24"/>
          <w:szCs w:val="24"/>
        </w:rPr>
        <w:t xml:space="preserve">“I lost my progress”</w:t>
      </w:r>
    </w:p>
    <w:p>
      <w:pPr>
        <w:spacing w:after="160" w:line="276"/>
      </w:pPr>
      <w:r>
        <w:rPr>
          <w:rFonts w:ascii="Arial" w:cs="Arial" w:eastAsia="Arial" w:hAnsi="Arial"/>
          <w:sz w:val="22"/>
          <w:szCs w:val="22"/>
        </w:rPr>
        <w:t xml:space="preserve">Progress is saved in your browser's local storage on the specific device and browser you were using. Switching devices, using a private/incognito window, or clearing your browser data will reset your progress. Stick to the same device and browser for the whole assignment.</w:t>
      </w:r>
    </w:p>
    <w:p>
      <w:pPr>
        <w:pStyle w:val="Heading2"/>
        <w:spacing w:after="120" w:before="240"/>
      </w:pPr>
      <w:r>
        <w:rPr>
          <w:rFonts w:ascii="Arial" w:cs="Arial" w:eastAsia="Arial" w:hAnsi="Arial"/>
          <w:b/>
          <w:bCs/>
          <w:color w:val="1E3A5F"/>
          <w:sz w:val="24"/>
          <w:szCs w:val="24"/>
        </w:rPr>
        <w:t xml:space="preserve">“I want to start over”</w:t>
      </w:r>
    </w:p>
    <w:p>
      <w:pPr>
        <w:spacing w:after="160" w:line="276"/>
      </w:pPr>
      <w:r>
        <w:rPr>
          <w:rFonts w:ascii="Arial" w:cs="Arial" w:eastAsia="Arial" w:hAnsi="Arial"/>
          <w:sz w:val="22"/>
          <w:szCs w:val="22"/>
        </w:rPr>
        <w:t xml:space="preserve">Use the “Reset my progress” button at the top right of the reading. This permanently erases all your saved answers on this device and cannot be undone — only use it if you genuinely want to restart from the beginning.</w:t>
      </w:r>
    </w:p>
    <w:p>
      <w:pPr>
        <w:spacing w:after="200"/>
      </w:pPr>
    </w:p>
    <w:p>
      <w:pPr>
        <w:pStyle w:val="Heading1"/>
        <w:pBdr>
          <w:bottom w:val="single" w:color="C8840A" w:sz="6" w:space="4"/>
        </w:pBdr>
        <w:spacing w:after="160" w:before="320"/>
      </w:pPr>
      <w:r>
        <w:rPr>
          <w:rFonts w:ascii="Arial" w:cs="Arial" w:eastAsia="Arial" w:hAnsi="Arial"/>
          <w:b/>
          <w:bCs/>
          <w:color w:val="1A3A5C"/>
          <w:sz w:val="30"/>
          <w:szCs w:val="30"/>
        </w:rPr>
        <w:t xml:space="preserve">8. Academic Integrity</w:t>
      </w:r>
    </w:p>
    <w:p>
      <w:pPr>
        <w:spacing w:after="160" w:line="276"/>
      </w:pPr>
      <w:r>
        <w:rPr>
          <w:rFonts w:ascii="Arial" w:cs="Arial" w:eastAsia="Arial" w:hAnsi="Arial"/>
          <w:sz w:val="22"/>
          <w:szCs w:val="22"/>
        </w:rPr>
        <w:t xml:space="preserve">Checkpoint answers should be your own understanding, written in your own words. The dwell timers, single-question-at-a-time flow, and locked answers are designed to encourage genuine engagement with the material rather than rapid guessing — use the reading as it's intended, and you'll be well prepared for the discussion post and problem set that follow.</w:t>
      </w:r>
    </w:p>
    <w:p>
      <w:pPr>
        <w:spacing w:after="160"/>
      </w:pPr>
    </w:p>
    <w:p>
      <w:pPr>
        <w:pStyle w:val="Heading1"/>
        <w:pBdr>
          <w:bottom w:val="single" w:color="C8840A" w:sz="6" w:space="4"/>
        </w:pBdr>
        <w:spacing w:after="160" w:before="320"/>
      </w:pPr>
      <w:r>
        <w:rPr>
          <w:rFonts w:ascii="Arial" w:cs="Arial" w:eastAsia="Arial" w:hAnsi="Arial"/>
          <w:b/>
          <w:bCs/>
          <w:color w:val="1A3A5C"/>
          <w:sz w:val="30"/>
          <w:szCs w:val="30"/>
        </w:rPr>
        <w:t xml:space="preserve">9. Questions?</w:t>
      </w:r>
    </w:p>
    <w:p>
      <w:pPr>
        <w:spacing w:after="160" w:line="276"/>
      </w:pPr>
      <w:r>
        <w:rPr>
          <w:rFonts w:ascii="Arial" w:cs="Arial" w:eastAsia="Arial" w:hAnsi="Arial"/>
          <w:sz w:val="22"/>
          <w:szCs w:val="22"/>
        </w:rPr>
        <w:t xml:space="preserve">If you run into a technical problem with the reading itself (not a conceptual question about the material), email Professor Kassoh or post in the course discussion forum with a screenshot of what you're seeing.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2026-07-23T17:16:02.092Z</dcterms:created>
  <dcterms:modified xsi:type="dcterms:W3CDTF">2026-07-23T17:16:02.092Z</dcterms:modified>
</cp:coreProperties>
</file>

<file path=docProps/custom.xml><?xml version="1.0" encoding="utf-8"?>
<Properties xmlns="http://schemas.openxmlformats.org/officeDocument/2006/custom-properties" xmlns:vt="http://schemas.openxmlformats.org/officeDocument/2006/docPropsVTypes"/>
</file>