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quarterly review covers the key achievements and challenges encountered during the period. The team made significant progress on several fronts, including product development, customer acquisition, and operational efficiency improvements.</w:t>
      </w:r>
    </w:p>
    <w:p>
      <w:r>
        <w:t>Revenue grew by 15% compared to the previous quarter, driven primarily by expansion into new markets. Customer satisfaction scores remained above target at 4.2 out of 5.0.</w:t>
      </w:r>
    </w:p>
    <w:p>
      <w:pPr>
        <w:pStyle w:val="Heading1"/>
      </w:pPr>
      <w:r>
        <w:t>Details</w:t>
      </w:r>
    </w:p>
    <w:p>
      <w:r>
        <w:t>The engineering team completed three major releases during the quarter, each delivering substantial new functionality. The most notable release introduced automated reporting, which reduced manual processing time by approximately 40%.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