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1022FF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after="0"/>
        <w:ind w:firstLine="709"/>
        <w:jc w:val="center"/>
        <w:rPr>
          <w:b w:val="1"/>
        </w:rPr>
      </w:pPr>
      <w:r>
        <w:rPr>
          <w:b w:val="1"/>
        </w:rPr>
        <w:t>ОБСЯГИ ДЕРЖАВНОГО ЗАМОВЛЕННЯ</w:t>
      </w:r>
    </w:p>
    <w:p>
      <w:pPr>
        <w:spacing w:after="0"/>
        <w:ind w:firstLine="709"/>
        <w:jc w:val="center"/>
        <w:rPr>
          <w:b w:val="1"/>
        </w:rPr>
      </w:pPr>
      <w:r>
        <w:rPr>
          <w:b w:val="1"/>
        </w:rPr>
        <w:t>НА ПІДГОТОВКУ ФАХІВЦІВ ФАХОВОЇ ПЕРЕДВИЩОЇ ОСВІТИ</w:t>
      </w:r>
    </w:p>
    <w:p>
      <w:pPr>
        <w:spacing w:after="0"/>
        <w:ind w:firstLine="709"/>
        <w:jc w:val="center"/>
        <w:rPr>
          <w:b w:val="1"/>
        </w:rPr>
      </w:pPr>
      <w:r>
        <w:rPr>
          <w:b w:val="1"/>
        </w:rPr>
        <w:t>у ВІДОКРЕМЛЕНОМУ СТРУКТУРНОМУ ПІДРОЗДІЛІ</w:t>
      </w:r>
    </w:p>
    <w:p>
      <w:pPr>
        <w:spacing w:after="0"/>
        <w:ind w:firstLine="709"/>
        <w:jc w:val="center"/>
        <w:rPr>
          <w:b w:val="1"/>
        </w:rPr>
      </w:pPr>
      <w:r>
        <w:rPr>
          <w:b w:val="1"/>
        </w:rPr>
        <w:t>«ФАХОВИЙ КОЛЕДЖ ГЕОЛОГОРОЗВІДУВАЛЬНИХ ТЕХНОЛОГІЙ</w:t>
      </w:r>
    </w:p>
    <w:p>
      <w:pPr>
        <w:spacing w:after="0"/>
        <w:ind w:firstLine="709"/>
        <w:jc w:val="center"/>
        <w:rPr>
          <w:b w:val="1"/>
        </w:rPr>
      </w:pPr>
      <w:r>
        <w:rPr>
          <w:b w:val="1"/>
        </w:rPr>
        <w:t>КИЇВСЬКОГО НАЦІОНАЛЬНОГО УНІВЕРСИТЕТУ ІМЕНІ ТАРАСА ШЕВЧЕНКА»</w:t>
      </w:r>
    </w:p>
    <w:p>
      <w:pPr>
        <w:spacing w:after="0"/>
        <w:ind w:firstLine="709"/>
        <w:jc w:val="center"/>
        <w:rPr>
          <w:b w:val="1"/>
        </w:rPr>
      </w:pPr>
      <w:r>
        <w:rPr>
          <w:b w:val="1"/>
        </w:rPr>
        <w:t>2023 рік</w:t>
      </w:r>
    </w:p>
    <w:p>
      <w:pPr>
        <w:spacing w:after="0"/>
        <w:ind w:firstLine="709"/>
        <w:jc w:val="center"/>
        <w:rPr>
          <w:b w:val="1"/>
        </w:rPr>
      </w:pPr>
    </w:p>
    <w:tbl>
      <w:tblPr>
        <w:tblStyle w:val="T2"/>
        <w:tblW w:w="14737" w:type="dxa"/>
        <w:tblLayout w:type="autofit"/>
        <w:tblLook w:val="04A0"/>
      </w:tblPr>
      <w:tblGrid/>
      <w:tr>
        <w:trPr>
          <w:trHeight w:hRule="atLeast" w:val="719"/>
        </w:trPr>
        <w:tc>
          <w:tcPr>
            <w:tcW w:w="22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Назва пропозиції (код, назва спеціальності)</w:t>
            </w:r>
          </w:p>
        </w:tc>
        <w:tc>
          <w:tcPr>
            <w:tcW w:w="40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Назва пропозиції (назва освітньої програми)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Вступ на основі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Форма навчання</w:t>
            </w:r>
          </w:p>
        </w:tc>
        <w:tc>
          <w:tcPr>
            <w:tcW w:w="182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ind w:right="-133"/>
              <w:jc w:val="center"/>
              <w:rPr>
                <w:sz w:val="24"/>
              </w:rPr>
            </w:pPr>
            <w:r>
              <w:rPr>
                <w:sz w:val="24"/>
              </w:rPr>
              <w:t>Ліцензований обсяг (кількість місць)</w:t>
            </w: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За державним замовленням</w:t>
            </w:r>
          </w:p>
        </w:tc>
      </w:tr>
      <w:tr>
        <w:trPr>
          <w:trHeight w:hRule="atLeast" w:val="235"/>
        </w:trPr>
        <w:tc>
          <w:tcPr>
            <w:tcW w:w="225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101 Екологія</w:t>
            </w:r>
          </w:p>
        </w:tc>
        <w:tc>
          <w:tcPr>
            <w:tcW w:w="404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Прикладна екологія</w:t>
            </w:r>
          </w:p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Базова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>
        <w:trPr>
          <w:trHeight w:hRule="atLeast" w:val="235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Повна загальна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hRule="atLeast" w:val="235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 w:val="1"/>
                <w:i w:val="1"/>
                <w:sz w:val="24"/>
              </w:rPr>
            </w:pPr>
            <w:r>
              <w:rPr>
                <w:b w:val="1"/>
                <w:i w:val="1"/>
                <w:sz w:val="24"/>
              </w:rPr>
              <w:t>заочна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 w:val="1"/>
                <w:i w:val="1"/>
                <w:sz w:val="24"/>
              </w:rPr>
            </w:pPr>
            <w:r>
              <w:rPr>
                <w:b w:val="1"/>
                <w:i w:val="1"/>
                <w:sz w:val="24"/>
              </w:rPr>
              <w:t>5</w:t>
            </w:r>
          </w:p>
        </w:tc>
      </w:tr>
      <w:tr>
        <w:trPr>
          <w:trHeight w:hRule="atLeast" w:val="235"/>
        </w:trPr>
        <w:tc>
          <w:tcPr>
            <w:tcW w:w="225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103 Науки про Землю</w:t>
            </w:r>
          </w:p>
        </w:tc>
        <w:tc>
          <w:tcPr>
            <w:tcW w:w="404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Розвiдувальна геофiзика та комп’ютерна обробка геофiзичної iнформацiї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Базова середня освіта 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>
        <w:trPr>
          <w:trHeight w:hRule="atLeast" w:val="242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Повна загальна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>
        <w:trPr>
          <w:trHeight w:hRule="atLeast" w:val="241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 w:val="1"/>
                <w:i w:val="1"/>
                <w:sz w:val="24"/>
              </w:rPr>
            </w:pPr>
            <w:r>
              <w:rPr>
                <w:b w:val="1"/>
                <w:i w:val="1"/>
                <w:sz w:val="24"/>
              </w:rPr>
              <w:t>заочна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 w:val="1"/>
                <w:i w:val="1"/>
                <w:sz w:val="24"/>
              </w:rPr>
            </w:pPr>
            <w:r>
              <w:rPr>
                <w:b w:val="1"/>
                <w:i w:val="1"/>
                <w:sz w:val="24"/>
              </w:rPr>
              <w:t>5</w:t>
            </w:r>
          </w:p>
        </w:tc>
      </w:tr>
      <w:tr>
        <w:trPr>
          <w:trHeight w:hRule="atLeast" w:val="235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Геологiчнi методи пошукiв та розвiдки родовищ корисних копалин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Базова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hRule="atLeast" w:val="235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Геотуризм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Базова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rPr>
          <w:trHeight w:hRule="atLeast" w:val="235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Гідрогеологічні та інженерно-геологічні дослідження для водопостачання і будівництва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Базова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>
        <w:trPr>
          <w:trHeight w:hRule="atLeast" w:val="826"/>
        </w:trPr>
        <w:tc>
          <w:tcPr>
            <w:tcW w:w="22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133 Галузве машинобудування</w:t>
            </w:r>
          </w:p>
        </w:tc>
        <w:tc>
          <w:tcPr>
            <w:tcW w:w="40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Технічне обслуговування та ремонт геофізичної, радіоелектронної апаратури та комп’ютерної техніки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Базова  середня освіта 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hRule="atLeast" w:val="242"/>
        </w:trPr>
        <w:tc>
          <w:tcPr>
            <w:tcW w:w="225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184 Гірництво</w:t>
            </w:r>
          </w:p>
        </w:tc>
        <w:tc>
          <w:tcPr>
            <w:tcW w:w="404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Бурiння свердловин на тверді кориснi копалини i воду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Базова  середня освіта 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110</w:t>
            </w: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hRule="atLeast" w:val="311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Повна загальна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b w:val="1"/>
                <w:i w:val="1"/>
                <w:sz w:val="24"/>
              </w:rPr>
              <w:t>заочна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b w:val="1"/>
                <w:i w:val="1"/>
                <w:sz w:val="24"/>
              </w:rPr>
              <w:t>5</w:t>
            </w:r>
          </w:p>
        </w:tc>
      </w:tr>
      <w:tr>
        <w:trPr>
          <w:trHeight w:hRule="atLeast" w:val="242"/>
        </w:trPr>
        <w:tc>
          <w:tcPr>
            <w:tcW w:w="225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274 Автомобільний транспорт</w:t>
            </w:r>
          </w:p>
        </w:tc>
        <w:tc>
          <w:tcPr>
            <w:tcW w:w="404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Обслуговування та ремонт автомобілів і двигунів</w:t>
            </w:r>
          </w:p>
        </w:tc>
        <w:tc>
          <w:tcPr>
            <w:tcW w:w="341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Базова  середня освіта 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110</w:t>
            </w: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>
        <w:trPr>
          <w:trHeight w:hRule="atLeast" w:val="242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Повна загальна середня освіта</w:t>
            </w: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денна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hRule="atLeast" w:val="241"/>
        </w:trPr>
        <w:tc>
          <w:tcPr>
            <w:tcW w:w="225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404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3419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6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  <w:r>
              <w:rPr>
                <w:b w:val="1"/>
                <w:i w:val="1"/>
                <w:sz w:val="24"/>
              </w:rPr>
              <w:t>заочна</w:t>
            </w:r>
          </w:p>
        </w:tc>
        <w:tc>
          <w:tcPr>
            <w:tcW w:w="1821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24"/>
              </w:rPr>
            </w:pPr>
          </w:p>
        </w:tc>
        <w:tc>
          <w:tcPr>
            <w:tcW w:w="157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 w:val="1"/>
                <w:i w:val="1"/>
                <w:sz w:val="24"/>
              </w:rPr>
            </w:pPr>
            <w:r>
              <w:rPr>
                <w:b w:val="1"/>
                <w:i w:val="1"/>
                <w:sz w:val="24"/>
              </w:rPr>
              <w:t>5</w:t>
            </w:r>
          </w:p>
        </w:tc>
      </w:tr>
    </w:tbl>
    <w:p>
      <w:pPr>
        <w:spacing w:after="160"/>
      </w:pPr>
    </w:p>
    <w:sectPr>
      <w:type w:val="nextPage"/>
      <w:pgSz w:w="16838" w:h="11906" w:code="9" w:orient="landscape"/>
      <w:pgMar w:left="1134" w:right="1134" w:top="1230" w:bottom="851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8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40" w:after="200"/>
    </w:pPr>
    <w:rPr>
      <w:rFonts w:ascii="Times New Roman" w:hAnsi="Times New Roman"/>
      <w:sz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pPr>
      <w:spacing w:after="20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bottom w:w="0" w:type="dxa"/>
      </w:tblCellMar>
    </w:tblPr>
    <w:trPr/>
    <w:tcPr/>
  </w:style>
  <w:style w:type="table" w:styleId="T2">
    <w:name w:val="Table Grid"/>
    <w:basedOn w:val="T0"/>
    <w:pPr>
      <w:spacing w:lineRule="auto" w:line="240" w:after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