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rFonts w:hint="eastAsia"/>
        </w:rPr>
        <w:t>方案一：在ego-manager-service中，添加商品的业务逻辑中，添加一个同步索引库的业务逻辑。</w:t>
      </w:r>
    </w:p>
    <w:p>
      <w:pPr>
        <w:rPr>
          <w:b/>
        </w:rPr>
      </w:pPr>
      <w:r>
        <w:rPr>
          <w:rFonts w:hint="eastAsia"/>
        </w:rPr>
        <w:t>缺点：业务逻辑耦合度高，</w:t>
      </w:r>
      <w:r>
        <w:rPr>
          <w:rFonts w:hint="eastAsia"/>
          <w:b/>
          <w:color w:val="FF0000"/>
        </w:rPr>
        <w:t>业务拆分不明确（ego-manager-service既维护商品又维护索引库）</w:t>
      </w:r>
    </w:p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方案二：业务逻辑在ego-search-service中实现，调用服务在ego-manage-sevice实现。业务逻辑分开。</w:t>
      </w:r>
    </w:p>
    <w:p>
      <w:pPr>
        <w:rPr>
          <w:b/>
          <w:color w:val="FF0000"/>
        </w:rPr>
      </w:pPr>
      <w:r>
        <w:rPr>
          <w:rFonts w:hint="eastAsia" w:ascii="Calibri" w:hAnsi="Calibri" w:eastAsia="宋体" w:cs="Times New Roman"/>
        </w:rPr>
        <w:t>缺点：服务之间的</w:t>
      </w:r>
      <w:r>
        <w:rPr>
          <w:rFonts w:hint="eastAsia" w:ascii="Calibri" w:hAnsi="Calibri" w:eastAsia="宋体" w:cs="Times New Roman"/>
          <w:b/>
        </w:rPr>
        <w:t>耦合度变高</w:t>
      </w:r>
      <w:r>
        <w:rPr>
          <w:rFonts w:hint="eastAsia" w:ascii="Calibri" w:hAnsi="Calibri" w:eastAsia="宋体" w:cs="Times New Roman"/>
        </w:rPr>
        <w:t>。</w:t>
      </w:r>
      <w:r>
        <w:rPr>
          <w:rFonts w:hint="eastAsia" w:ascii="Calibri" w:hAnsi="Calibri" w:eastAsia="宋体" w:cs="Times New Roman"/>
          <w:b/>
          <w:color w:val="FF0000"/>
        </w:rPr>
        <w:t>服务的启动有先后顺序（ego-manage-sevice--&gt;ego-search-service）。</w:t>
      </w:r>
    </w:p>
    <w:bookmarkEnd w:id="0"/>
    <w:p>
      <w:r>
        <w:drawing>
          <wp:inline distT="0" distB="0" distL="114300" distR="114300">
            <wp:extent cx="5269230" cy="1813560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B4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2019-06-23T08:33:06Z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