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Норбутаев</w:t>
      </w:r>
      <w:r>
        <w:t xml:space="preserve"> </w:t>
      </w:r>
      <w:r>
        <w:t xml:space="preserve">Фазлиддин</w:t>
      </w:r>
      <w:r>
        <w:t xml:space="preserve"> </w:t>
      </w:r>
      <w:r>
        <w:t xml:space="preserve">Хусейнович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</w:p>
    <w:p>
      <w:pPr>
        <w:pStyle w:val="BodyText"/>
      </w:pPr>
      <w:r>
        <w:t xml:space="preserve">Программа на языке ассемблера NASM, как правило, состоит из трёх секций: секция кода</w:t>
      </w:r>
      <w:r>
        <w:t xml:space="preserve"> </w:t>
      </w:r>
      <w:r>
        <w:t xml:space="preserve">программы (SECTION .text), секция инициированных (известных во время компиляции)</w:t>
      </w:r>
      <w:r>
        <w:t xml:space="preserve"> </w:t>
      </w:r>
      <w:r>
        <w:t xml:space="preserve">данных (SECTION .data) и секция неинициализированных данных (тех, под которые во</w:t>
      </w:r>
      <w:r>
        <w:t xml:space="preserve"> </w:t>
      </w:r>
      <w:r>
        <w:t xml:space="preserve">время компиляции только отводится память, а значение присваивается в ходе выполнения</w:t>
      </w:r>
      <w:r>
        <w:t xml:space="preserve"> </w:t>
      </w:r>
      <w:r>
        <w:t xml:space="preserve">программы) (SECTION .bss).</w:t>
      </w:r>
    </w:p>
    <w:p>
      <w:pPr>
        <w:pStyle w:val="BodyText"/>
      </w:pPr>
      <w:r>
        <w:t xml:space="preserve">Инструкция языка ассемблера mov предназначена для дублирования данных источника в</w:t>
      </w:r>
      <w:r>
        <w:t xml:space="preserve"> </w:t>
      </w:r>
      <w:r>
        <w:t xml:space="preserve">приёмнике. В общем виде эта инструкция записывается в виде mov dst,src</w:t>
      </w:r>
      <w:r>
        <w:t xml:space="preserve"> </w:t>
      </w:r>
      <w:r>
        <w:t xml:space="preserve">Здесь операнд dst — приёмник, а src — источник</w:t>
      </w:r>
    </w:p>
    <w:p>
      <w:pPr>
        <w:pStyle w:val="BodyText"/>
      </w:pPr>
      <w:r>
        <w:t xml:space="preserve">Инструкция языка ассемблера intпредназначена для вызова прерывания с указанным</w:t>
      </w:r>
      <w:r>
        <w:t xml:space="preserve"> </w:t>
      </w:r>
      <w:r>
        <w:t xml:space="preserve">номером. В общем виде она записывается в виде int n</w:t>
      </w:r>
      <w:r>
        <w:t xml:space="preserve"> </w:t>
      </w:r>
      <w:r>
        <w:t xml:space="preserve">Здесь n — номер прерывания, принадлежащий диапазону 0–255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6" w:name="знакомство-с-midnight-commander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Commander, с помощью клавишь со стрелками и Enter перешел в каталог ~/work/arch-pc.</w:t>
      </w:r>
      <w:r>
        <w:t xml:space="preserve"> </w:t>
      </w:r>
      <w:r>
        <w:t xml:space="preserve">Далее нажал F7 и создал каталог lab05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984675"/>
            <wp:effectExtent b="0" l="0" r="0" t="0"/>
            <wp:docPr descr="Figure 1: Запуск каталога Midnight Commander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Запуск каталога Midnight Commander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3226304"/>
            <wp:effectExtent b="0" l="0" r="0" t="0"/>
            <wp:docPr descr="Figure 2: Создание каталог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6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Создание каталога</w:t>
      </w:r>
    </w:p>
    <w:bookmarkEnd w:id="0"/>
    <w:p>
      <w:pPr>
        <w:pStyle w:val="BodyText"/>
      </w:pPr>
      <w:r>
        <w:t xml:space="preserve">При помощи touch создал файл lab05-1.asm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062219"/>
            <wp:effectExtent b="0" l="0" r="0" t="0"/>
            <wp:docPr descr="Figure 3: Создание файла lab05-1.asm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Создание файла lab05-1.asm</w:t>
      </w:r>
    </w:p>
    <w:bookmarkEnd w:id="0"/>
    <w:p>
      <w:pPr>
        <w:pStyle w:val="BodyText"/>
      </w:pPr>
      <w:r>
        <w:t xml:space="preserve">Открыл файл на редактирование клавишей F4, выбрал редактор mceditor, написал код программы из задания.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3686475" cy="4726004"/>
            <wp:effectExtent b="0" l="0" r="0" t="0"/>
            <wp:docPr descr="Figure 4: Программа в файле lab05-1.asm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4726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Программа в файле lab05-1.asm</w:t>
      </w:r>
    </w:p>
    <w:bookmarkEnd w:id="0"/>
    <w:p>
      <w:pPr>
        <w:pStyle w:val="BodyText"/>
      </w:pPr>
      <w:r>
        <w:t xml:space="preserve">Открыл файл на просмотр клавишей F3 и убелился, что он содержит набранный код.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3003082" cy="4716378"/>
            <wp:effectExtent b="0" l="0" r="0" t="0"/>
            <wp:docPr descr="Figure 5: Просмотр файла lab05-1.asm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471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Просмотр файла lab05-1.asm</w:t>
      </w:r>
    </w:p>
    <w:bookmarkEnd w:id="0"/>
    <w:p>
      <w:pPr>
        <w:pStyle w:val="BodyText"/>
      </w:pPr>
      <w:r>
        <w:t xml:space="preserve">Транслировал файл программы в объектный файл, выполнил компановку объектного файла, получил исполняемый файл программы и провреил ее работу.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611085"/>
            <wp:effectExtent b="0" l="0" r="0" t="0"/>
            <wp:docPr descr="Figure 6: Запуск программы lab05-1.asm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1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Запуск программы lab05-1.asm</w:t>
      </w:r>
    </w:p>
    <w:bookmarkEnd w:id="0"/>
    <w:bookmarkEnd w:id="46"/>
    <w:bookmarkStart w:id="71" w:name="подключение-внешнего-файла-in_out.asm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</w:t>
      </w:r>
      <w:r>
        <w:t xml:space="preserve"> </w:t>
      </w:r>
      <w:r>
        <w:t xml:space="preserve">(такие как, например, вывод строки на экран или выход их программы) можно оформить</w:t>
      </w:r>
      <w:r>
        <w:t xml:space="preserve"> </w:t>
      </w:r>
      <w:r>
        <w:t xml:space="preserve">в виде подпрограмм и сохранить в отдельные файлы, а во всех нужных местах поставить</w:t>
      </w:r>
      <w:r>
        <w:t xml:space="preserve"> </w:t>
      </w:r>
      <w:r>
        <w:t xml:space="preserve">вызов нужной подпрограммы. Это позволяет сделать основную программу более удобной</w:t>
      </w:r>
      <w:r>
        <w:t xml:space="preserve"> </w:t>
      </w:r>
      <w:r>
        <w:t xml:space="preserve">для написания и чтения.</w:t>
      </w:r>
    </w:p>
    <w:p>
      <w:pPr>
        <w:pStyle w:val="BodyText"/>
      </w:pPr>
      <w:r>
        <w:t xml:space="preserve">Для выполнения лабораторных работ используется файл in_out.asm, который содержит</w:t>
      </w:r>
      <w:r>
        <w:t xml:space="preserve"> </w:t>
      </w:r>
      <w:r>
        <w:t xml:space="preserve">следующие подпрограммы:</w:t>
      </w:r>
    </w:p>
    <w:p>
      <w:pPr>
        <w:numPr>
          <w:ilvl w:val="0"/>
          <w:numId w:val="1001"/>
        </w:numPr>
      </w:pPr>
      <w:r>
        <w:t xml:space="preserve">slen – вычисление длины строки (используется в подпрограммах печати сообщения для определения количества выводимых байтов);</w:t>
      </w:r>
    </w:p>
    <w:p>
      <w:pPr>
        <w:numPr>
          <w:ilvl w:val="0"/>
          <w:numId w:val="1001"/>
        </w:numPr>
      </w:pPr>
      <w:r>
        <w:t xml:space="preserve">sprint – вывод сообщения на экран, перед вызовом sprint в регистр eax необходимо записать выводимое сообщение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sprintLF – работает аналогично sprint, но при выводе на экран добавляет к сообщению символ перевода строки;</w:t>
      </w:r>
    </w:p>
    <w:p>
      <w:pPr>
        <w:numPr>
          <w:ilvl w:val="0"/>
          <w:numId w:val="1001"/>
        </w:numPr>
      </w:pPr>
      <w:r>
        <w:t xml:space="preserve">sread – ввод сообщения с клавиатуры, перед вызовом sread в регистр eax необходимо записать адрес переменной в которую введенное сообщение буд записано (mov eax,</w:t>
      </w:r>
      <w:r>
        <w:t xml:space="preserve">) , в регистр ebx – длину вводимой строки (mov ebx,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 – вывод на экран чисел в формате ASCII, перед вызовом iprint в регистр eax необходимо записать выводимое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iprintLF – работает аналогично iprint, но при выводе на экран после числа добавляет к символ перевода строки;</w:t>
      </w:r>
    </w:p>
    <w:p>
      <w:pPr>
        <w:numPr>
          <w:ilvl w:val="0"/>
          <w:numId w:val="1001"/>
        </w:numPr>
      </w:pPr>
      <w:r>
        <w:t xml:space="preserve">atoi – функция преобразует ascii-код символа в целое число и записыает результат в регистр eax, перед вызовом atoi в регистр eax необходимо записать число (mov eax,</w:t>
      </w:r>
      <w:r>
        <w:t xml:space="preserve">);</w:t>
      </w:r>
    </w:p>
    <w:p>
      <w:pPr>
        <w:numPr>
          <w:ilvl w:val="0"/>
          <w:numId w:val="1001"/>
        </w:numPr>
      </w:pPr>
      <w:r>
        <w:t xml:space="preserve">quit – завершение программы.</w:t>
      </w:r>
    </w:p>
    <w:p>
      <w:pPr>
        <w:pStyle w:val="FirstParagraph"/>
      </w:pPr>
      <w:r>
        <w:t xml:space="preserve">Скачал файл in_out.asm и разместил его в рабочем каталоге. Для копирования используется клавиша F5.</w:t>
      </w:r>
      <w:r>
        <w:t xml:space="preserve"> </w:t>
      </w:r>
      <w:r>
        <w:t xml:space="preserve">Для перемещения используется клавиша F6.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2945729"/>
            <wp:effectExtent b="0" l="0" r="0" t="0"/>
            <wp:docPr descr="Figure 7: Копирование файла in_out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Копирование файла in_out.asm</w:t>
      </w:r>
    </w:p>
    <w:bookmarkEnd w:id="0"/>
    <w:p>
      <w:pPr>
        <w:pStyle w:val="BodyText"/>
      </w:pPr>
      <w:r>
        <w:t xml:space="preserve">Скопировал lab05-1.asm в lab05-2.asm.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3121334"/>
            <wp:effectExtent b="0" l="0" r="0" t="0"/>
            <wp:docPr descr="Figure 8: Копирование файла lab05-1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Копирование файла lab05-1.asm</w:t>
      </w:r>
    </w:p>
    <w:bookmarkEnd w:id="0"/>
    <w:p>
      <w:pPr>
        <w:pStyle w:val="BodyText"/>
      </w:pPr>
      <w:r>
        <w:t xml:space="preserve">Написал код программы lab05-2.asm с использованием подпрограмм из</w:t>
      </w:r>
      <w:r>
        <w:t xml:space="preserve"> </w:t>
      </w:r>
      <w:r>
        <w:t xml:space="preserve">внешнего файла in_out.asm . Скомпилировал программу и провреил запуск.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3821229" cy="3570972"/>
            <wp:effectExtent b="0" l="0" r="0" t="0"/>
            <wp:docPr descr="Figure 9: Программа в файле lab05-2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229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Программа в файле lab05-2.asm</w:t>
      </w:r>
    </w:p>
    <w:bookmarkEnd w:id="0"/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984293"/>
            <wp:effectExtent b="0" l="0" r="0" t="0"/>
            <wp:docPr descr="Figure 10: Запуск программы lab05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4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Запуск программы lab05-2.asm</w:t>
      </w:r>
    </w:p>
    <w:bookmarkEnd w:id="0"/>
    <w:p>
      <w:pPr>
        <w:pStyle w:val="BodyText"/>
      </w:pPr>
      <w:r>
        <w:t xml:space="preserve">В файле lab5-2.asm заменил подпрограмму sprintLF на sprint.</w:t>
      </w:r>
      <w:r>
        <w:t xml:space="preserve"> </w:t>
      </w:r>
      <w:r>
        <w:t xml:space="preserve">Заново собрал исполняеый файл.</w:t>
      </w:r>
      <w:r>
        <w:t xml:space="preserve"> </w:t>
      </w:r>
      <w:r>
        <w:t xml:space="preserve">Теперь после вывода строки она не завершается символом перехода на новую строку.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4196614" cy="3715351"/>
            <wp:effectExtent b="0" l="0" r="0" t="0"/>
            <wp:docPr descr="Figure 11: Программа в файле lab05-2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71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Программа в файле lab05-2.asm</w:t>
      </w:r>
    </w:p>
    <w:bookmarkEnd w:id="0"/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921657"/>
            <wp:effectExtent b="0" l="0" r="0" t="0"/>
            <wp:docPr descr="Figure 12: Запуск программы lab05-2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Запуск программы lab05-2.asm</w:t>
      </w:r>
    </w:p>
    <w:bookmarkEnd w:id="0"/>
    <w:bookmarkEnd w:id="71"/>
    <w:bookmarkStart w:id="96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измении код, так чтобы она работала по следующему алгоритму:</w:t>
      </w:r>
    </w:p>
    <w:p>
      <w:pPr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numPr>
          <w:ilvl w:val="0"/>
          <w:numId w:val="1002"/>
        </w:numPr>
      </w:pPr>
      <w:r>
        <w:t xml:space="preserve">вывести введённую строку на экран.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3155655"/>
            <wp:effectExtent b="0" l="0" r="0" t="0"/>
            <wp:docPr descr="Figure 13: Копирование файла lab05-1.as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Копирование файла lab05-1.asm</w:t>
      </w:r>
    </w:p>
    <w:bookmarkEnd w:id="0"/>
    <w:bookmarkStart w:id="0" w:name="fig:014"/>
    <w:p>
      <w:pPr>
        <w:pStyle w:val="CaptionedFigure"/>
      </w:pPr>
      <w:bookmarkStart w:id="79" w:name="fig:014"/>
      <w:r>
        <w:drawing>
          <wp:inline>
            <wp:extent cx="3003082" cy="5717406"/>
            <wp:effectExtent b="0" l="0" r="0" t="0"/>
            <wp:docPr descr="Figure 14: Программа в файле lab05-3.asm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082" cy="57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Программа в файле lab05-3.asm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937846"/>
            <wp:effectExtent b="0" l="0" r="0" t="0"/>
            <wp:docPr descr="Figure 15: Запуск программы lab05-3.asm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7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Запуск программы lab05-3.asm</w:t>
      </w:r>
    </w:p>
    <w:bookmarkEnd w:id="0"/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 in_out.asm.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3093367"/>
            <wp:effectExtent b="0" l="0" r="0" t="0"/>
            <wp:docPr descr="Figure 16: Копирование файла lab05-2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3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Копирование файла lab05-2.asm</w:t>
      </w:r>
    </w:p>
    <w:bookmarkEnd w:id="0"/>
    <w:bookmarkStart w:id="0" w:name="fig:017"/>
    <w:p>
      <w:pPr>
        <w:pStyle w:val="CaptionedFigure"/>
      </w:pPr>
      <w:bookmarkStart w:id="91" w:name="fig:017"/>
      <w:r>
        <w:drawing>
          <wp:inline>
            <wp:extent cx="3282214" cy="4225490"/>
            <wp:effectExtent b="0" l="0" r="0" t="0"/>
            <wp:docPr descr="Figure 17: Программа в файле lab05-4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4225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Программа в файле lab05-4.asm</w:t>
      </w:r>
    </w:p>
    <w:bookmarkEnd w:id="0"/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891415"/>
            <wp:effectExtent b="0" l="0" r="0" t="0"/>
            <wp:docPr descr="Figure 18: Запуск программы lab05-4.asm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1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Запуск программы lab05-4.asm</w:t>
      </w:r>
    </w:p>
    <w:bookmarkEnd w:id="0"/>
    <w:bookmarkEnd w:id="96"/>
    <w:bookmarkEnd w:id="97"/>
    <w:bookmarkStart w:id="9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Норбутаев Фазлиддин Хусейнович</dc:creator>
  <dc:language>ru-RU</dc:language>
  <cp:keywords/>
  <dcterms:created xsi:type="dcterms:W3CDTF">2024-02-21T16:10:23Z</dcterms:created>
  <dcterms:modified xsi:type="dcterms:W3CDTF">2024-02-21T16:10:23Z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