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</w:t>
      </w:r>
      <w:r>
        <w:t xml:space="preserve"> </w:t>
      </w:r>
      <w:r>
        <w:t xml:space="preserve">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</w:t>
      </w:r>
      <w:r>
        <w:t xml:space="preserve"> </w:t>
      </w:r>
      <w:r>
        <w:t xml:space="preserve">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</w:t>
      </w:r>
      <w:r>
        <w:t xml:space="preserve"> </w:t>
      </w:r>
      <w:r>
        <w:t xml:space="preserve">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</w:t>
      </w:r>
      <w:r>
        <w:t xml:space="preserve"> </w:t>
      </w:r>
      <w:r>
        <w:t xml:space="preserve">исполнение файла. В символьном представлении он имеет вид строк rwx, где вместо</w:t>
      </w:r>
      <w:r>
        <w:t xml:space="preserve"> </w:t>
      </w:r>
      <w:r>
        <w:t xml:space="preserve">любого символа может стоять дефис. Всего возможно 8 комбинаций, приведенных в</w:t>
      </w:r>
      <w:r>
        <w:t xml:space="preserve"> </w:t>
      </w:r>
      <w:r>
        <w:t xml:space="preserve">таблице 10.1. Буква означает наличие права (установлен в единицу второй бит триады</w:t>
      </w:r>
      <w:r>
        <w:t xml:space="preserve"> </w:t>
      </w:r>
      <w:r>
        <w:t xml:space="preserve">r — чтение, первый бит w — запись, нулевой бит х — исполнение), а дефис означает</w:t>
      </w:r>
      <w:r>
        <w:t xml:space="preserve"> </w:t>
      </w:r>
      <w:r>
        <w:t xml:space="preserve">отсутствие права (нулевое значение соответствующего бита).</w:t>
      </w:r>
      <w:r>
        <w:t xml:space="preserve"> </w:t>
      </w:r>
      <w:r>
        <w:t xml:space="preserve">Также права доступа могут быть представлены как восьмеричное число.</w:t>
      </w:r>
      <w:r>
        <w:t xml:space="preserve"> </w:t>
      </w:r>
      <w:r>
        <w:t xml:space="preserve">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818243"/>
            <wp:effectExtent b="0" l="0" r="0" t="0"/>
            <wp:docPr descr="Figure 1: Программа lab10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lab10-1.asm</w:t>
      </w:r>
    </w:p>
    <w:bookmarkEnd w:id="0"/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021991"/>
            <wp:effectExtent b="0" l="0" r="0" t="0"/>
            <wp:docPr descr="Figure 2: Запуск программы lab10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820615"/>
            <wp:effectExtent b="0" l="0" r="0" t="0"/>
            <wp:docPr descr="Figure 3: файл без возможности запуск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 без возможности запуска</w:t>
      </w:r>
    </w:p>
    <w:bookmarkEnd w:id="0"/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376610"/>
            <wp:effectExtent b="0" l="0" r="0" t="0"/>
            <wp:docPr descr="Figure 4: файл asm с разрешением на выполнение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9:</w:t>
      </w:r>
      <w:r>
        <w:t xml:space="preserve"> </w:t>
      </w:r>
      <w:r>
        <w:rPr>
          <w:rStyle w:val="VerbatimChar"/>
        </w:rPr>
        <w:t xml:space="preserve">--x -w-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001 011 101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804698"/>
            <wp:effectExtent b="0" l="0" r="0" t="0"/>
            <wp:docPr descr="Figure 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установка прав</w:t>
      </w:r>
    </w:p>
    <w:bookmarkEnd w:id="0"/>
    <w:bookmarkStart w:id="5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168766" cy="7401827"/>
            <wp:effectExtent b="0" l="0" r="0" t="0"/>
            <wp:docPr descr="Figure 6: Программа lab10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740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040955"/>
            <wp:effectExtent b="0" l="0" r="0" t="0"/>
            <wp:docPr descr="Figure 7: Запуск программы lab10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Норбутаев Фазлиддин Хусейнович</dc:creator>
  <dc:language>ru-RU</dc:language>
  <cp:keywords/>
  <dcterms:created xsi:type="dcterms:W3CDTF">2024-02-21T17:44:29Z</dcterms:created>
  <dcterms:modified xsi:type="dcterms:W3CDTF">2024-02-21T17:44:29Z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