
<file path=[Content_Types].xml><?xml version="1.0" encoding="utf-8"?>
<Types xmlns="http://schemas.openxmlformats.org/package/2006/content-types">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4AABC6" w14:textId="3C458682" w:rsidR="00AC71A8" w:rsidRPr="00AC71A8" w:rsidRDefault="00AC71A8" w:rsidP="00AC71A8">
      <w:pPr>
        <w:spacing w:after="0" w:line="240" w:lineRule="auto"/>
        <w:rPr>
          <w:rFonts w:cstheme="minorHAnsi"/>
          <w:sz w:val="24"/>
          <w:szCs w:val="24"/>
        </w:rPr>
      </w:pPr>
      <w:proofErr w:type="spellStart"/>
      <w:r w:rsidRPr="00AC71A8">
        <w:rPr>
          <w:rFonts w:cstheme="minorHAnsi"/>
          <w:sz w:val="24"/>
          <w:szCs w:val="24"/>
        </w:rPr>
        <w:t>Flomo</w:t>
      </w:r>
      <w:proofErr w:type="spellEnd"/>
      <w:r w:rsidRPr="00AC71A8">
        <w:rPr>
          <w:rFonts w:cstheme="minorHAnsi"/>
          <w:sz w:val="24"/>
          <w:szCs w:val="24"/>
        </w:rPr>
        <w:t xml:space="preserve"> </w:t>
      </w:r>
      <w:proofErr w:type="spellStart"/>
      <w:r w:rsidRPr="00AC71A8">
        <w:rPr>
          <w:rFonts w:cstheme="minorHAnsi"/>
          <w:sz w:val="24"/>
          <w:szCs w:val="24"/>
        </w:rPr>
        <w:t>Kokro</w:t>
      </w:r>
      <w:proofErr w:type="spellEnd"/>
    </w:p>
    <w:p w14:paraId="5245F4D4" w14:textId="3FE16F68" w:rsidR="00AC71A8" w:rsidRPr="00AC71A8" w:rsidRDefault="00AC71A8" w:rsidP="00AC71A8">
      <w:pPr>
        <w:spacing w:after="0" w:line="240" w:lineRule="auto"/>
        <w:rPr>
          <w:rFonts w:cstheme="minorHAnsi"/>
          <w:sz w:val="24"/>
          <w:szCs w:val="24"/>
        </w:rPr>
      </w:pPr>
      <w:r w:rsidRPr="00AC71A8">
        <w:rPr>
          <w:rFonts w:cstheme="minorHAnsi"/>
          <w:sz w:val="24"/>
          <w:szCs w:val="24"/>
        </w:rPr>
        <w:t>Rutgers Coding Boot Camp</w:t>
      </w:r>
    </w:p>
    <w:p w14:paraId="467BB043" w14:textId="0F0B4B2F" w:rsidR="00AC71A8" w:rsidRDefault="00AC71A8" w:rsidP="00AC71A8">
      <w:pPr>
        <w:spacing w:after="0" w:line="240" w:lineRule="auto"/>
        <w:rPr>
          <w:rFonts w:cstheme="minorHAnsi"/>
          <w:sz w:val="24"/>
          <w:szCs w:val="24"/>
        </w:rPr>
      </w:pPr>
      <w:r w:rsidRPr="00AC71A8">
        <w:rPr>
          <w:rFonts w:cstheme="minorHAnsi"/>
          <w:sz w:val="24"/>
          <w:szCs w:val="24"/>
        </w:rPr>
        <w:t>Excel Challenge</w:t>
      </w:r>
    </w:p>
    <w:p w14:paraId="3F4FFE73" w14:textId="0235D16D" w:rsidR="00AC71A8" w:rsidRDefault="00AC71A8" w:rsidP="00AC71A8">
      <w:pPr>
        <w:spacing w:after="0" w:line="240" w:lineRule="auto"/>
        <w:rPr>
          <w:rFonts w:cstheme="minorHAnsi"/>
          <w:sz w:val="24"/>
          <w:szCs w:val="24"/>
        </w:rPr>
      </w:pPr>
      <w:r>
        <w:rPr>
          <w:rFonts w:cstheme="minorHAnsi"/>
          <w:sz w:val="24"/>
          <w:szCs w:val="24"/>
        </w:rPr>
        <w:t>November 16, 2019</w:t>
      </w:r>
    </w:p>
    <w:p w14:paraId="65B00056" w14:textId="2C09D6DC" w:rsidR="00AC71A8" w:rsidRDefault="00AC71A8" w:rsidP="00AC71A8">
      <w:pPr>
        <w:spacing w:after="0" w:line="240" w:lineRule="auto"/>
        <w:rPr>
          <w:rFonts w:cstheme="minorHAnsi"/>
          <w:sz w:val="24"/>
          <w:szCs w:val="24"/>
        </w:rPr>
      </w:pPr>
    </w:p>
    <w:p w14:paraId="10848AD2" w14:textId="77777777" w:rsidR="00AC71A8" w:rsidRPr="00AC71A8" w:rsidRDefault="00AC71A8" w:rsidP="00AC71A8">
      <w:pPr>
        <w:spacing w:after="0" w:line="240" w:lineRule="auto"/>
        <w:rPr>
          <w:rFonts w:cstheme="minorHAnsi"/>
          <w:sz w:val="24"/>
          <w:szCs w:val="24"/>
        </w:rPr>
      </w:pPr>
    </w:p>
    <w:p w14:paraId="43ACA8AA" w14:textId="225DD5B8" w:rsidR="00AC71A8" w:rsidRDefault="00AC71A8"/>
    <w:p w14:paraId="7FBCF095" w14:textId="18C6868A" w:rsidR="00AC71A8" w:rsidRDefault="00AC71A8" w:rsidP="00AC71A8">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AC71A8">
        <w:rPr>
          <w:rFonts w:ascii="Segoe UI" w:eastAsia="Times New Roman" w:hAnsi="Segoe UI" w:cs="Segoe UI"/>
          <w:color w:val="24292E"/>
          <w:sz w:val="24"/>
          <w:szCs w:val="24"/>
        </w:rPr>
        <w:t>Given the provided data, what are three conclusions we can draw about Kickstarter campaigns?</w:t>
      </w:r>
    </w:p>
    <w:p w14:paraId="1CEA83F8" w14:textId="77777777" w:rsidR="007976AA" w:rsidRDefault="00AC71A8" w:rsidP="00AC71A8">
      <w:pPr>
        <w:shd w:val="clear" w:color="auto" w:fill="FFFFFF"/>
        <w:spacing w:before="100" w:beforeAutospacing="1"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Solution: </w:t>
      </w:r>
    </w:p>
    <w:p w14:paraId="3988C13E" w14:textId="5BC28225" w:rsidR="000D4CDC" w:rsidRDefault="00AC71A8" w:rsidP="00FA0C6D">
      <w:pPr>
        <w:shd w:val="clear" w:color="auto" w:fill="FFFFFF"/>
        <w:spacing w:before="100" w:beforeAutospacing="1" w:after="100" w:afterAutospacing="1" w:line="240" w:lineRule="auto"/>
        <w:ind w:left="720" w:firstLine="720"/>
        <w:rPr>
          <w:rFonts w:ascii="Segoe UI" w:eastAsia="Times New Roman" w:hAnsi="Segoe UI" w:cs="Segoe UI"/>
          <w:color w:val="24292E"/>
          <w:sz w:val="24"/>
          <w:szCs w:val="24"/>
        </w:rPr>
      </w:pPr>
      <w:r>
        <w:rPr>
          <w:rFonts w:ascii="Segoe UI" w:eastAsia="Times New Roman" w:hAnsi="Segoe UI" w:cs="Segoe UI"/>
          <w:color w:val="24292E"/>
          <w:sz w:val="24"/>
          <w:szCs w:val="24"/>
        </w:rPr>
        <w:t>The first conclusion we can draw given the data tables and visualization</w:t>
      </w:r>
      <w:r w:rsidR="000D4CDC">
        <w:rPr>
          <w:rFonts w:ascii="Segoe UI" w:eastAsia="Times New Roman" w:hAnsi="Segoe UI" w:cs="Segoe UI"/>
          <w:color w:val="24292E"/>
          <w:sz w:val="24"/>
          <w:szCs w:val="24"/>
        </w:rPr>
        <w:t>s</w:t>
      </w:r>
      <w:r>
        <w:rPr>
          <w:rFonts w:ascii="Segoe UI" w:eastAsia="Times New Roman" w:hAnsi="Segoe UI" w:cs="Segoe UI"/>
          <w:color w:val="24292E"/>
          <w:sz w:val="24"/>
          <w:szCs w:val="24"/>
        </w:rPr>
        <w:t xml:space="preserve"> is that campaigns with lower financial goals tend to be more successful. Goals less than 1000 had a success rate of 70%. The trend show</w:t>
      </w:r>
      <w:r w:rsidR="007976AA">
        <w:rPr>
          <w:rFonts w:ascii="Segoe UI" w:eastAsia="Times New Roman" w:hAnsi="Segoe UI" w:cs="Segoe UI"/>
          <w:color w:val="24292E"/>
          <w:sz w:val="24"/>
          <w:szCs w:val="24"/>
        </w:rPr>
        <w:t>s</w:t>
      </w:r>
      <w:r>
        <w:rPr>
          <w:rFonts w:ascii="Segoe UI" w:eastAsia="Times New Roman" w:hAnsi="Segoe UI" w:cs="Segoe UI"/>
          <w:color w:val="24292E"/>
          <w:sz w:val="24"/>
          <w:szCs w:val="24"/>
        </w:rPr>
        <w:t xml:space="preserve"> that the success rate decreases as the financial goal increases. Also, campaigns with lower financial goals were less likely to fail or be canceled. </w:t>
      </w:r>
    </w:p>
    <w:p w14:paraId="5007BE9A" w14:textId="11CD064A" w:rsidR="000D4CDC" w:rsidRDefault="000D4CDC" w:rsidP="00FA0C6D">
      <w:pPr>
        <w:shd w:val="clear" w:color="auto" w:fill="FFFFFF"/>
        <w:spacing w:before="100" w:beforeAutospacing="1" w:after="100" w:afterAutospacing="1" w:line="240" w:lineRule="auto"/>
        <w:ind w:left="720" w:firstLine="720"/>
        <w:rPr>
          <w:rFonts w:ascii="Segoe UI" w:eastAsia="Times New Roman" w:hAnsi="Segoe UI" w:cs="Segoe UI"/>
          <w:color w:val="24292E"/>
          <w:sz w:val="24"/>
          <w:szCs w:val="24"/>
        </w:rPr>
      </w:pPr>
      <w:r>
        <w:rPr>
          <w:noProof/>
        </w:rPr>
        <w:drawing>
          <wp:inline distT="0" distB="0" distL="0" distR="0" wp14:anchorId="0176FF42" wp14:editId="4AB4BACF">
            <wp:extent cx="5052060" cy="2392680"/>
            <wp:effectExtent l="0" t="0" r="15240" b="7620"/>
            <wp:docPr id="1" name="Chart 1">
              <a:extLst xmlns:a="http://schemas.openxmlformats.org/drawingml/2006/main">
                <a:ext uri="{FF2B5EF4-FFF2-40B4-BE49-F238E27FC236}">
                  <a16:creationId xmlns:a16="http://schemas.microsoft.com/office/drawing/2014/main" id="{990CB396-5B47-4F40-8FD9-23023BA1EF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5A0A649B" w14:textId="77777777" w:rsidR="000D4CDC" w:rsidRDefault="000D4CDC" w:rsidP="00FA0C6D">
      <w:pPr>
        <w:shd w:val="clear" w:color="auto" w:fill="FFFFFF"/>
        <w:spacing w:before="100" w:beforeAutospacing="1" w:after="100" w:afterAutospacing="1" w:line="240" w:lineRule="auto"/>
        <w:ind w:left="720" w:firstLine="720"/>
        <w:rPr>
          <w:rFonts w:ascii="Segoe UI" w:eastAsia="Times New Roman" w:hAnsi="Segoe UI" w:cs="Segoe UI"/>
          <w:color w:val="24292E"/>
          <w:sz w:val="24"/>
          <w:szCs w:val="24"/>
        </w:rPr>
      </w:pPr>
    </w:p>
    <w:p w14:paraId="1F128AB0" w14:textId="77777777" w:rsidR="0079424B" w:rsidRDefault="00AC71A8" w:rsidP="00FA0C6D">
      <w:pPr>
        <w:shd w:val="clear" w:color="auto" w:fill="FFFFFF"/>
        <w:spacing w:before="100" w:beforeAutospacing="1" w:after="100" w:afterAutospacing="1" w:line="240" w:lineRule="auto"/>
        <w:ind w:left="720" w:firstLine="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second conclusion we can draw from this data is that </w:t>
      </w:r>
      <w:r w:rsidR="007976AA">
        <w:rPr>
          <w:rFonts w:ascii="Segoe UI" w:eastAsia="Times New Roman" w:hAnsi="Segoe UI" w:cs="Segoe UI"/>
          <w:color w:val="24292E"/>
          <w:sz w:val="24"/>
          <w:szCs w:val="24"/>
        </w:rPr>
        <w:t xml:space="preserve">although </w:t>
      </w:r>
      <w:r>
        <w:rPr>
          <w:rFonts w:ascii="Segoe UI" w:eastAsia="Times New Roman" w:hAnsi="Segoe UI" w:cs="Segoe UI"/>
          <w:color w:val="24292E"/>
          <w:sz w:val="24"/>
          <w:szCs w:val="24"/>
        </w:rPr>
        <w:t xml:space="preserve">campaigns that involved </w:t>
      </w:r>
      <w:r w:rsidR="007976AA">
        <w:rPr>
          <w:rFonts w:ascii="Segoe UI" w:eastAsia="Times New Roman" w:hAnsi="Segoe UI" w:cs="Segoe UI"/>
          <w:color w:val="24292E"/>
          <w:sz w:val="24"/>
          <w:szCs w:val="24"/>
        </w:rPr>
        <w:t>theater</w:t>
      </w:r>
      <w:r>
        <w:rPr>
          <w:rFonts w:ascii="Segoe UI" w:eastAsia="Times New Roman" w:hAnsi="Segoe UI" w:cs="Segoe UI"/>
          <w:color w:val="24292E"/>
          <w:sz w:val="24"/>
          <w:szCs w:val="24"/>
        </w:rPr>
        <w:t xml:space="preserve"> were </w:t>
      </w:r>
      <w:r w:rsidR="007976AA">
        <w:rPr>
          <w:rFonts w:ascii="Segoe UI" w:eastAsia="Times New Roman" w:hAnsi="Segoe UI" w:cs="Segoe UI"/>
          <w:color w:val="24292E"/>
          <w:sz w:val="24"/>
          <w:szCs w:val="24"/>
        </w:rPr>
        <w:t xml:space="preserve">the most popular with a success rate of 60%, the most successful category of campaign is music, with a success rate of 71%. </w:t>
      </w:r>
    </w:p>
    <w:p w14:paraId="55B579F3" w14:textId="77777777" w:rsidR="0079424B" w:rsidRDefault="0079424B" w:rsidP="00FA0C6D">
      <w:pPr>
        <w:shd w:val="clear" w:color="auto" w:fill="FFFFFF"/>
        <w:spacing w:before="100" w:beforeAutospacing="1" w:after="100" w:afterAutospacing="1" w:line="240" w:lineRule="auto"/>
        <w:ind w:left="720" w:firstLine="720"/>
        <w:rPr>
          <w:rFonts w:ascii="Segoe UI" w:eastAsia="Times New Roman" w:hAnsi="Segoe UI" w:cs="Segoe UI"/>
          <w:color w:val="24292E"/>
          <w:sz w:val="24"/>
          <w:szCs w:val="24"/>
        </w:rPr>
      </w:pPr>
    </w:p>
    <w:p w14:paraId="57A99389" w14:textId="77777777" w:rsidR="0079424B" w:rsidRDefault="0079424B" w:rsidP="00FA0C6D">
      <w:pPr>
        <w:shd w:val="clear" w:color="auto" w:fill="FFFFFF"/>
        <w:spacing w:before="100" w:beforeAutospacing="1" w:after="100" w:afterAutospacing="1" w:line="240" w:lineRule="auto"/>
        <w:ind w:left="720" w:firstLine="720"/>
        <w:rPr>
          <w:rFonts w:ascii="Segoe UI" w:eastAsia="Times New Roman" w:hAnsi="Segoe UI" w:cs="Segoe UI"/>
          <w:color w:val="24292E"/>
          <w:sz w:val="24"/>
          <w:szCs w:val="24"/>
        </w:rPr>
      </w:pPr>
    </w:p>
    <w:p w14:paraId="20B9F34A" w14:textId="3EB13BA0" w:rsidR="0079424B" w:rsidRDefault="0079424B" w:rsidP="00FA0C6D">
      <w:pPr>
        <w:shd w:val="clear" w:color="auto" w:fill="FFFFFF"/>
        <w:spacing w:before="100" w:beforeAutospacing="1" w:after="100" w:afterAutospacing="1" w:line="240" w:lineRule="auto"/>
        <w:ind w:left="720" w:firstLine="720"/>
        <w:rPr>
          <w:rFonts w:ascii="Segoe UI" w:eastAsia="Times New Roman" w:hAnsi="Segoe UI" w:cs="Segoe UI"/>
          <w:color w:val="24292E"/>
          <w:sz w:val="24"/>
          <w:szCs w:val="24"/>
        </w:rPr>
      </w:pPr>
      <w:r>
        <w:rPr>
          <w:noProof/>
        </w:rPr>
        <w:lastRenderedPageBreak/>
        <w:drawing>
          <wp:inline distT="0" distB="0" distL="0" distR="0" wp14:anchorId="30493C26" wp14:editId="3A38992F">
            <wp:extent cx="4777740" cy="2103120"/>
            <wp:effectExtent l="0" t="0" r="3810" b="11430"/>
            <wp:docPr id="2" name="Chart 2">
              <a:extLst xmlns:a="http://schemas.openxmlformats.org/drawingml/2006/main">
                <a:ext uri="{FF2B5EF4-FFF2-40B4-BE49-F238E27FC236}">
                  <a16:creationId xmlns:a16="http://schemas.microsoft.com/office/drawing/2014/main" id="{0748F882-4E48-4C47-A204-91DFDCE5E9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62A2C0AD" w14:textId="126F7264" w:rsidR="00AC71A8" w:rsidRDefault="007976AA" w:rsidP="00FA0C6D">
      <w:pPr>
        <w:shd w:val="clear" w:color="auto" w:fill="FFFFFF"/>
        <w:spacing w:before="100" w:beforeAutospacing="1" w:after="100" w:afterAutospacing="1" w:line="240" w:lineRule="auto"/>
        <w:ind w:left="720" w:firstLine="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last conclusion we can draw from the data is June looks to be the best month to launch an event for a campaign. Events occurred more often in June and </w:t>
      </w:r>
      <w:r w:rsidR="00FA0C6D">
        <w:rPr>
          <w:rFonts w:ascii="Segoe UI" w:eastAsia="Times New Roman" w:hAnsi="Segoe UI" w:cs="Segoe UI"/>
          <w:color w:val="24292E"/>
          <w:sz w:val="24"/>
          <w:szCs w:val="24"/>
        </w:rPr>
        <w:t>July;</w:t>
      </w:r>
      <w:r>
        <w:rPr>
          <w:rFonts w:ascii="Segoe UI" w:eastAsia="Times New Roman" w:hAnsi="Segoe UI" w:cs="Segoe UI"/>
          <w:color w:val="24292E"/>
          <w:sz w:val="24"/>
          <w:szCs w:val="24"/>
        </w:rPr>
        <w:t xml:space="preserve"> June has the higher </w:t>
      </w:r>
      <w:r w:rsidR="00FA0C6D">
        <w:rPr>
          <w:rFonts w:ascii="Segoe UI" w:eastAsia="Times New Roman" w:hAnsi="Segoe UI" w:cs="Segoe UI"/>
          <w:color w:val="24292E"/>
          <w:sz w:val="24"/>
          <w:szCs w:val="24"/>
        </w:rPr>
        <w:t>rate of success of the two with 61%.</w:t>
      </w:r>
      <w:r>
        <w:rPr>
          <w:rFonts w:ascii="Segoe UI" w:eastAsia="Times New Roman" w:hAnsi="Segoe UI" w:cs="Segoe UI"/>
          <w:color w:val="24292E"/>
          <w:sz w:val="24"/>
          <w:szCs w:val="24"/>
        </w:rPr>
        <w:t xml:space="preserve"> </w:t>
      </w:r>
    </w:p>
    <w:p w14:paraId="58841BFA" w14:textId="5DE3C3DB" w:rsidR="0079424B" w:rsidRDefault="0079424B" w:rsidP="00FA0C6D">
      <w:pPr>
        <w:shd w:val="clear" w:color="auto" w:fill="FFFFFF"/>
        <w:spacing w:before="100" w:beforeAutospacing="1" w:after="100" w:afterAutospacing="1" w:line="240" w:lineRule="auto"/>
        <w:ind w:left="720" w:firstLine="720"/>
        <w:rPr>
          <w:rFonts w:ascii="Segoe UI" w:eastAsia="Times New Roman" w:hAnsi="Segoe UI" w:cs="Segoe UI"/>
          <w:color w:val="24292E"/>
          <w:sz w:val="24"/>
          <w:szCs w:val="24"/>
        </w:rPr>
      </w:pPr>
      <w:r>
        <w:rPr>
          <w:noProof/>
        </w:rPr>
        <w:drawing>
          <wp:inline distT="0" distB="0" distL="0" distR="0" wp14:anchorId="33277327" wp14:editId="0B051ADA">
            <wp:extent cx="4785360" cy="2316480"/>
            <wp:effectExtent l="0" t="0" r="15240" b="7620"/>
            <wp:docPr id="4" name="Chart 4">
              <a:extLst xmlns:a="http://schemas.openxmlformats.org/drawingml/2006/main">
                <a:ext uri="{FF2B5EF4-FFF2-40B4-BE49-F238E27FC236}">
                  <a16:creationId xmlns:a16="http://schemas.microsoft.com/office/drawing/2014/main" id="{97CD18D3-A219-4318-9FF9-0E5D053E54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05DD9E46" w14:textId="77777777" w:rsidR="0079424B" w:rsidRPr="00AC71A8" w:rsidRDefault="0079424B" w:rsidP="00FA0C6D">
      <w:pPr>
        <w:shd w:val="clear" w:color="auto" w:fill="FFFFFF"/>
        <w:spacing w:before="100" w:beforeAutospacing="1" w:after="100" w:afterAutospacing="1" w:line="240" w:lineRule="auto"/>
        <w:ind w:left="720" w:firstLine="720"/>
        <w:rPr>
          <w:rFonts w:ascii="Segoe UI" w:eastAsia="Times New Roman" w:hAnsi="Segoe UI" w:cs="Segoe UI"/>
          <w:color w:val="24292E"/>
          <w:sz w:val="24"/>
          <w:szCs w:val="24"/>
        </w:rPr>
      </w:pPr>
    </w:p>
    <w:p w14:paraId="0E6676D9" w14:textId="3B1BC33D" w:rsidR="00AC71A8" w:rsidRDefault="00AC71A8" w:rsidP="00AC71A8">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AC71A8">
        <w:rPr>
          <w:rFonts w:ascii="Segoe UI" w:eastAsia="Times New Roman" w:hAnsi="Segoe UI" w:cs="Segoe UI"/>
          <w:color w:val="24292E"/>
          <w:sz w:val="24"/>
          <w:szCs w:val="24"/>
        </w:rPr>
        <w:t>What are some limitations of this dataset?</w:t>
      </w:r>
    </w:p>
    <w:p w14:paraId="331DDA22" w14:textId="683C4340" w:rsidR="0079424B" w:rsidRDefault="0079424B" w:rsidP="0079424B">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Solution: </w:t>
      </w:r>
    </w:p>
    <w:p w14:paraId="6AECEC80" w14:textId="7E7AB73C" w:rsidR="0079424B" w:rsidRDefault="0079424B" w:rsidP="0079424B">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ab/>
        <w:t>Data set is too small to conduct some statistical analysis. All data values were present, which made analysis simple. The main limitation is that the data set is small. These data values were created over an 8-year span. With so little data points it would make it hard to compute some predictive statistics.</w:t>
      </w:r>
    </w:p>
    <w:p w14:paraId="44D46AC3" w14:textId="77777777" w:rsidR="0079424B" w:rsidRPr="00AC71A8" w:rsidRDefault="0079424B" w:rsidP="0079424B">
      <w:pPr>
        <w:shd w:val="clear" w:color="auto" w:fill="FFFFFF"/>
        <w:spacing w:before="60" w:after="100" w:afterAutospacing="1" w:line="240" w:lineRule="auto"/>
        <w:ind w:left="720"/>
        <w:rPr>
          <w:rFonts w:ascii="Segoe UI" w:eastAsia="Times New Roman" w:hAnsi="Segoe UI" w:cs="Segoe UI"/>
          <w:color w:val="24292E"/>
          <w:sz w:val="24"/>
          <w:szCs w:val="24"/>
        </w:rPr>
      </w:pPr>
      <w:bookmarkStart w:id="0" w:name="_GoBack"/>
      <w:bookmarkEnd w:id="0"/>
    </w:p>
    <w:p w14:paraId="0BEA19E8" w14:textId="6FBBF250" w:rsidR="00AC71A8" w:rsidRDefault="00AC71A8" w:rsidP="00AC71A8">
      <w:pPr>
        <w:numPr>
          <w:ilvl w:val="0"/>
          <w:numId w:val="1"/>
        </w:numPr>
        <w:shd w:val="clear" w:color="auto" w:fill="FFFFFF"/>
        <w:spacing w:before="60" w:after="100" w:afterAutospacing="1" w:line="240" w:lineRule="auto"/>
        <w:rPr>
          <w:rFonts w:ascii="Segoe UI" w:eastAsia="Times New Roman" w:hAnsi="Segoe UI" w:cs="Segoe UI"/>
          <w:color w:val="24292E"/>
          <w:sz w:val="24"/>
          <w:szCs w:val="24"/>
        </w:rPr>
      </w:pPr>
      <w:r w:rsidRPr="00AC71A8">
        <w:rPr>
          <w:rFonts w:ascii="Segoe UI" w:eastAsia="Times New Roman" w:hAnsi="Segoe UI" w:cs="Segoe UI"/>
          <w:color w:val="24292E"/>
          <w:sz w:val="24"/>
          <w:szCs w:val="24"/>
        </w:rPr>
        <w:lastRenderedPageBreak/>
        <w:t>What are some other possible tables and/or graphs that we could create?</w:t>
      </w:r>
    </w:p>
    <w:p w14:paraId="184BCFBD" w14:textId="1E98E607" w:rsidR="00FA0C6D" w:rsidRDefault="000D4CDC" w:rsidP="00FA0C6D">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Solution: </w:t>
      </w:r>
    </w:p>
    <w:p w14:paraId="6ABD6206" w14:textId="105E9553" w:rsidR="000D4CDC" w:rsidRPr="00AC71A8" w:rsidRDefault="000D4CDC" w:rsidP="00FA0C6D">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ab/>
        <w:t xml:space="preserve">We could create a chart showing the percent of successful campaigns by month. I used this statistic to support a conclusion in question one. </w:t>
      </w:r>
    </w:p>
    <w:p w14:paraId="04DCC286" w14:textId="77777777" w:rsidR="00AC71A8" w:rsidRDefault="00AC71A8"/>
    <w:sectPr w:rsidR="00AC71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3F3958"/>
    <w:multiLevelType w:val="multilevel"/>
    <w:tmpl w:val="23CC9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1A8"/>
    <w:rsid w:val="000D4CDC"/>
    <w:rsid w:val="0079424B"/>
    <w:rsid w:val="007976AA"/>
    <w:rsid w:val="00AC71A8"/>
    <w:rsid w:val="00FA0C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5A5FE"/>
  <w15:chartTrackingRefBased/>
  <w15:docId w15:val="{33E59376-5355-44FF-A567-DEC1FD4D0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8137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hart" Target="charts/chart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hart" Target="charts/chart2.xml"/><Relationship Id="rId5"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kokr\Desktop\homework\Homework-1\StarterBook_FKokro.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Outcome</a:t>
            </a:r>
            <a:r>
              <a:rPr lang="en-US" baseline="0"/>
              <a:t> Based on Goals</a:t>
            </a:r>
          </a:p>
          <a:p>
            <a:pPr>
              <a:defRPr/>
            </a:pP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8564960629921252E-2"/>
          <c:y val="0.17675925925925923"/>
          <c:w val="0.88087948381452319"/>
          <c:h val="0.38080307669874597"/>
        </c:manualLayout>
      </c:layout>
      <c:lineChart>
        <c:grouping val="standard"/>
        <c:varyColors val="0"/>
        <c:ser>
          <c:idx val="4"/>
          <c:order val="4"/>
          <c:tx>
            <c:strRef>
              <c:f>Bonus!$F$1</c:f>
              <c:strCache>
                <c:ptCount val="1"/>
                <c:pt idx="0">
                  <c:v>Percentage Successful</c:v>
                </c:pt>
              </c:strCache>
            </c:strRef>
          </c:tx>
          <c:spPr>
            <a:ln w="28575" cap="rnd">
              <a:solidFill>
                <a:schemeClr val="accent5"/>
              </a:solidFill>
              <a:round/>
            </a:ln>
            <a:effectLst/>
          </c:spPr>
          <c:marker>
            <c:symbol val="none"/>
          </c:marker>
          <c:cat>
            <c:strRef>
              <c:f>Bonus!$A$2:$A$13</c:f>
              <c:strCache>
                <c:ptCount val="12"/>
                <c:pt idx="0">
                  <c:v>Less than 1000</c:v>
                </c:pt>
                <c:pt idx="1">
                  <c:v>1000 to 4999</c:v>
                </c:pt>
                <c:pt idx="2">
                  <c:v>5000 to 9999</c:v>
                </c:pt>
                <c:pt idx="3">
                  <c:v>10000 to 14999</c:v>
                </c:pt>
                <c:pt idx="4">
                  <c:v>15000 to 19999</c:v>
                </c:pt>
                <c:pt idx="5">
                  <c:v>20000 to 24999</c:v>
                </c:pt>
                <c:pt idx="6">
                  <c:v>25000 to 29999</c:v>
                </c:pt>
                <c:pt idx="7">
                  <c:v>30000 to 34999</c:v>
                </c:pt>
                <c:pt idx="8">
                  <c:v>35000 to 39999</c:v>
                </c:pt>
                <c:pt idx="9">
                  <c:v>40000 to 44999</c:v>
                </c:pt>
                <c:pt idx="10">
                  <c:v>45000 to 49999</c:v>
                </c:pt>
                <c:pt idx="11">
                  <c:v>Greater than or equal to 50000</c:v>
                </c:pt>
              </c:strCache>
            </c:strRef>
          </c:cat>
          <c:val>
            <c:numRef>
              <c:f>Bonus!$F$2:$F$13</c:f>
              <c:numCache>
                <c:formatCode>0%</c:formatCode>
                <c:ptCount val="12"/>
                <c:pt idx="0">
                  <c:v>0.71081677704194257</c:v>
                </c:pt>
                <c:pt idx="1">
                  <c:v>0.66005665722379603</c:v>
                </c:pt>
                <c:pt idx="2">
                  <c:v>0.53212290502793291</c:v>
                </c:pt>
                <c:pt idx="3">
                  <c:v>0.47727272727272729</c:v>
                </c:pt>
                <c:pt idx="4">
                  <c:v>0.46766169154228854</c:v>
                </c:pt>
                <c:pt idx="5">
                  <c:v>0.41891891891891891</c:v>
                </c:pt>
                <c:pt idx="6">
                  <c:v>0.40145985401459855</c:v>
                </c:pt>
                <c:pt idx="7">
                  <c:v>0.3902439024390244</c:v>
                </c:pt>
                <c:pt idx="8">
                  <c:v>0.47272727272727272</c:v>
                </c:pt>
                <c:pt idx="9">
                  <c:v>0.48837209302325579</c:v>
                </c:pt>
                <c:pt idx="10">
                  <c:v>0.2857142857142857</c:v>
                </c:pt>
                <c:pt idx="11">
                  <c:v>0.19369369369369369</c:v>
                </c:pt>
              </c:numCache>
            </c:numRef>
          </c:val>
          <c:smooth val="0"/>
          <c:extLst>
            <c:ext xmlns:c16="http://schemas.microsoft.com/office/drawing/2014/chart" uri="{C3380CC4-5D6E-409C-BE32-E72D297353CC}">
              <c16:uniqueId val="{00000000-B88F-48D0-8BC5-7192939CCBF7}"/>
            </c:ext>
          </c:extLst>
        </c:ser>
        <c:ser>
          <c:idx val="5"/>
          <c:order val="5"/>
          <c:tx>
            <c:strRef>
              <c:f>Bonus!$G$1</c:f>
              <c:strCache>
                <c:ptCount val="1"/>
                <c:pt idx="0">
                  <c:v>Percentage Failed</c:v>
                </c:pt>
              </c:strCache>
            </c:strRef>
          </c:tx>
          <c:spPr>
            <a:ln w="28575" cap="rnd">
              <a:solidFill>
                <a:schemeClr val="accent2"/>
              </a:solidFill>
              <a:round/>
            </a:ln>
            <a:effectLst/>
          </c:spPr>
          <c:marker>
            <c:symbol val="none"/>
          </c:marker>
          <c:cat>
            <c:strRef>
              <c:f>Bonus!$A$2:$A$13</c:f>
              <c:strCache>
                <c:ptCount val="12"/>
                <c:pt idx="0">
                  <c:v>Less than 1000</c:v>
                </c:pt>
                <c:pt idx="1">
                  <c:v>1000 to 4999</c:v>
                </c:pt>
                <c:pt idx="2">
                  <c:v>5000 to 9999</c:v>
                </c:pt>
                <c:pt idx="3">
                  <c:v>10000 to 14999</c:v>
                </c:pt>
                <c:pt idx="4">
                  <c:v>15000 to 19999</c:v>
                </c:pt>
                <c:pt idx="5">
                  <c:v>20000 to 24999</c:v>
                </c:pt>
                <c:pt idx="6">
                  <c:v>25000 to 29999</c:v>
                </c:pt>
                <c:pt idx="7">
                  <c:v>30000 to 34999</c:v>
                </c:pt>
                <c:pt idx="8">
                  <c:v>35000 to 39999</c:v>
                </c:pt>
                <c:pt idx="9">
                  <c:v>40000 to 44999</c:v>
                </c:pt>
                <c:pt idx="10">
                  <c:v>45000 to 49999</c:v>
                </c:pt>
                <c:pt idx="11">
                  <c:v>Greater than or equal to 50000</c:v>
                </c:pt>
              </c:strCache>
            </c:strRef>
          </c:cat>
          <c:val>
            <c:numRef>
              <c:f>Bonus!$G$2:$G$13</c:f>
              <c:numCache>
                <c:formatCode>0%</c:formatCode>
                <c:ptCount val="12"/>
                <c:pt idx="0">
                  <c:v>0.24944812362030905</c:v>
                </c:pt>
                <c:pt idx="1">
                  <c:v>0.29745042492917845</c:v>
                </c:pt>
                <c:pt idx="2">
                  <c:v>0.39525139664804471</c:v>
                </c:pt>
                <c:pt idx="3">
                  <c:v>0.40909090909090912</c:v>
                </c:pt>
                <c:pt idx="4">
                  <c:v>0.44776119402985076</c:v>
                </c:pt>
                <c:pt idx="5">
                  <c:v>0.48648648648648651</c:v>
                </c:pt>
                <c:pt idx="6">
                  <c:v>0.46715328467153283</c:v>
                </c:pt>
                <c:pt idx="7">
                  <c:v>0.45121951219512196</c:v>
                </c:pt>
                <c:pt idx="8">
                  <c:v>0.4</c:v>
                </c:pt>
                <c:pt idx="9">
                  <c:v>0.37209302325581395</c:v>
                </c:pt>
                <c:pt idx="10">
                  <c:v>0.52380952380952384</c:v>
                </c:pt>
                <c:pt idx="11">
                  <c:v>0.58108108108108103</c:v>
                </c:pt>
              </c:numCache>
            </c:numRef>
          </c:val>
          <c:smooth val="0"/>
          <c:extLst>
            <c:ext xmlns:c16="http://schemas.microsoft.com/office/drawing/2014/chart" uri="{C3380CC4-5D6E-409C-BE32-E72D297353CC}">
              <c16:uniqueId val="{00000001-B88F-48D0-8BC5-7192939CCBF7}"/>
            </c:ext>
          </c:extLst>
        </c:ser>
        <c:ser>
          <c:idx val="6"/>
          <c:order val="6"/>
          <c:tx>
            <c:strRef>
              <c:f>Bonus!$H$1</c:f>
              <c:strCache>
                <c:ptCount val="1"/>
                <c:pt idx="0">
                  <c:v>Percentage Canceled</c:v>
                </c:pt>
              </c:strCache>
            </c:strRef>
          </c:tx>
          <c:spPr>
            <a:ln w="28575" cap="rnd">
              <a:solidFill>
                <a:schemeClr val="bg1">
                  <a:lumMod val="65000"/>
                </a:schemeClr>
              </a:solidFill>
              <a:round/>
            </a:ln>
            <a:effectLst/>
          </c:spPr>
          <c:marker>
            <c:symbol val="none"/>
          </c:marker>
          <c:cat>
            <c:strRef>
              <c:f>Bonus!$A$2:$A$13</c:f>
              <c:strCache>
                <c:ptCount val="12"/>
                <c:pt idx="0">
                  <c:v>Less than 1000</c:v>
                </c:pt>
                <c:pt idx="1">
                  <c:v>1000 to 4999</c:v>
                </c:pt>
                <c:pt idx="2">
                  <c:v>5000 to 9999</c:v>
                </c:pt>
                <c:pt idx="3">
                  <c:v>10000 to 14999</c:v>
                </c:pt>
                <c:pt idx="4">
                  <c:v>15000 to 19999</c:v>
                </c:pt>
                <c:pt idx="5">
                  <c:v>20000 to 24999</c:v>
                </c:pt>
                <c:pt idx="6">
                  <c:v>25000 to 29999</c:v>
                </c:pt>
                <c:pt idx="7">
                  <c:v>30000 to 34999</c:v>
                </c:pt>
                <c:pt idx="8">
                  <c:v>35000 to 39999</c:v>
                </c:pt>
                <c:pt idx="9">
                  <c:v>40000 to 44999</c:v>
                </c:pt>
                <c:pt idx="10">
                  <c:v>45000 to 49999</c:v>
                </c:pt>
                <c:pt idx="11">
                  <c:v>Greater than or equal to 50000</c:v>
                </c:pt>
              </c:strCache>
            </c:strRef>
          </c:cat>
          <c:val>
            <c:numRef>
              <c:f>Bonus!$H$2:$H$13</c:f>
              <c:numCache>
                <c:formatCode>0%</c:formatCode>
                <c:ptCount val="12"/>
                <c:pt idx="0">
                  <c:v>3.9735099337748346E-2</c:v>
                </c:pt>
                <c:pt idx="1">
                  <c:v>4.2492917847025496E-2</c:v>
                </c:pt>
                <c:pt idx="2">
                  <c:v>7.2625698324022353E-2</c:v>
                </c:pt>
                <c:pt idx="3">
                  <c:v>0.11363636363636363</c:v>
                </c:pt>
                <c:pt idx="4">
                  <c:v>8.45771144278607E-2</c:v>
                </c:pt>
                <c:pt idx="5">
                  <c:v>9.45945945945946E-2</c:v>
                </c:pt>
                <c:pt idx="6">
                  <c:v>0.13138686131386862</c:v>
                </c:pt>
                <c:pt idx="7">
                  <c:v>0.15853658536585366</c:v>
                </c:pt>
                <c:pt idx="8">
                  <c:v>0.12727272727272726</c:v>
                </c:pt>
                <c:pt idx="9">
                  <c:v>0.13953488372093023</c:v>
                </c:pt>
                <c:pt idx="10">
                  <c:v>0.19047619047619047</c:v>
                </c:pt>
                <c:pt idx="11">
                  <c:v>0.22522522522522523</c:v>
                </c:pt>
              </c:numCache>
            </c:numRef>
          </c:val>
          <c:smooth val="0"/>
          <c:extLst>
            <c:ext xmlns:c16="http://schemas.microsoft.com/office/drawing/2014/chart" uri="{C3380CC4-5D6E-409C-BE32-E72D297353CC}">
              <c16:uniqueId val="{00000002-B88F-48D0-8BC5-7192939CCBF7}"/>
            </c:ext>
          </c:extLst>
        </c:ser>
        <c:dLbls>
          <c:showLegendKey val="0"/>
          <c:showVal val="0"/>
          <c:showCatName val="0"/>
          <c:showSerName val="0"/>
          <c:showPercent val="0"/>
          <c:showBubbleSize val="0"/>
        </c:dLbls>
        <c:smooth val="0"/>
        <c:axId val="603737552"/>
        <c:axId val="603733712"/>
        <c:extLst>
          <c:ext xmlns:c15="http://schemas.microsoft.com/office/drawing/2012/chart" uri="{02D57815-91ED-43cb-92C2-25804820EDAC}">
            <c15:filteredLineSeries>
              <c15:ser>
                <c:idx val="0"/>
                <c:order val="0"/>
                <c:tx>
                  <c:strRef>
                    <c:extLst>
                      <c:ext uri="{02D57815-91ED-43cb-92C2-25804820EDAC}">
                        <c15:formulaRef>
                          <c15:sqref>Bonus!$B$1</c15:sqref>
                        </c15:formulaRef>
                      </c:ext>
                    </c:extLst>
                    <c:strCache>
                      <c:ptCount val="1"/>
                      <c:pt idx="0">
                        <c:v>Number Successful</c:v>
                      </c:pt>
                    </c:strCache>
                  </c:strRef>
                </c:tx>
                <c:spPr>
                  <a:ln w="28575" cap="rnd">
                    <a:solidFill>
                      <a:schemeClr val="accent1"/>
                    </a:solidFill>
                    <a:round/>
                  </a:ln>
                  <a:effectLst/>
                </c:spPr>
                <c:marker>
                  <c:symbol val="none"/>
                </c:marker>
                <c:cat>
                  <c:strRef>
                    <c:extLst>
                      <c:ext uri="{02D57815-91ED-43cb-92C2-25804820EDAC}">
                        <c15:formulaRef>
                          <c15:sqref>Bonus!$A$2:$A$13</c15:sqref>
                        </c15:formulaRef>
                      </c:ext>
                    </c:extLst>
                    <c:strCache>
                      <c:ptCount val="12"/>
                      <c:pt idx="0">
                        <c:v>Less than 1000</c:v>
                      </c:pt>
                      <c:pt idx="1">
                        <c:v>1000 to 4999</c:v>
                      </c:pt>
                      <c:pt idx="2">
                        <c:v>5000 to 9999</c:v>
                      </c:pt>
                      <c:pt idx="3">
                        <c:v>10000 to 14999</c:v>
                      </c:pt>
                      <c:pt idx="4">
                        <c:v>15000 to 19999</c:v>
                      </c:pt>
                      <c:pt idx="5">
                        <c:v>20000 to 24999</c:v>
                      </c:pt>
                      <c:pt idx="6">
                        <c:v>25000 to 29999</c:v>
                      </c:pt>
                      <c:pt idx="7">
                        <c:v>30000 to 34999</c:v>
                      </c:pt>
                      <c:pt idx="8">
                        <c:v>35000 to 39999</c:v>
                      </c:pt>
                      <c:pt idx="9">
                        <c:v>40000 to 44999</c:v>
                      </c:pt>
                      <c:pt idx="10">
                        <c:v>45000 to 49999</c:v>
                      </c:pt>
                      <c:pt idx="11">
                        <c:v>Greater than or equal to 50000</c:v>
                      </c:pt>
                    </c:strCache>
                  </c:strRef>
                </c:cat>
                <c:val>
                  <c:numRef>
                    <c:extLst>
                      <c:ext uri="{02D57815-91ED-43cb-92C2-25804820EDAC}">
                        <c15:formulaRef>
                          <c15:sqref>Bonus!$B$2:$B$13</c15:sqref>
                        </c15:formulaRef>
                      </c:ext>
                    </c:extLst>
                    <c:numCache>
                      <c:formatCode>General</c:formatCode>
                      <c:ptCount val="12"/>
                      <c:pt idx="0">
                        <c:v>322</c:v>
                      </c:pt>
                      <c:pt idx="1">
                        <c:v>932</c:v>
                      </c:pt>
                      <c:pt idx="2">
                        <c:v>381</c:v>
                      </c:pt>
                      <c:pt idx="3">
                        <c:v>168</c:v>
                      </c:pt>
                      <c:pt idx="4">
                        <c:v>94</c:v>
                      </c:pt>
                      <c:pt idx="5">
                        <c:v>62</c:v>
                      </c:pt>
                      <c:pt idx="6">
                        <c:v>55</c:v>
                      </c:pt>
                      <c:pt idx="7">
                        <c:v>32</c:v>
                      </c:pt>
                      <c:pt idx="8">
                        <c:v>26</c:v>
                      </c:pt>
                      <c:pt idx="9">
                        <c:v>21</c:v>
                      </c:pt>
                      <c:pt idx="10">
                        <c:v>6</c:v>
                      </c:pt>
                      <c:pt idx="11">
                        <c:v>86</c:v>
                      </c:pt>
                    </c:numCache>
                  </c:numRef>
                </c:val>
                <c:smooth val="0"/>
                <c:extLst>
                  <c:ext xmlns:c16="http://schemas.microsoft.com/office/drawing/2014/chart" uri="{C3380CC4-5D6E-409C-BE32-E72D297353CC}">
                    <c16:uniqueId val="{00000003-B88F-48D0-8BC5-7192939CCBF7}"/>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Bonus!$C$1</c15:sqref>
                        </c15:formulaRef>
                      </c:ext>
                    </c:extLst>
                    <c:strCache>
                      <c:ptCount val="1"/>
                      <c:pt idx="0">
                        <c:v>Number Failed</c:v>
                      </c:pt>
                    </c:strCache>
                  </c:strRef>
                </c:tx>
                <c:spPr>
                  <a:ln w="28575" cap="rnd">
                    <a:solidFill>
                      <a:schemeClr val="accent2"/>
                    </a:solidFill>
                    <a:round/>
                  </a:ln>
                  <a:effectLst/>
                </c:spPr>
                <c:marker>
                  <c:symbol val="none"/>
                </c:marker>
                <c:cat>
                  <c:strRef>
                    <c:extLst xmlns:c15="http://schemas.microsoft.com/office/drawing/2012/chart">
                      <c:ext xmlns:c15="http://schemas.microsoft.com/office/drawing/2012/chart" uri="{02D57815-91ED-43cb-92C2-25804820EDAC}">
                        <c15:formulaRef>
                          <c15:sqref>Bonus!$A$2:$A$13</c15:sqref>
                        </c15:formulaRef>
                      </c:ext>
                    </c:extLst>
                    <c:strCache>
                      <c:ptCount val="12"/>
                      <c:pt idx="0">
                        <c:v>Less than 1000</c:v>
                      </c:pt>
                      <c:pt idx="1">
                        <c:v>1000 to 4999</c:v>
                      </c:pt>
                      <c:pt idx="2">
                        <c:v>5000 to 9999</c:v>
                      </c:pt>
                      <c:pt idx="3">
                        <c:v>10000 to 14999</c:v>
                      </c:pt>
                      <c:pt idx="4">
                        <c:v>15000 to 19999</c:v>
                      </c:pt>
                      <c:pt idx="5">
                        <c:v>20000 to 24999</c:v>
                      </c:pt>
                      <c:pt idx="6">
                        <c:v>25000 to 29999</c:v>
                      </c:pt>
                      <c:pt idx="7">
                        <c:v>30000 to 34999</c:v>
                      </c:pt>
                      <c:pt idx="8">
                        <c:v>35000 to 39999</c:v>
                      </c:pt>
                      <c:pt idx="9">
                        <c:v>40000 to 44999</c:v>
                      </c:pt>
                      <c:pt idx="10">
                        <c:v>45000 to 49999</c:v>
                      </c:pt>
                      <c:pt idx="11">
                        <c:v>Greater than or equal to 50000</c:v>
                      </c:pt>
                    </c:strCache>
                  </c:strRef>
                </c:cat>
                <c:val>
                  <c:numRef>
                    <c:extLst xmlns:c15="http://schemas.microsoft.com/office/drawing/2012/chart">
                      <c:ext xmlns:c15="http://schemas.microsoft.com/office/drawing/2012/chart" uri="{02D57815-91ED-43cb-92C2-25804820EDAC}">
                        <c15:formulaRef>
                          <c15:sqref>Bonus!$C$2:$C$13</c15:sqref>
                        </c15:formulaRef>
                      </c:ext>
                    </c:extLst>
                    <c:numCache>
                      <c:formatCode>General</c:formatCode>
                      <c:ptCount val="12"/>
                      <c:pt idx="0">
                        <c:v>113</c:v>
                      </c:pt>
                      <c:pt idx="1">
                        <c:v>420</c:v>
                      </c:pt>
                      <c:pt idx="2">
                        <c:v>283</c:v>
                      </c:pt>
                      <c:pt idx="3">
                        <c:v>144</c:v>
                      </c:pt>
                      <c:pt idx="4">
                        <c:v>90</c:v>
                      </c:pt>
                      <c:pt idx="5">
                        <c:v>72</c:v>
                      </c:pt>
                      <c:pt idx="6">
                        <c:v>64</c:v>
                      </c:pt>
                      <c:pt idx="7">
                        <c:v>37</c:v>
                      </c:pt>
                      <c:pt idx="8">
                        <c:v>22</c:v>
                      </c:pt>
                      <c:pt idx="9">
                        <c:v>16</c:v>
                      </c:pt>
                      <c:pt idx="10">
                        <c:v>11</c:v>
                      </c:pt>
                      <c:pt idx="11">
                        <c:v>258</c:v>
                      </c:pt>
                    </c:numCache>
                  </c:numRef>
                </c:val>
                <c:smooth val="0"/>
                <c:extLst xmlns:c15="http://schemas.microsoft.com/office/drawing/2012/chart">
                  <c:ext xmlns:c16="http://schemas.microsoft.com/office/drawing/2014/chart" uri="{C3380CC4-5D6E-409C-BE32-E72D297353CC}">
                    <c16:uniqueId val="{00000004-B88F-48D0-8BC5-7192939CCBF7}"/>
                  </c:ext>
                </c:extLst>
              </c15:ser>
            </c15:filteredLineSeries>
            <c15:filteredLineSeries>
              <c15:ser>
                <c:idx val="2"/>
                <c:order val="2"/>
                <c:tx>
                  <c:strRef>
                    <c:extLst xmlns:c15="http://schemas.microsoft.com/office/drawing/2012/chart">
                      <c:ext xmlns:c15="http://schemas.microsoft.com/office/drawing/2012/chart" uri="{02D57815-91ED-43cb-92C2-25804820EDAC}">
                        <c15:formulaRef>
                          <c15:sqref>Bonus!$D$1</c15:sqref>
                        </c15:formulaRef>
                      </c:ext>
                    </c:extLst>
                    <c:strCache>
                      <c:ptCount val="1"/>
                      <c:pt idx="0">
                        <c:v>Number Canceled</c:v>
                      </c:pt>
                    </c:strCache>
                  </c:strRef>
                </c:tx>
                <c:spPr>
                  <a:ln w="28575" cap="rnd">
                    <a:solidFill>
                      <a:schemeClr val="accent3"/>
                    </a:solidFill>
                    <a:round/>
                  </a:ln>
                  <a:effectLst/>
                </c:spPr>
                <c:marker>
                  <c:symbol val="none"/>
                </c:marker>
                <c:cat>
                  <c:strRef>
                    <c:extLst xmlns:c15="http://schemas.microsoft.com/office/drawing/2012/chart">
                      <c:ext xmlns:c15="http://schemas.microsoft.com/office/drawing/2012/chart" uri="{02D57815-91ED-43cb-92C2-25804820EDAC}">
                        <c15:formulaRef>
                          <c15:sqref>Bonus!$A$2:$A$13</c15:sqref>
                        </c15:formulaRef>
                      </c:ext>
                    </c:extLst>
                    <c:strCache>
                      <c:ptCount val="12"/>
                      <c:pt idx="0">
                        <c:v>Less than 1000</c:v>
                      </c:pt>
                      <c:pt idx="1">
                        <c:v>1000 to 4999</c:v>
                      </c:pt>
                      <c:pt idx="2">
                        <c:v>5000 to 9999</c:v>
                      </c:pt>
                      <c:pt idx="3">
                        <c:v>10000 to 14999</c:v>
                      </c:pt>
                      <c:pt idx="4">
                        <c:v>15000 to 19999</c:v>
                      </c:pt>
                      <c:pt idx="5">
                        <c:v>20000 to 24999</c:v>
                      </c:pt>
                      <c:pt idx="6">
                        <c:v>25000 to 29999</c:v>
                      </c:pt>
                      <c:pt idx="7">
                        <c:v>30000 to 34999</c:v>
                      </c:pt>
                      <c:pt idx="8">
                        <c:v>35000 to 39999</c:v>
                      </c:pt>
                      <c:pt idx="9">
                        <c:v>40000 to 44999</c:v>
                      </c:pt>
                      <c:pt idx="10">
                        <c:v>45000 to 49999</c:v>
                      </c:pt>
                      <c:pt idx="11">
                        <c:v>Greater than or equal to 50000</c:v>
                      </c:pt>
                    </c:strCache>
                  </c:strRef>
                </c:cat>
                <c:val>
                  <c:numRef>
                    <c:extLst xmlns:c15="http://schemas.microsoft.com/office/drawing/2012/chart">
                      <c:ext xmlns:c15="http://schemas.microsoft.com/office/drawing/2012/chart" uri="{02D57815-91ED-43cb-92C2-25804820EDAC}">
                        <c15:formulaRef>
                          <c15:sqref>Bonus!$D$2:$D$13</c15:sqref>
                        </c15:formulaRef>
                      </c:ext>
                    </c:extLst>
                    <c:numCache>
                      <c:formatCode>General</c:formatCode>
                      <c:ptCount val="12"/>
                      <c:pt idx="0">
                        <c:v>18</c:v>
                      </c:pt>
                      <c:pt idx="1">
                        <c:v>60</c:v>
                      </c:pt>
                      <c:pt idx="2">
                        <c:v>52</c:v>
                      </c:pt>
                      <c:pt idx="3">
                        <c:v>40</c:v>
                      </c:pt>
                      <c:pt idx="4">
                        <c:v>17</c:v>
                      </c:pt>
                      <c:pt idx="5">
                        <c:v>14</c:v>
                      </c:pt>
                      <c:pt idx="6">
                        <c:v>18</c:v>
                      </c:pt>
                      <c:pt idx="7">
                        <c:v>13</c:v>
                      </c:pt>
                      <c:pt idx="8">
                        <c:v>7</c:v>
                      </c:pt>
                      <c:pt idx="9">
                        <c:v>6</c:v>
                      </c:pt>
                      <c:pt idx="10">
                        <c:v>4</c:v>
                      </c:pt>
                      <c:pt idx="11">
                        <c:v>100</c:v>
                      </c:pt>
                    </c:numCache>
                  </c:numRef>
                </c:val>
                <c:smooth val="0"/>
                <c:extLst xmlns:c15="http://schemas.microsoft.com/office/drawing/2012/chart">
                  <c:ext xmlns:c16="http://schemas.microsoft.com/office/drawing/2014/chart" uri="{C3380CC4-5D6E-409C-BE32-E72D297353CC}">
                    <c16:uniqueId val="{00000005-B88F-48D0-8BC5-7192939CCBF7}"/>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Bonus!$E$1</c15:sqref>
                        </c15:formulaRef>
                      </c:ext>
                    </c:extLst>
                    <c:strCache>
                      <c:ptCount val="1"/>
                      <c:pt idx="0">
                        <c:v>Total Projects</c:v>
                      </c:pt>
                    </c:strCache>
                  </c:strRef>
                </c:tx>
                <c:spPr>
                  <a:ln w="28575" cap="rnd">
                    <a:solidFill>
                      <a:schemeClr val="accent4"/>
                    </a:solidFill>
                    <a:round/>
                  </a:ln>
                  <a:effectLst/>
                </c:spPr>
                <c:marker>
                  <c:symbol val="none"/>
                </c:marker>
                <c:cat>
                  <c:strRef>
                    <c:extLst xmlns:c15="http://schemas.microsoft.com/office/drawing/2012/chart">
                      <c:ext xmlns:c15="http://schemas.microsoft.com/office/drawing/2012/chart" uri="{02D57815-91ED-43cb-92C2-25804820EDAC}">
                        <c15:formulaRef>
                          <c15:sqref>Bonus!$A$2:$A$13</c15:sqref>
                        </c15:formulaRef>
                      </c:ext>
                    </c:extLst>
                    <c:strCache>
                      <c:ptCount val="12"/>
                      <c:pt idx="0">
                        <c:v>Less than 1000</c:v>
                      </c:pt>
                      <c:pt idx="1">
                        <c:v>1000 to 4999</c:v>
                      </c:pt>
                      <c:pt idx="2">
                        <c:v>5000 to 9999</c:v>
                      </c:pt>
                      <c:pt idx="3">
                        <c:v>10000 to 14999</c:v>
                      </c:pt>
                      <c:pt idx="4">
                        <c:v>15000 to 19999</c:v>
                      </c:pt>
                      <c:pt idx="5">
                        <c:v>20000 to 24999</c:v>
                      </c:pt>
                      <c:pt idx="6">
                        <c:v>25000 to 29999</c:v>
                      </c:pt>
                      <c:pt idx="7">
                        <c:v>30000 to 34999</c:v>
                      </c:pt>
                      <c:pt idx="8">
                        <c:v>35000 to 39999</c:v>
                      </c:pt>
                      <c:pt idx="9">
                        <c:v>40000 to 44999</c:v>
                      </c:pt>
                      <c:pt idx="10">
                        <c:v>45000 to 49999</c:v>
                      </c:pt>
                      <c:pt idx="11">
                        <c:v>Greater than or equal to 50000</c:v>
                      </c:pt>
                    </c:strCache>
                  </c:strRef>
                </c:cat>
                <c:val>
                  <c:numRef>
                    <c:extLst xmlns:c15="http://schemas.microsoft.com/office/drawing/2012/chart">
                      <c:ext xmlns:c15="http://schemas.microsoft.com/office/drawing/2012/chart" uri="{02D57815-91ED-43cb-92C2-25804820EDAC}">
                        <c15:formulaRef>
                          <c15:sqref>Bonus!$E$2:$E$13</c15:sqref>
                        </c15:formulaRef>
                      </c:ext>
                    </c:extLst>
                    <c:numCache>
                      <c:formatCode>General</c:formatCode>
                      <c:ptCount val="12"/>
                      <c:pt idx="0">
                        <c:v>453</c:v>
                      </c:pt>
                      <c:pt idx="1">
                        <c:v>1412</c:v>
                      </c:pt>
                      <c:pt idx="2">
                        <c:v>716</c:v>
                      </c:pt>
                      <c:pt idx="3">
                        <c:v>352</c:v>
                      </c:pt>
                      <c:pt idx="4">
                        <c:v>201</c:v>
                      </c:pt>
                      <c:pt idx="5">
                        <c:v>148</c:v>
                      </c:pt>
                      <c:pt idx="6">
                        <c:v>137</c:v>
                      </c:pt>
                      <c:pt idx="7">
                        <c:v>82</c:v>
                      </c:pt>
                      <c:pt idx="8">
                        <c:v>55</c:v>
                      </c:pt>
                      <c:pt idx="9">
                        <c:v>43</c:v>
                      </c:pt>
                      <c:pt idx="10">
                        <c:v>21</c:v>
                      </c:pt>
                      <c:pt idx="11">
                        <c:v>444</c:v>
                      </c:pt>
                    </c:numCache>
                  </c:numRef>
                </c:val>
                <c:smooth val="0"/>
                <c:extLst xmlns:c15="http://schemas.microsoft.com/office/drawing/2012/chart">
                  <c:ext xmlns:c16="http://schemas.microsoft.com/office/drawing/2014/chart" uri="{C3380CC4-5D6E-409C-BE32-E72D297353CC}">
                    <c16:uniqueId val="{00000006-B88F-48D0-8BC5-7192939CCBF7}"/>
                  </c:ext>
                </c:extLst>
              </c15:ser>
            </c15:filteredLineSeries>
          </c:ext>
        </c:extLst>
      </c:lineChart>
      <c:catAx>
        <c:axId val="603737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3733712"/>
        <c:crosses val="autoZero"/>
        <c:auto val="1"/>
        <c:lblAlgn val="ctr"/>
        <c:lblOffset val="100"/>
        <c:noMultiLvlLbl val="0"/>
      </c:catAx>
      <c:valAx>
        <c:axId val="60373371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37375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[StarterBook_FKokro.xlsx]Pivot Chart 1!PivotTable3</c:name>
    <c:fmtId val="-1"/>
  </c:pivotSource>
  <c:chart>
    <c:autoTitleDeleted val="0"/>
    <c:pivotFmts>
      <c:pivotFmt>
        <c:idx val="0"/>
        <c:spPr>
          <a:solidFill>
            <a:schemeClr val="accent6"/>
          </a:solidFill>
          <a:ln>
            <a:solidFill>
              <a:schemeClr val="accent6"/>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6">
              <a:lumMod val="75000"/>
            </a:schemeClr>
          </a:solidFill>
          <a:ln>
            <a:solidFill>
              <a:schemeClr val="accent6">
                <a:lumMod val="75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solidFill>
              <a:schemeClr val="accen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rgbClr val="FFC000"/>
          </a:solidFill>
          <a:ln>
            <a:solidFill>
              <a:srgbClr val="FFC000"/>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6"/>
          </a:solidFill>
          <a:ln>
            <a:solidFill>
              <a:schemeClr val="accent6"/>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solidFill>
              <a:schemeClr val="accen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C000"/>
          </a:solidFill>
          <a:ln>
            <a:solidFill>
              <a:srgbClr val="FFC000"/>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6">
              <a:lumMod val="75000"/>
            </a:schemeClr>
          </a:solidFill>
          <a:ln>
            <a:solidFill>
              <a:schemeClr val="accent6">
                <a:lumMod val="75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6"/>
          </a:solidFill>
          <a:ln>
            <a:solidFill>
              <a:schemeClr val="accent6"/>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solidFill>
              <a:schemeClr val="accen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rgbClr val="FFC000"/>
          </a:solidFill>
          <a:ln>
            <a:solidFill>
              <a:srgbClr val="FFC000"/>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6">
              <a:lumMod val="75000"/>
            </a:schemeClr>
          </a:solidFill>
          <a:ln>
            <a:solidFill>
              <a:schemeClr val="accent6">
                <a:lumMod val="75000"/>
              </a:schemeClr>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'Pivot Chart 1'!$B$3:$B$4</c:f>
              <c:strCache>
                <c:ptCount val="1"/>
                <c:pt idx="0">
                  <c:v>successful</c:v>
                </c:pt>
              </c:strCache>
            </c:strRef>
          </c:tx>
          <c:spPr>
            <a:solidFill>
              <a:schemeClr val="accent6"/>
            </a:solidFill>
            <a:ln>
              <a:solidFill>
                <a:schemeClr val="accent6"/>
              </a:solidFill>
            </a:ln>
            <a:effectLst/>
          </c:spPr>
          <c:invertIfNegative val="0"/>
          <c:cat>
            <c:strRef>
              <c:f>'Pivot Chart 1'!$A$5:$A$14</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'Pivot Chart 1'!$B$5:$B$14</c:f>
              <c:numCache>
                <c:formatCode>General</c:formatCode>
                <c:ptCount val="9"/>
                <c:pt idx="0">
                  <c:v>300</c:v>
                </c:pt>
                <c:pt idx="1">
                  <c:v>34</c:v>
                </c:pt>
                <c:pt idx="2">
                  <c:v>80</c:v>
                </c:pt>
                <c:pt idx="4">
                  <c:v>540</c:v>
                </c:pt>
                <c:pt idx="5">
                  <c:v>103</c:v>
                </c:pt>
                <c:pt idx="6">
                  <c:v>80</c:v>
                </c:pt>
                <c:pt idx="7">
                  <c:v>209</c:v>
                </c:pt>
                <c:pt idx="8">
                  <c:v>839</c:v>
                </c:pt>
              </c:numCache>
            </c:numRef>
          </c:val>
          <c:extLst>
            <c:ext xmlns:c16="http://schemas.microsoft.com/office/drawing/2014/chart" uri="{C3380CC4-5D6E-409C-BE32-E72D297353CC}">
              <c16:uniqueId val="{00000000-3466-4F71-BDDD-840B83628946}"/>
            </c:ext>
          </c:extLst>
        </c:ser>
        <c:ser>
          <c:idx val="1"/>
          <c:order val="1"/>
          <c:tx>
            <c:strRef>
              <c:f>'Pivot Chart 1'!$C$3:$C$4</c:f>
              <c:strCache>
                <c:ptCount val="1"/>
                <c:pt idx="0">
                  <c:v>failed</c:v>
                </c:pt>
              </c:strCache>
            </c:strRef>
          </c:tx>
          <c:spPr>
            <a:solidFill>
              <a:schemeClr val="accent1"/>
            </a:solidFill>
            <a:ln>
              <a:solidFill>
                <a:schemeClr val="accent1"/>
              </a:solidFill>
            </a:ln>
            <a:effectLst/>
          </c:spPr>
          <c:invertIfNegative val="0"/>
          <c:cat>
            <c:strRef>
              <c:f>'Pivot Chart 1'!$A$5:$A$14</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'Pivot Chart 1'!$C$5:$C$14</c:f>
              <c:numCache>
                <c:formatCode>General</c:formatCode>
                <c:ptCount val="9"/>
                <c:pt idx="0">
                  <c:v>180</c:v>
                </c:pt>
                <c:pt idx="1">
                  <c:v>140</c:v>
                </c:pt>
                <c:pt idx="2">
                  <c:v>140</c:v>
                </c:pt>
                <c:pt idx="4">
                  <c:v>120</c:v>
                </c:pt>
                <c:pt idx="5">
                  <c:v>117</c:v>
                </c:pt>
                <c:pt idx="6">
                  <c:v>127</c:v>
                </c:pt>
                <c:pt idx="7">
                  <c:v>213</c:v>
                </c:pt>
                <c:pt idx="8">
                  <c:v>493</c:v>
                </c:pt>
              </c:numCache>
            </c:numRef>
          </c:val>
          <c:extLst>
            <c:ext xmlns:c16="http://schemas.microsoft.com/office/drawing/2014/chart" uri="{C3380CC4-5D6E-409C-BE32-E72D297353CC}">
              <c16:uniqueId val="{00000001-3466-4F71-BDDD-840B83628946}"/>
            </c:ext>
          </c:extLst>
        </c:ser>
        <c:ser>
          <c:idx val="2"/>
          <c:order val="2"/>
          <c:tx>
            <c:strRef>
              <c:f>'Pivot Chart 1'!$D$3:$D$4</c:f>
              <c:strCache>
                <c:ptCount val="1"/>
                <c:pt idx="0">
                  <c:v>canceled</c:v>
                </c:pt>
              </c:strCache>
            </c:strRef>
          </c:tx>
          <c:spPr>
            <a:solidFill>
              <a:srgbClr val="FFC000"/>
            </a:solidFill>
            <a:ln>
              <a:solidFill>
                <a:srgbClr val="FFC000"/>
              </a:solidFill>
            </a:ln>
            <a:effectLst/>
          </c:spPr>
          <c:invertIfNegative val="0"/>
          <c:cat>
            <c:strRef>
              <c:f>'Pivot Chart 1'!$A$5:$A$14</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'Pivot Chart 1'!$D$5:$D$14</c:f>
              <c:numCache>
                <c:formatCode>General</c:formatCode>
                <c:ptCount val="9"/>
                <c:pt idx="0">
                  <c:v>40</c:v>
                </c:pt>
                <c:pt idx="1">
                  <c:v>20</c:v>
                </c:pt>
                <c:pt idx="3">
                  <c:v>24</c:v>
                </c:pt>
                <c:pt idx="4">
                  <c:v>20</c:v>
                </c:pt>
                <c:pt idx="6">
                  <c:v>30</c:v>
                </c:pt>
                <c:pt idx="7">
                  <c:v>178</c:v>
                </c:pt>
                <c:pt idx="8">
                  <c:v>37</c:v>
                </c:pt>
              </c:numCache>
            </c:numRef>
          </c:val>
          <c:extLst>
            <c:ext xmlns:c16="http://schemas.microsoft.com/office/drawing/2014/chart" uri="{C3380CC4-5D6E-409C-BE32-E72D297353CC}">
              <c16:uniqueId val="{00000002-3466-4F71-BDDD-840B83628946}"/>
            </c:ext>
          </c:extLst>
        </c:ser>
        <c:ser>
          <c:idx val="3"/>
          <c:order val="3"/>
          <c:tx>
            <c:strRef>
              <c:f>'Pivot Chart 1'!$E$3:$E$4</c:f>
              <c:strCache>
                <c:ptCount val="1"/>
                <c:pt idx="0">
                  <c:v>live</c:v>
                </c:pt>
              </c:strCache>
            </c:strRef>
          </c:tx>
          <c:spPr>
            <a:solidFill>
              <a:schemeClr val="accent6">
                <a:lumMod val="75000"/>
              </a:schemeClr>
            </a:solidFill>
            <a:ln>
              <a:solidFill>
                <a:schemeClr val="accent6">
                  <a:lumMod val="75000"/>
                </a:schemeClr>
              </a:solidFill>
            </a:ln>
            <a:effectLst/>
          </c:spPr>
          <c:invertIfNegative val="0"/>
          <c:cat>
            <c:strRef>
              <c:f>'Pivot Chart 1'!$A$5:$A$14</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'Pivot Chart 1'!$E$5:$E$14</c:f>
              <c:numCache>
                <c:formatCode>General</c:formatCode>
                <c:ptCount val="9"/>
                <c:pt idx="1">
                  <c:v>6</c:v>
                </c:pt>
                <c:pt idx="4">
                  <c:v>20</c:v>
                </c:pt>
                <c:pt idx="8">
                  <c:v>24</c:v>
                </c:pt>
              </c:numCache>
            </c:numRef>
          </c:val>
          <c:extLst>
            <c:ext xmlns:c16="http://schemas.microsoft.com/office/drawing/2014/chart" uri="{C3380CC4-5D6E-409C-BE32-E72D297353CC}">
              <c16:uniqueId val="{00000003-3466-4F71-BDDD-840B83628946}"/>
            </c:ext>
          </c:extLst>
        </c:ser>
        <c:dLbls>
          <c:showLegendKey val="0"/>
          <c:showVal val="0"/>
          <c:showCatName val="0"/>
          <c:showSerName val="0"/>
          <c:showPercent val="0"/>
          <c:showBubbleSize val="0"/>
        </c:dLbls>
        <c:gapWidth val="150"/>
        <c:overlap val="100"/>
        <c:axId val="557051952"/>
        <c:axId val="557052592"/>
      </c:barChart>
      <c:catAx>
        <c:axId val="557051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7052592"/>
        <c:crosses val="autoZero"/>
        <c:auto val="1"/>
        <c:lblAlgn val="ctr"/>
        <c:lblOffset val="100"/>
        <c:noMultiLvlLbl val="0"/>
      </c:catAx>
      <c:valAx>
        <c:axId val="557052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705195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[StarterBook_FKokro.xlsx]Pivot Sheet 3!PivotTable1</c:name>
    <c:fmtId val="-1"/>
  </c:pivotSource>
  <c:chart>
    <c:autoTitleDeleted val="0"/>
    <c:pivotFmts>
      <c:pivotFmt>
        <c:idx val="0"/>
        <c:spPr>
          <a:solidFill>
            <a:schemeClr val="accent1"/>
          </a:solidFill>
          <a:ln w="28575" cap="rnd">
            <a:solidFill>
              <a:schemeClr val="accent6"/>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rgbClr val="FFC000"/>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6"/>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w="28575" cap="rnd">
            <a:solidFill>
              <a:srgbClr val="FFC000"/>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w="28575" cap="rnd">
            <a:solidFill>
              <a:schemeClr val="accent6"/>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w="28575" cap="rnd">
            <a:solidFill>
              <a:srgbClr val="FFC000"/>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'Pivot Sheet 3'!$B$4:$B$5</c:f>
              <c:strCache>
                <c:ptCount val="1"/>
                <c:pt idx="0">
                  <c:v>successful</c:v>
                </c:pt>
              </c:strCache>
            </c:strRef>
          </c:tx>
          <c:spPr>
            <a:ln w="28575" cap="rnd">
              <a:solidFill>
                <a:schemeClr val="accent6"/>
              </a:solidFill>
              <a:round/>
            </a:ln>
            <a:effectLst/>
          </c:spPr>
          <c:marker>
            <c:symbol val="none"/>
          </c:marker>
          <c:cat>
            <c:strRef>
              <c:f>'Pivot Sheet 3'!$A$6:$A$18</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'Pivot Sheet 3'!$B$6:$B$18</c:f>
              <c:numCache>
                <c:formatCode>General</c:formatCode>
                <c:ptCount val="12"/>
                <c:pt idx="0">
                  <c:v>133</c:v>
                </c:pt>
                <c:pt idx="1">
                  <c:v>150</c:v>
                </c:pt>
                <c:pt idx="2">
                  <c:v>207</c:v>
                </c:pt>
                <c:pt idx="3">
                  <c:v>187</c:v>
                </c:pt>
                <c:pt idx="4">
                  <c:v>204</c:v>
                </c:pt>
                <c:pt idx="5">
                  <c:v>222</c:v>
                </c:pt>
                <c:pt idx="6">
                  <c:v>222</c:v>
                </c:pt>
                <c:pt idx="7">
                  <c:v>196</c:v>
                </c:pt>
                <c:pt idx="8">
                  <c:v>156</c:v>
                </c:pt>
                <c:pt idx="9">
                  <c:v>160</c:v>
                </c:pt>
                <c:pt idx="10">
                  <c:v>161</c:v>
                </c:pt>
                <c:pt idx="11">
                  <c:v>187</c:v>
                </c:pt>
              </c:numCache>
            </c:numRef>
          </c:val>
          <c:smooth val="0"/>
          <c:extLst>
            <c:ext xmlns:c16="http://schemas.microsoft.com/office/drawing/2014/chart" uri="{C3380CC4-5D6E-409C-BE32-E72D297353CC}">
              <c16:uniqueId val="{00000000-8223-4160-88AB-1FE763C09654}"/>
            </c:ext>
          </c:extLst>
        </c:ser>
        <c:ser>
          <c:idx val="1"/>
          <c:order val="1"/>
          <c:tx>
            <c:strRef>
              <c:f>'Pivot Sheet 3'!$C$4:$C$5</c:f>
              <c:strCache>
                <c:ptCount val="1"/>
                <c:pt idx="0">
                  <c:v>failed</c:v>
                </c:pt>
              </c:strCache>
            </c:strRef>
          </c:tx>
          <c:spPr>
            <a:ln w="28575" cap="rnd">
              <a:solidFill>
                <a:schemeClr val="accent1"/>
              </a:solidFill>
              <a:round/>
            </a:ln>
            <a:effectLst/>
          </c:spPr>
          <c:marker>
            <c:symbol val="none"/>
          </c:marker>
          <c:cat>
            <c:strRef>
              <c:f>'Pivot Sheet 3'!$A$6:$A$18</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'Pivot Sheet 3'!$C$6:$C$18</c:f>
              <c:numCache>
                <c:formatCode>General</c:formatCode>
                <c:ptCount val="12"/>
                <c:pt idx="0">
                  <c:v>127</c:v>
                </c:pt>
                <c:pt idx="1">
                  <c:v>124</c:v>
                </c:pt>
                <c:pt idx="2">
                  <c:v>124</c:v>
                </c:pt>
                <c:pt idx="3">
                  <c:v>100</c:v>
                </c:pt>
                <c:pt idx="4">
                  <c:v>120</c:v>
                </c:pt>
                <c:pt idx="5">
                  <c:v>120</c:v>
                </c:pt>
                <c:pt idx="6">
                  <c:v>134</c:v>
                </c:pt>
                <c:pt idx="7">
                  <c:v>155</c:v>
                </c:pt>
                <c:pt idx="8">
                  <c:v>136</c:v>
                </c:pt>
                <c:pt idx="9">
                  <c:v>145</c:v>
                </c:pt>
                <c:pt idx="10">
                  <c:v>133</c:v>
                </c:pt>
                <c:pt idx="11">
                  <c:v>112</c:v>
                </c:pt>
              </c:numCache>
            </c:numRef>
          </c:val>
          <c:smooth val="0"/>
          <c:extLst>
            <c:ext xmlns:c16="http://schemas.microsoft.com/office/drawing/2014/chart" uri="{C3380CC4-5D6E-409C-BE32-E72D297353CC}">
              <c16:uniqueId val="{00000001-8223-4160-88AB-1FE763C09654}"/>
            </c:ext>
          </c:extLst>
        </c:ser>
        <c:ser>
          <c:idx val="2"/>
          <c:order val="2"/>
          <c:tx>
            <c:strRef>
              <c:f>'Pivot Sheet 3'!$D$4:$D$5</c:f>
              <c:strCache>
                <c:ptCount val="1"/>
                <c:pt idx="0">
                  <c:v>canceled</c:v>
                </c:pt>
              </c:strCache>
            </c:strRef>
          </c:tx>
          <c:spPr>
            <a:ln w="28575" cap="rnd">
              <a:solidFill>
                <a:srgbClr val="FFC000"/>
              </a:solidFill>
              <a:round/>
            </a:ln>
            <a:effectLst/>
          </c:spPr>
          <c:marker>
            <c:symbol val="none"/>
          </c:marker>
          <c:cat>
            <c:strRef>
              <c:f>'Pivot Sheet 3'!$A$6:$A$18</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'Pivot Sheet 3'!$D$6:$D$18</c:f>
              <c:numCache>
                <c:formatCode>General</c:formatCode>
                <c:ptCount val="12"/>
                <c:pt idx="0">
                  <c:v>26</c:v>
                </c:pt>
                <c:pt idx="1">
                  <c:v>29</c:v>
                </c:pt>
                <c:pt idx="2">
                  <c:v>28</c:v>
                </c:pt>
                <c:pt idx="3">
                  <c:v>29</c:v>
                </c:pt>
                <c:pt idx="4">
                  <c:v>28</c:v>
                </c:pt>
                <c:pt idx="5">
                  <c:v>23</c:v>
                </c:pt>
                <c:pt idx="6">
                  <c:v>33</c:v>
                </c:pt>
                <c:pt idx="7">
                  <c:v>39</c:v>
                </c:pt>
                <c:pt idx="8">
                  <c:v>24</c:v>
                </c:pt>
                <c:pt idx="9">
                  <c:v>34</c:v>
                </c:pt>
                <c:pt idx="10">
                  <c:v>21</c:v>
                </c:pt>
                <c:pt idx="11">
                  <c:v>35</c:v>
                </c:pt>
              </c:numCache>
            </c:numRef>
          </c:val>
          <c:smooth val="0"/>
          <c:extLst>
            <c:ext xmlns:c16="http://schemas.microsoft.com/office/drawing/2014/chart" uri="{C3380CC4-5D6E-409C-BE32-E72D297353CC}">
              <c16:uniqueId val="{00000002-8223-4160-88AB-1FE763C09654}"/>
            </c:ext>
          </c:extLst>
        </c:ser>
        <c:dLbls>
          <c:showLegendKey val="0"/>
          <c:showVal val="0"/>
          <c:showCatName val="0"/>
          <c:showSerName val="0"/>
          <c:showPercent val="0"/>
          <c:showBubbleSize val="0"/>
        </c:dLbls>
        <c:smooth val="0"/>
        <c:axId val="254802792"/>
        <c:axId val="55508216"/>
      </c:lineChart>
      <c:catAx>
        <c:axId val="254802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08216"/>
        <c:crosses val="autoZero"/>
        <c:auto val="1"/>
        <c:lblAlgn val="ctr"/>
        <c:lblOffset val="100"/>
        <c:noMultiLvlLbl val="0"/>
      </c:catAx>
      <c:valAx>
        <c:axId val="555082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48027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3</Pages>
  <Words>237</Words>
  <Characters>1351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Flomo Kokro</dc:creator>
  <cp:keywords/>
  <dc:description/>
  <cp:lastModifiedBy> </cp:lastModifiedBy>
  <cp:revision>1</cp:revision>
  <dcterms:created xsi:type="dcterms:W3CDTF">2019-11-17T01:54:00Z</dcterms:created>
  <dcterms:modified xsi:type="dcterms:W3CDTF">2019-11-17T02:46:00Z</dcterms:modified>
</cp:coreProperties>
</file>