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91.png" ContentType="image/png"/>
  <Override PartName="/word/media/rId26.png" ContentType="image/png"/>
  <Override PartName="/word/media/rId176.png" ContentType="image/png"/>
  <Override PartName="/word/media/rId32.png" ContentType="image/png"/>
  <Override PartName="/word/media/rId65.png" ContentType="image/png"/>
  <Override PartName="/word/media/rId180.png" ContentType="image/png"/>
  <Override PartName="/word/media/rId40.png" ContentType="image/png"/>
  <Override PartName="/word/media/rId87.png" ContentType="image/png"/>
  <Override PartName="/word/media/rId148.png" ContentType="image/png"/>
  <Override PartName="/word/media/rId144.png" ContentType="image/png"/>
  <Override PartName="/word/media/rId118.png" ContentType="image/png"/>
  <Override PartName="/word/media/rId122.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Bathroom</w:t>
      </w:r>
      <w:r>
        <w:t xml:space="preserve"> </w:t>
      </w:r>
      <w:r>
        <w:t xml:space="preserve">Emergency</w:t>
      </w:r>
      <w:r>
        <w:t xml:space="preserve"> </w:t>
      </w:r>
      <w:r>
        <w:t xml:space="preserve">Guide</w:t>
      </w:r>
    </w:p>
    <w:bookmarkStart w:id="20" w:name="bathroom-emergency-guide"/>
    <w:p>
      <w:pPr>
        <w:pStyle w:val="Heading1"/>
      </w:pPr>
      <w:r>
        <w:t xml:space="preserve">🚿 Bathroom Emergency Guide</w:t>
      </w:r>
    </w:p>
    <w:p>
      <w:pPr>
        <w:pStyle w:val="FirstParagraph"/>
      </w:pPr>
      <w:r>
        <w:rPr>
          <w:b/>
          <w:bCs/>
        </w:rPr>
        <w:t xml:space="preserve">Version 3.2.0 · 2026-05-03</w:t>
      </w:r>
    </w:p>
    <w:p>
      <w:pPr>
        <w:pStyle w:val="BlockText"/>
      </w:pPr>
      <w:r>
        <w:rPr>
          <w:i/>
          <w:iCs/>
        </w:rPr>
        <w:t xml:space="preserve">“</w:t>
      </w:r>
      <w:r>
        <w:rPr>
          <w:i/>
          <w:iCs/>
        </w:rPr>
        <w:t xml:space="preserve">You’re in a bathroom. That’s already a good start.</w:t>
      </w:r>
      <w:r>
        <w:rPr>
          <w:i/>
          <w:iCs/>
        </w:rPr>
        <w:t xml:space="preserve">”</w:t>
      </w:r>
    </w:p>
    <w:p>
      <w:pPr>
        <w:pStyle w:val="FirstParagraph"/>
      </w:pPr>
      <w:r>
        <w:t xml:space="preserve">A decision-support tool for situations ranging from acute anxiety</w:t>
      </w:r>
      <w:r>
        <w:t xml:space="preserve"> </w:t>
      </w:r>
      <w:r>
        <w:t xml:space="preserve">and physical pain to — hypothetically — zombie apocalypses.</w:t>
      </w:r>
      <w:r>
        <w:t xml:space="preserve"> </w:t>
      </w:r>
      <w:r>
        <w:t xml:space="preserve">Built with scientific rigor and bathroom-tested pragmatism.</w:t>
      </w:r>
    </w:p>
    <w:p>
      <w:pPr>
        <w:pStyle w:val="BodyText"/>
      </w:pPr>
      <w:r>
        <w:t xml:space="preserve">Deploy strategically. Read when needed. Breathe always.</w:t>
      </w:r>
      <w:r>
        <w:t xml:space="preserve"> </w:t>
      </w:r>
      <w:r>
        <w:t xml:space="preserve">The math is optional. The breathing is not.</w:t>
      </w:r>
    </w:p>
    <w:p>
      <w:r>
        <w:pict>
          <v:rect style="width:0;height:1.5pt" o:hralign="center" o:hrstd="t" o:hr="t"/>
        </w:pic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Title</w:t>
            </w:r>
          </w:p>
        </w:tc>
        <w:tc>
          <w:tcPr/>
          <w:p>
            <w:pPr>
              <w:pStyle w:val="Compact"/>
              <w:jc w:val="left"/>
            </w:pPr>
            <w:r>
              <w:t xml:space="preserve">Bathroom Emergency Guide</w:t>
            </w:r>
          </w:p>
        </w:tc>
      </w:tr>
      <w:tr>
        <w:tc>
          <w:tcPr/>
          <w:p>
            <w:pPr>
              <w:pStyle w:val="Compact"/>
              <w:jc w:val="left"/>
            </w:pPr>
            <w:r>
              <w:t xml:space="preserve">Version</w:t>
            </w:r>
          </w:p>
        </w:tc>
        <w:tc>
          <w:tcPr/>
          <w:p>
            <w:pPr>
              <w:pStyle w:val="Compact"/>
              <w:jc w:val="left"/>
            </w:pPr>
            <w:r>
              <w:t xml:space="preserve">3.2.0</w:t>
            </w:r>
          </w:p>
        </w:tc>
      </w:tr>
      <w:tr>
        <w:tc>
          <w:tcPr/>
          <w:p>
            <w:pPr>
              <w:pStyle w:val="Compact"/>
              <w:jc w:val="left"/>
            </w:pPr>
            <w:r>
              <w:t xml:space="preserve">Date</w:t>
            </w:r>
          </w:p>
        </w:tc>
        <w:tc>
          <w:tcPr/>
          <w:p>
            <w:pPr>
              <w:pStyle w:val="Compact"/>
              <w:jc w:val="left"/>
            </w:pPr>
            <w:r>
              <w:t xml:space="preserve">2026-05-03</w:t>
            </w:r>
          </w:p>
        </w:tc>
      </w:tr>
      <w:tr>
        <w:tc>
          <w:tcPr/>
          <w:p>
            <w:pPr>
              <w:pStyle w:val="Compact"/>
              <w:jc w:val="left"/>
            </w:pPr>
            <w:r>
              <w:t xml:space="preserve">Classification</w:t>
            </w:r>
          </w:p>
        </w:tc>
        <w:tc>
          <w:tcPr/>
          <w:p>
            <w:pPr>
              <w:pStyle w:val="Compact"/>
              <w:jc w:val="left"/>
            </w:pPr>
            <w:r>
              <w:t xml:space="preserve">Personal — Bathroom Deployment</w:t>
            </w:r>
          </w:p>
        </w:tc>
      </w:tr>
      <w:tr>
        <w:tc>
          <w:tcPr/>
          <w:p>
            <w:pPr>
              <w:pStyle w:val="Compact"/>
              <w:jc w:val="left"/>
            </w:pPr>
            <w:r>
              <w:t xml:space="preserve">Build</w:t>
            </w:r>
          </w:p>
        </w:tc>
        <w:tc>
          <w:tcPr/>
          <w:p>
            <w:pPr>
              <w:pStyle w:val="Compact"/>
              <w:jc w:val="left"/>
            </w:pPr>
            <w:r>
              <w:t xml:space="preserve">markdown → Pandoc → HTML/WeasyPrint PDF/DOCX</w:t>
            </w:r>
          </w:p>
        </w:tc>
      </w:tr>
      <w:tr>
        <w:tc>
          <w:tcPr/>
          <w:p>
            <w:pPr>
              <w:pStyle w:val="Compact"/>
              <w:jc w:val="left"/>
            </w:pPr>
            <w:r>
              <w:t xml:space="preserve">Chapters</w:t>
            </w:r>
          </w:p>
        </w:tc>
        <w:tc>
          <w:tcPr/>
          <w:p>
            <w:pPr>
              <w:pStyle w:val="Compact"/>
              <w:jc w:val="left"/>
            </w:pPr>
            <w:r>
              <w:t xml:space="preserve">11 (00–10)</w:t>
            </w:r>
          </w:p>
        </w:tc>
      </w:tr>
      <w:tr>
        <w:tc>
          <w:tcPr/>
          <w:p>
            <w:pPr>
              <w:pStyle w:val="Compact"/>
              <w:jc w:val="left"/>
            </w:pPr>
            <w:r>
              <w:t xml:space="preserve">Diagrams</w:t>
            </w:r>
          </w:p>
        </w:tc>
        <w:tc>
          <w:tcPr/>
          <w:p>
            <w:pPr>
              <w:pStyle w:val="Compact"/>
              <w:jc w:val="left"/>
            </w:pPr>
            <w:r>
              <w:t xml:space="preserve">6 original + 8 scientific diagrams</w:t>
            </w:r>
          </w:p>
        </w:tc>
      </w:tr>
      <w:tr>
        <w:tc>
          <w:tcPr/>
          <w:p>
            <w:pPr>
              <w:pStyle w:val="Compact"/>
              <w:jc w:val="left"/>
            </w:pPr>
            <w:r>
              <w:t xml:space="preserve">Notation</w:t>
            </w:r>
          </w:p>
        </w:tc>
        <w:tc>
          <w:tcPr/>
          <w:p>
            <w:pPr>
              <w:pStyle w:val="Compact"/>
              <w:jc w:val="left"/>
            </w:pPr>
            <w:r>
              <w:t xml:space="preserve">LaTeX math (</w:t>
            </w:r>
            <m:oMath>
              <m:r>
                <m:rPr>
                  <m:sty m:val="p"/>
                </m:rPr>
                <m:t>.</m:t>
              </m:r>
              <m:r>
                <m:rPr>
                  <m:sty m:val="p"/>
                </m:rPr>
                <m:t>.</m:t>
              </m:r>
              <m:r>
                <m:rPr>
                  <m:sty m:val="p"/>
                </m:rPr>
                <m:t>.</m:t>
              </m:r>
            </m:oMath>
            <w:r>
              <w:t xml:space="preserve"> </w:t>
            </w:r>
            <w:r>
              <w:t xml:space="preserve">/</w:t>
            </w:r>
          </w:p>
          <w:p>
            <w:pPr>
              <w:pStyle w:val="Compact"/>
              <w:jc w:val="left"/>
            </w:pPr>
            <m:oMathPara>
              <m:oMathParaPr>
                <m:jc m:val="center"/>
              </m:oMathParaPr>
              <m:oMath>
                <m:r>
                  <m:rPr>
                    <m:sty m:val="p"/>
                  </m:rPr>
                  <m:t>.</m:t>
                </m:r>
                <m:r>
                  <m:rPr>
                    <m:sty m:val="p"/>
                  </m:rPr>
                  <m:t>.</m:t>
                </m:r>
                <m:r>
                  <m:rPr>
                    <m:sty m:val="p"/>
                  </m:rPr>
                  <m:t>.</m:t>
                </m:r>
              </m:oMath>
            </m:oMathPara>
          </w:p>
          <w:p>
            <w:pPr>
              <w:pStyle w:val="Compact"/>
              <w:jc w:val="left"/>
            </w:pPr>
            <w:r>
              <w:t xml:space="preserve">), Pandoc footnotes</w:t>
            </w:r>
          </w:p>
        </w:tc>
      </w:tr>
      <w:tr>
        <w:tc>
          <w:tcPr/>
          <w:p>
            <w:pPr>
              <w:pStyle w:val="Compact"/>
              <w:jc w:val="left"/>
            </w:pPr>
            <w:r>
              <w:t xml:space="preserve">Scientific enhancements</w:t>
            </w:r>
          </w:p>
        </w:tc>
        <w:tc>
          <w:tcPr/>
          <w:p>
            <w:pPr>
              <w:pStyle w:val="Compact"/>
              <w:jc w:val="left"/>
            </w:pPr>
            <w:r>
              <w:t xml:space="preserve">GAD-7, NRS, HRV, cortisol decay, Dunbar numbers, Ostrom’s principles, cognitive load theory, Bayes’ triage, physiological sigh research, IASC pyramid</w:t>
            </w:r>
          </w:p>
        </w:tc>
      </w:tr>
    </w:tbl>
    <w:p>
      <w:r>
        <w:pict>
          <v:rect style="width:0;height:1.5pt" o:hralign="center" o:hrstd="t" o:hr="t"/>
        </w:pict>
      </w:r>
    </w:p>
    <w:p>
      <w:pPr>
        <w:pStyle w:val="FirstParagraph"/>
      </w:pPr>
      <w:r>
        <w:rPr>
          <w:i/>
          <w:iCs/>
        </w:rPr>
        <w:t xml:space="preserve">Turn the page to begin.</w:t>
      </w:r>
    </w:p>
    <w:p>
      <w:pPr>
        <w:pStyle w:val="BodyText"/>
      </w:pPr>
      <w:r>
        <w:t xml:space="preserve">title:</w:t>
      </w:r>
      <w:r>
        <w:t xml:space="preserve"> </w:t>
      </w:r>
      <w:r>
        <w:t xml:space="preserve">“</w:t>
      </w:r>
      <w:r>
        <w:t xml:space="preserve">How to Use This Guide</w:t>
      </w:r>
      <w:r>
        <w:t xml:space="preserve">”</w:t>
      </w:r>
      <w:r>
        <w:t xml:space="preserve"> </w:t>
      </w:r>
      <w:r>
        <w:t xml:space="preserve">chapter: 1</w:t>
      </w:r>
      <w:r>
        <w:t xml:space="preserve"> </w:t>
      </w:r>
      <w:r>
        <w:t xml:space="preserve">revision:</w:t>
      </w:r>
      <w:r>
        <w:t xml:space="preserve"> </w:t>
      </w:r>
      <w:r>
        <w:t xml:space="preserve">“</w:t>
      </w:r>
      <w:r>
        <w:t xml:space="preserve">3.2.0</w:t>
      </w:r>
      <w:r>
        <w:t xml:space="preserve">”</w:t>
      </w:r>
      <w:r>
        <w:t xml:space="preserve"> </w:t>
      </w:r>
      <w:r>
        <w:t xml:space="preserve">last_updated:</w:t>
      </w:r>
      <w:r>
        <w:t xml:space="preserve"> </w:t>
      </w:r>
      <w:r>
        <w:t xml:space="preserve">“</w:t>
      </w:r>
      <w:r>
        <w:t xml:space="preserve">2026-05-03</w:t>
      </w:r>
      <w:r>
        <w:t xml:space="preserve">”</w:t>
      </w:r>
      <w:r>
        <w:t xml:space="preserve"> </w:t>
      </w:r>
      <w:r>
        <w:t xml:space="preserve">dependencies:</w:t>
      </w:r>
      <w:r>
        <w:t xml:space="preserve"> </w:t>
      </w:r>
      <w:r>
        <w:t xml:space="preserve">- ../diagrams/master_flowchart.png</w:t>
      </w:r>
      <w:r>
        <w:t xml:space="preserve"> </w:t>
      </w:r>
      <w:r>
        <w:t xml:space="preserve">- ../diagrams/decision_flow_graph.png</w:t>
      </w:r>
      <w:r>
        <w:t xml:space="preserve"> </w:t>
      </w:r>
      <w:r>
        <w:t xml:space="preserve">—</w:t>
      </w:r>
    </w:p>
    <w:bookmarkEnd w:id="20"/>
    <w:bookmarkStart w:id="37" w:name="how-to-use-this-guide"/>
    <w:p>
      <w:pPr>
        <w:pStyle w:val="Heading1"/>
      </w:pPr>
      <w:r>
        <w:t xml:space="preserve">How to Use This Guide</w:t>
      </w:r>
    </w:p>
    <w:bookmarkStart w:id="21" w:name="purpose"/>
    <w:p>
      <w:pPr>
        <w:pStyle w:val="Heading2"/>
      </w:pPr>
      <w:r>
        <w:t xml:space="preserve">Purpose</w:t>
      </w:r>
    </w:p>
    <w:p>
      <w:pPr>
        <w:pStyle w:val="FirstParagraph"/>
      </w:pPr>
      <w:r>
        <w:t xml:space="preserve">This document is a decision-support tool designed for deployment in a bathroom environment. It provides structured guidance for situations ranging from acute anxiety and physical pain to — hypothetically — zombie apocalypses. Every path through this guide converges on one of four practical destinations: the</w:t>
      </w:r>
      <w:r>
        <w:t xml:space="preserve"> </w:t>
      </w:r>
      <w:r>
        <w:rPr>
          <w:b/>
          <w:bCs/>
        </w:rPr>
        <w:t xml:space="preserve">Calm Guide</w:t>
      </w:r>
      <w:r>
        <w:t xml:space="preserve"> </w:t>
      </w:r>
      <w:r>
        <w:t xml:space="preserve">(→ Ch.4), the</w:t>
      </w:r>
      <w:r>
        <w:t xml:space="preserve"> </w:t>
      </w:r>
      <w:r>
        <w:rPr>
          <w:b/>
          <w:bCs/>
        </w:rPr>
        <w:t xml:space="preserve">Self Ambulance Guide</w:t>
      </w:r>
      <w:r>
        <w:t xml:space="preserve"> </w:t>
      </w:r>
      <w:r>
        <w:t xml:space="preserve">(→ Ch.5), the</w:t>
      </w:r>
      <w:r>
        <w:t xml:space="preserve"> </w:t>
      </w:r>
      <w:r>
        <w:rPr>
          <w:b/>
          <w:bCs/>
        </w:rPr>
        <w:t xml:space="preserve">Zombie Guide</w:t>
      </w:r>
      <w:r>
        <w:t xml:space="preserve"> </w:t>
      </w:r>
      <w:r>
        <w:t xml:space="preserve">(→ Ch.6), or the</w:t>
      </w:r>
      <w:r>
        <w:t xml:space="preserve"> </w:t>
      </w:r>
      <w:r>
        <w:rPr>
          <w:b/>
          <w:bCs/>
        </w:rPr>
        <w:t xml:space="preserve">Professional Support Directory</w:t>
      </w:r>
      <w:r>
        <w:t xml:space="preserve"> </w:t>
      </w:r>
      <w:r>
        <w:t xml:space="preserve">(→ Ch.7). Regardless of where you enter, you will always be routed toward actionable next steps.</w:t>
      </w:r>
    </w:p>
    <w:p>
      <w:pPr>
        <w:pStyle w:val="BodyText"/>
      </w:pPr>
      <w:r>
        <w:t xml:space="preserve">The guide’s architecture is formally a directed acyclic graph (DAG) — a structure where information flows in one direction and never loops back on itself (except where explicitly marked 🔁). This means you can enter at any point and still reach a destination without getting stuck in circular reasoning, which is more than most anxious brains can claim.</w:t>
      </w:r>
    </w:p>
    <w:bookmarkEnd w:id="21"/>
    <w:bookmarkStart w:id="22" w:name="target-audience"/>
    <w:p>
      <w:pPr>
        <w:pStyle w:val="Heading2"/>
      </w:pPr>
      <w:r>
        <w:t xml:space="preserve">Target Audience</w:t>
      </w:r>
    </w:p>
    <w:p>
      <w:pPr>
        <w:pStyle w:val="FirstParagraph"/>
      </w:pPr>
      <w:r>
        <w:t xml:space="preserve">Anyone currently in a bathroom who needs guidance — emotional, medical, ethical, or existential. No prerequisites beyond physical presence and a willingness to read. The guide assumes no prior training in first aid, psychology, or zombie survival, though it helps if you can operate a door lock.</w:t>
      </w:r>
    </w:p>
    <w:bookmarkEnd w:id="22"/>
    <w:bookmarkStart w:id="23" w:name="mathematical-notation-legend"/>
    <w:p>
      <w:pPr>
        <w:pStyle w:val="Heading2"/>
      </w:pPr>
      <w:r>
        <w:t xml:space="preserve">Mathematical Notation Legend</w:t>
      </w:r>
    </w:p>
    <w:p>
      <w:pPr>
        <w:pStyle w:val="FirstParagraph"/>
      </w:pPr>
      <w:r>
        <w:t xml:space="preserve">This guide uses LaTeX math notation to formalize certain concepts — not because bathrooms require calculus, but because precision reduces ambiguity, and ambiguity is the fuel of anxiety. Here’s how to read the notation:</w:t>
      </w:r>
    </w:p>
    <w:tbl>
      <w:tblPr>
        <w:tblStyle w:val="Table"/>
        <w:tblW w:type="pct" w:w="5000"/>
        <w:jc w:val="left"/>
        <w:tblLayout w:type="fixed"/>
        <w:tblLook w:firstRow="1" w:lastRow="0" w:firstColumn="0" w:lastColumn="0" w:noHBand="0" w:noVBand="0" w:val="0020"/>
      </w:tblPr>
      <w:tblGrid>
        <w:gridCol w:w="2828"/>
        <w:gridCol w:w="2545"/>
        <w:gridCol w:w="2545"/>
      </w:tblGrid>
      <w:tr>
        <w:trPr>
          <w:tblHeader w:val="on"/>
        </w:trPr>
        <w:tc>
          <w:tcPr/>
          <w:p>
            <w:pPr>
              <w:pStyle w:val="Compact"/>
              <w:jc w:val="left"/>
            </w:pPr>
            <w:r>
              <w:t xml:space="preserve">Notation</w:t>
            </w:r>
          </w:p>
        </w:tc>
        <w:tc>
          <w:tcPr/>
          <w:p>
            <w:pPr>
              <w:pStyle w:val="Compact"/>
              <w:jc w:val="left"/>
            </w:pPr>
            <w:r>
              <w:t xml:space="preserve">Meaning</w:t>
            </w:r>
          </w:p>
        </w:tc>
        <w:tc>
          <w:tcPr/>
          <w:p>
            <w:pPr>
              <w:pStyle w:val="Compact"/>
              <w:jc w:val="left"/>
            </w:pPr>
            <w:r>
              <w:t xml:space="preserve">Example</w:t>
            </w:r>
          </w:p>
        </w:tc>
      </w:tr>
      <w:tr>
        <w:tc>
          <w:tcPr/>
          <w:p>
            <w:pPr>
              <w:pStyle w:val="Compact"/>
              <w:jc w:val="left"/>
            </w:pPr>
            <w:r>
              <w:rPr>
                <w:rStyle w:val="VerbatimChar"/>
              </w:rPr>
              <w:t xml:space="preserve">$x$</w:t>
            </w:r>
          </w:p>
        </w:tc>
        <w:tc>
          <w:tcPr/>
          <w:p>
            <w:pPr>
              <w:pStyle w:val="Compact"/>
              <w:jc w:val="left"/>
            </w:pPr>
            <w:r>
              <w:t xml:space="preserve">Inline math — a variable or formula within text</w:t>
            </w:r>
          </w:p>
        </w:tc>
        <w:tc>
          <w:tcPr/>
          <w:p>
            <w:pPr>
              <w:pStyle w:val="Compact"/>
              <w:jc w:val="left"/>
            </w:pPr>
            <w:r>
              <w:t xml:space="preserve">Heart rate</w:t>
            </w:r>
            <w:r>
              <w:t xml:space="preserve"> </w:t>
            </w:r>
            <m:oMath>
              <m:r>
                <m:t>H</m:t>
              </m:r>
              <m:r>
                <m:t>R</m:t>
              </m:r>
              <m:r>
                <m:rPr>
                  <m:sty m:val="p"/>
                </m:rPr>
                <m:t>∈</m:t>
              </m:r>
              <m:d>
                <m:dPr>
                  <m:begChr m:val="["/>
                  <m:endChr m:val="]"/>
                  <m:sepChr m:val=""/>
                  <m:grow/>
                </m:dPr>
                <m:e>
                  <m:r>
                    <m:t>60</m:t>
                  </m:r>
                  <m:r>
                    <m:rPr>
                      <m:sty m:val="p"/>
                    </m:rPr>
                    <m:t>,</m:t>
                  </m:r>
                  <m:r>
                    <m:t>100</m:t>
                  </m:r>
                </m:e>
              </m:d>
            </m:oMath>
            <w:r>
              <w:t xml:space="preserve"> </w:t>
            </w:r>
            <w:r>
              <w:t xml:space="preserve">bpm</w:t>
            </w:r>
          </w:p>
        </w:tc>
      </w:tr>
      <w:tr>
        <w:tc>
          <w:tcPr/>
          <w:p>
            <w:pPr>
              <w:pStyle w:val="Compact"/>
              <w:jc w:val="left"/>
            </w:pPr>
            <w:r>
              <w:rPr>
                <w:rStyle w:val="VerbatimChar"/>
              </w:rPr>
              <w:t xml:space="preserve">$$...$$</w:t>
            </w:r>
          </w:p>
        </w:tc>
        <w:tc>
          <w:tcPr/>
          <w:p>
            <w:pPr>
              <w:pStyle w:val="Compact"/>
              <w:jc w:val="left"/>
            </w:pPr>
            <w:r>
              <w:t xml:space="preserve">Display math — a standalone formula</w:t>
            </w:r>
          </w:p>
        </w:tc>
        <w:tc>
          <w:tcPr/>
          <w:p>
            <w:pPr>
              <w:pStyle w:val="Compact"/>
              <w:jc w:val="left"/>
            </w:pPr>
            <m:oMathPara>
              <m:oMathParaPr>
                <m:jc m:val="center"/>
              </m:oMathParaPr>
              <m:oMath>
                <m:r>
                  <m:t>C</m:t>
                </m:r>
                <m:d>
                  <m:dPr>
                    <m:begChr m:val="("/>
                    <m:endChr m:val=")"/>
                    <m:sepChr m:val=""/>
                    <m:grow/>
                  </m:dPr>
                  <m:e>
                    <m:r>
                      <m:t>t</m:t>
                    </m:r>
                  </m:e>
                </m:d>
                <m:r>
                  <m:rPr>
                    <m:sty m:val="p"/>
                  </m:rPr>
                  <m:t>=</m:t>
                </m:r>
                <m:sSub>
                  <m:e>
                    <m:r>
                      <m:t>C</m:t>
                    </m:r>
                  </m:e>
                  <m:sub>
                    <m:r>
                      <m:t>0</m:t>
                    </m:r>
                  </m:sub>
                </m:sSub>
                <m:r>
                  <m:rPr>
                    <m:sty m:val="p"/>
                  </m:rPr>
                  <m:t>⋅</m:t>
                </m:r>
                <m:sSup>
                  <m:e>
                    <m:r>
                      <m:t>e</m:t>
                    </m:r>
                  </m:e>
                  <m:sup>
                    <m:r>
                      <m:rPr>
                        <m:sty m:val="p"/>
                      </m:rPr>
                      <m:t>−</m:t>
                    </m:r>
                    <m:r>
                      <m:t>λ</m:t>
                    </m:r>
                    <m:r>
                      <m:t>t</m:t>
                    </m:r>
                  </m:sup>
                </m:sSup>
              </m:oMath>
            </m:oMathPara>
          </w:p>
        </w:tc>
      </w:tr>
      <w:tr>
        <w:tc>
          <w:tcPr/>
          <w:p>
            <w:pPr>
              <w:pStyle w:val="Compact"/>
              <w:jc w:val="left"/>
            </w:pPr>
            <w:r>
              <w:rPr>
                <w:rStyle w:val="VerbatimChar"/>
              </w:rPr>
              <w:t xml:space="preserve">$\in$</w:t>
            </w:r>
          </w:p>
        </w:tc>
        <w:tc>
          <w:tcPr/>
          <w:p>
            <w:pPr>
              <w:pStyle w:val="Compact"/>
              <w:jc w:val="left"/>
            </w:pPr>
            <w:r>
              <w:t xml:space="preserve">“</w:t>
            </w:r>
            <w:r>
              <w:t xml:space="preserve">is an element of</w:t>
            </w:r>
            <w:r>
              <w:t xml:space="preserve">”</w:t>
            </w:r>
            <w:r>
              <w:t xml:space="preserve"> </w:t>
            </w:r>
            <w:r>
              <w:t xml:space="preserve">— value belongs to a set</w:t>
            </w:r>
          </w:p>
        </w:tc>
        <w:tc>
          <w:tcPr/>
          <w:p>
            <w:pPr>
              <w:pStyle w:val="Compact"/>
              <w:jc w:val="left"/>
            </w:pPr>
            <m:oMath>
              <m:r>
                <m:t>N</m:t>
              </m:r>
              <m:r>
                <m:t>R</m:t>
              </m:r>
              <m:r>
                <m:t>S</m:t>
              </m:r>
              <m:r>
                <m:rPr>
                  <m:sty m:val="p"/>
                </m:rPr>
                <m:t>∈</m:t>
              </m:r>
              <m:d>
                <m:dPr>
                  <m:begChr m:val="["/>
                  <m:endChr m:val="]"/>
                  <m:sepChr m:val=""/>
                  <m:grow/>
                </m:dPr>
                <m:e>
                  <m:r>
                    <m:t>0</m:t>
                  </m:r>
                  <m:r>
                    <m:rPr>
                      <m:sty m:val="p"/>
                    </m:rPr>
                    <m:t>,</m:t>
                  </m:r>
                  <m:r>
                    <m:t>10</m:t>
                  </m:r>
                </m:e>
              </m:d>
            </m:oMath>
          </w:p>
        </w:tc>
      </w:tr>
      <w:tr>
        <w:tc>
          <w:tcPr/>
          <w:p>
            <w:pPr>
              <w:pStyle w:val="Compact"/>
              <w:jc w:val="left"/>
            </w:pPr>
            <w:r>
              <w:rPr>
                <w:rStyle w:val="VerbatimChar"/>
              </w:rPr>
              <w:t xml:space="preserve">$\approx$</w:t>
            </w:r>
          </w:p>
        </w:tc>
        <w:tc>
          <w:tcPr/>
          <w:p>
            <w:pPr>
              <w:pStyle w:val="Compact"/>
              <w:jc w:val="left"/>
            </w:pPr>
            <w:r>
              <w:t xml:space="preserve">Approximately equal</w:t>
            </w:r>
          </w:p>
        </w:tc>
        <w:tc>
          <w:tcPr/>
          <w:p>
            <w:pPr>
              <w:pStyle w:val="Compact"/>
              <w:jc w:val="left"/>
            </w:pPr>
            <m:oMath>
              <m:sSub>
                <m:e>
                  <m:r>
                    <m:t>t</m:t>
                  </m:r>
                </m:e>
                <m:sub>
                  <m:r>
                    <m:t>r</m:t>
                  </m:r>
                  <m:r>
                    <m:t>e</m:t>
                  </m:r>
                  <m:r>
                    <m:t>s</m:t>
                  </m:r>
                  <m:r>
                    <m:t>e</m:t>
                  </m:r>
                  <m:r>
                    <m:t>t</m:t>
                  </m:r>
                </m:sub>
              </m:sSub>
              <m:r>
                <m:rPr>
                  <m:sty m:val="p"/>
                </m:rPr>
                <m:t>≈</m:t>
              </m:r>
              <m:r>
                <m:t>10</m:t>
              </m:r>
              <m:r>
                <m:rPr>
                  <m:nor/>
                  <m:sty m:val="p"/>
                </m:rPr>
                <m:t>min</m:t>
              </m:r>
            </m:oMath>
          </w:p>
        </w:tc>
      </w:tr>
      <w:tr>
        <w:tc>
          <w:tcPr/>
          <w:p>
            <w:pPr>
              <w:pStyle w:val="Compact"/>
              <w:jc w:val="left"/>
            </w:pPr>
            <w:r>
              <w:rPr>
                <w:rStyle w:val="VerbatimChar"/>
              </w:rPr>
              <w:t xml:space="preserve">$\rightarrow$</w:t>
            </w:r>
          </w:p>
        </w:tc>
        <w:tc>
          <w:tcPr/>
          <w:p>
            <w:pPr>
              <w:pStyle w:val="Compact"/>
              <w:jc w:val="left"/>
            </w:pPr>
            <w:r>
              <w:t xml:space="preserve">Approaches or leads to</w:t>
            </w:r>
          </w:p>
        </w:tc>
        <w:tc>
          <w:tcPr/>
          <w:p>
            <w:pPr>
              <w:pStyle w:val="Compact"/>
              <w:jc w:val="left"/>
            </w:pPr>
            <m:oMath>
              <m:r>
                <m:t>n</m:t>
              </m:r>
              <m:r>
                <m:rPr>
                  <m:sty m:val="p"/>
                </m:rPr>
                <m:t>→</m:t>
              </m:r>
              <m:r>
                <m:rPr>
                  <m:sty m:val="p"/>
                </m:rPr>
                <m:t>∞</m:t>
              </m:r>
            </m:oMath>
          </w:p>
        </w:tc>
      </w:tr>
    </w:tbl>
    <w:p>
      <w:pPr>
        <w:pStyle w:val="BodyText"/>
      </w:pPr>
      <w:r>
        <w:t xml:space="preserve">If you see a formula and think</w:t>
      </w:r>
      <w:r>
        <w:t xml:space="preserve"> </w:t>
      </w:r>
      <w:r>
        <w:t xml:space="preserve">“</w:t>
      </w:r>
      <w:r>
        <w:t xml:space="preserve">I don’t need this right now</w:t>
      </w:r>
      <w:r>
        <w:t xml:space="preserve">”</w:t>
      </w:r>
      <w:r>
        <w:t xml:space="preserve"> </w:t>
      </w:r>
      <w:r>
        <w:t xml:space="preserve">— skip it. The plain-language explanation always follows the math. The formulas are for when you want to understand</w:t>
      </w:r>
      <w:r>
        <w:t xml:space="preserve"> </w:t>
      </w:r>
      <w:r>
        <w:rPr>
          <w:i/>
          <w:iCs/>
        </w:rPr>
        <w:t xml:space="preserve">why</w:t>
      </w:r>
      <w:r>
        <w:t xml:space="preserve"> </w:t>
      </w:r>
      <w:r>
        <w:t xml:space="preserve">the plain language works.</w:t>
      </w:r>
    </w:p>
    <w:bookmarkEnd w:id="23"/>
    <w:bookmarkStart w:id="24" w:name="quick-start-procedure"/>
    <w:p>
      <w:pPr>
        <w:pStyle w:val="Heading2"/>
      </w:pPr>
      <w:r>
        <w:t xml:space="preserve">Quick-Start Procedure</w:t>
      </w:r>
    </w:p>
    <w:p>
      <w:pPr>
        <w:pStyle w:val="Compact"/>
        <w:numPr>
          <w:ilvl w:val="0"/>
          <w:numId w:val="1001"/>
        </w:numPr>
      </w:pPr>
      <w:r>
        <w:t xml:space="preserve">Identify your current situation from the</w:t>
      </w:r>
      <w:r>
        <w:t xml:space="preserve"> </w:t>
      </w:r>
      <w:r>
        <w:rPr>
          <w:b/>
          <w:bCs/>
        </w:rPr>
        <w:t xml:space="preserve">Master Flowchart</w:t>
      </w:r>
      <w:r>
        <w:t xml:space="preserve"> </w:t>
      </w:r>
      <w:r>
        <w:t xml:space="preserve">below (or from the list of seven entry points).</w:t>
      </w:r>
    </w:p>
    <w:p>
      <w:pPr>
        <w:pStyle w:val="Compact"/>
        <w:numPr>
          <w:ilvl w:val="0"/>
          <w:numId w:val="1001"/>
        </w:numPr>
      </w:pPr>
      <w:r>
        <w:t xml:space="preserve">Follow the numbered steps along your path. Decisions are marked with ◆; destinations are marked with 📍.</w:t>
      </w:r>
    </w:p>
    <w:p>
      <w:pPr>
        <w:pStyle w:val="Compact"/>
        <w:numPr>
          <w:ilvl w:val="0"/>
          <w:numId w:val="1001"/>
        </w:numPr>
      </w:pPr>
      <w:r>
        <w:t xml:space="preserve">Every path ends at one or more destination guides. Go there. Read. Act.</w:t>
      </w:r>
    </w:p>
    <w:p>
      <w:pPr>
        <w:pStyle w:val="Compact"/>
        <w:numPr>
          <w:ilvl w:val="0"/>
          <w:numId w:val="1001"/>
        </w:numPr>
      </w:pPr>
      <w:r>
        <w:t xml:space="preserve">If multiple paths apply, handle the most urgent one first (prioritize: physical safety &gt; acute distress &gt; everything else).</w:t>
      </w:r>
    </w:p>
    <w:bookmarkEnd w:id="24"/>
    <w:bookmarkStart w:id="29" w:name="guide-topology-a-graph-theoretic-model"/>
    <w:p>
      <w:pPr>
        <w:pStyle w:val="Heading2"/>
      </w:pPr>
      <w:r>
        <w:t xml:space="preserve">Guide Topology — A Graph-Theoretic Model</w:t>
      </w:r>
    </w:p>
    <w:p>
      <w:pPr>
        <w:pStyle w:val="FirstParagraph"/>
      </w:pPr>
      <w:r>
        <w:t xml:space="preserve">For the mathematically inclined (or the analytically anxious who need to understand the structure before trusting it), this guide can be formalized as a directed graph:</w:t>
      </w:r>
    </w:p>
    <w:p>
      <w:pPr>
        <w:pStyle w:val="BodyText"/>
      </w:pPr>
      <m:oMathPara>
        <m:oMathParaPr>
          <m:jc m:val="center"/>
        </m:oMathParaPr>
        <m:oMath>
          <m:r>
            <m:t>G</m:t>
          </m:r>
          <m:r>
            <m:rPr>
              <m:sty m:val="p"/>
            </m:rPr>
            <m:t>=</m:t>
          </m:r>
          <m:d>
            <m:dPr>
              <m:begChr m:val="("/>
              <m:endChr m:val=")"/>
              <m:sepChr m:val=""/>
              <m:grow/>
            </m:dPr>
            <m:e>
              <m:r>
                <m:t>V</m:t>
              </m:r>
              <m:r>
                <m:rPr>
                  <m:sty m:val="p"/>
                </m:rPr>
                <m:t>,</m:t>
              </m:r>
              <m:r>
                <m:t>E</m:t>
              </m:r>
            </m:e>
          </m:d>
        </m:oMath>
      </m:oMathPara>
    </w:p>
    <w:p>
      <w:pPr>
        <w:pStyle w:val="FirstParagraph"/>
      </w:pPr>
      <w:r>
        <w:t xml:space="preserve">where</w:t>
      </w:r>
      <w:r>
        <w:t xml:space="preserve"> </w:t>
      </w:r>
      <m:oMath>
        <m:r>
          <m:t>V</m:t>
        </m:r>
      </m:oMath>
      <w:r>
        <w:t xml:space="preserve"> </w:t>
      </w:r>
      <w:r>
        <w:t xml:space="preserve">is the set of nodes and</w:t>
      </w:r>
      <w:r>
        <w:t xml:space="preserve"> </w:t>
      </w:r>
      <m:oMath>
        <m:r>
          <m:t>E</m:t>
        </m:r>
      </m:oMath>
      <w:r>
        <w:t xml:space="preserve"> </w:t>
      </w:r>
      <w:r>
        <w:t xml:space="preserve">is the set of directed edges. Our guide topology has:</w:t>
      </w:r>
    </w:p>
    <w:p>
      <w:pPr>
        <w:pStyle w:val="Compact"/>
        <w:numPr>
          <w:ilvl w:val="0"/>
          <w:numId w:val="1002"/>
        </w:numPr>
      </w:pPr>
      <w:r>
        <w:rPr>
          <w:b/>
          <w:bCs/>
        </w:rPr>
        <w:t xml:space="preserve">Entry nodes</w:t>
      </w:r>
      <w:r>
        <w:t xml:space="preserve"> </w:t>
      </w:r>
      <w:r>
        <w:t xml:space="preserve">(</w:t>
      </w:r>
      <m:oMath>
        <m:d>
          <m:dPr>
            <m:begChr m:val="|"/>
            <m:endChr m:val="|"/>
            <m:sepChr m:val=""/>
            <m:grow/>
          </m:dPr>
          <m:e>
            <m:sSub>
              <m:e>
                <m:r>
                  <m:t>V</m:t>
                </m:r>
              </m:e>
              <m:sub>
                <m:r>
                  <m:t>e</m:t>
                </m:r>
                <m:r>
                  <m:t>n</m:t>
                </m:r>
                <m:r>
                  <m:t>t</m:t>
                </m:r>
                <m:r>
                  <m:t>r</m:t>
                </m:r>
                <m:r>
                  <m:t>y</m:t>
                </m:r>
              </m:sub>
            </m:sSub>
          </m:e>
        </m:d>
        <m:r>
          <m:rPr>
            <m:sty m:val="p"/>
          </m:rPr>
          <m:t>=</m:t>
        </m:r>
        <m:r>
          <m:t>7</m:t>
        </m:r>
      </m:oMath>
      <w:r>
        <w:t xml:space="preserve">): Situations A through G — the seven ways you arrived in this bathroom</w:t>
      </w:r>
    </w:p>
    <w:p>
      <w:pPr>
        <w:pStyle w:val="Compact"/>
        <w:numPr>
          <w:ilvl w:val="0"/>
          <w:numId w:val="1002"/>
        </w:numPr>
      </w:pPr>
      <w:r>
        <w:rPr>
          <w:b/>
          <w:bCs/>
        </w:rPr>
        <w:t xml:space="preserve">Decision nodes</w:t>
      </w:r>
      <w:r>
        <w:t xml:space="preserve"> </w:t>
      </w:r>
      <w:r>
        <w:t xml:space="preserve">(</w:t>
      </w:r>
      <m:oMath>
        <m:d>
          <m:dPr>
            <m:begChr m:val="|"/>
            <m:endChr m:val="|"/>
            <m:sepChr m:val=""/>
            <m:grow/>
          </m:dPr>
          <m:e>
            <m:sSub>
              <m:e>
                <m:r>
                  <m:t>V</m:t>
                </m:r>
              </m:e>
              <m:sub>
                <m:r>
                  <m:t>d</m:t>
                </m:r>
                <m:r>
                  <m:t>e</m:t>
                </m:r>
                <m:r>
                  <m:t>c</m:t>
                </m:r>
                <m:r>
                  <m:t>i</m:t>
                </m:r>
                <m:r>
                  <m:t>s</m:t>
                </m:r>
                <m:r>
                  <m:t>i</m:t>
                </m:r>
                <m:r>
                  <m:t>o</m:t>
                </m:r>
                <m:r>
                  <m:t>n</m:t>
                </m:r>
              </m:sub>
            </m:sSub>
          </m:e>
        </m:d>
        <m:r>
          <m:rPr>
            <m:sty m:val="p"/>
          </m:rPr>
          <m:t>≈</m:t>
        </m:r>
        <m:r>
          <m:t>14</m:t>
        </m:r>
      </m:oMath>
      <w:r>
        <w:t xml:space="preserve">): Internal ◆ points within each situation</w:t>
      </w:r>
    </w:p>
    <w:p>
      <w:pPr>
        <w:pStyle w:val="Compact"/>
        <w:numPr>
          <w:ilvl w:val="0"/>
          <w:numId w:val="1002"/>
        </w:numPr>
      </w:pPr>
      <w:r>
        <w:rPr>
          <w:b/>
          <w:bCs/>
        </w:rPr>
        <w:t xml:space="preserve">Destination nodes</w:t>
      </w:r>
      <w:r>
        <w:t xml:space="preserve"> </w:t>
      </w:r>
      <w:r>
        <w:t xml:space="preserve">(</w:t>
      </w:r>
      <m:oMath>
        <m:d>
          <m:dPr>
            <m:begChr m:val="|"/>
            <m:endChr m:val="|"/>
            <m:sepChr m:val=""/>
            <m:grow/>
          </m:dPr>
          <m:e>
            <m:sSub>
              <m:e>
                <m:r>
                  <m:t>V</m:t>
                </m:r>
              </m:e>
              <m:sub>
                <m:r>
                  <m:t>d</m:t>
                </m:r>
                <m:r>
                  <m:t>e</m:t>
                </m:r>
                <m:r>
                  <m:t>s</m:t>
                </m:r>
                <m:r>
                  <m:t>t</m:t>
                </m:r>
              </m:sub>
            </m:sSub>
          </m:e>
        </m:d>
        <m:r>
          <m:rPr>
            <m:sty m:val="p"/>
          </m:rPr>
          <m:t>=</m:t>
        </m:r>
        <m:r>
          <m:t>4</m:t>
        </m:r>
      </m:oMath>
      <w:r>
        <w:t xml:space="preserve">): The four destination guides (Calm, Self Ambulance, Zombie, Professional Support)</w:t>
      </w:r>
    </w:p>
    <w:p>
      <w:pPr>
        <w:pStyle w:val="FirstParagraph"/>
      </w:pPr>
      <w:r>
        <w:t xml:space="preserve">The total graph:</w:t>
      </w:r>
      <w:r>
        <w:t xml:space="preserve"> </w:t>
      </w:r>
      <m:oMath>
        <m:d>
          <m:dPr>
            <m:begChr m:val="|"/>
            <m:endChr m:val="|"/>
            <m:sepChr m:val=""/>
            <m:grow/>
          </m:dPr>
          <m:e>
            <m:r>
              <m:t>V</m:t>
            </m:r>
          </m:e>
        </m:d>
        <m:r>
          <m:rPr>
            <m:sty m:val="p"/>
          </m:rPr>
          <m:t>=</m:t>
        </m:r>
        <m:r>
          <m:t>25</m:t>
        </m:r>
      </m:oMath>
      <w:r>
        <w:t xml:space="preserve"> </w:t>
      </w:r>
      <w:r>
        <w:t xml:space="preserve">nodes,</w:t>
      </w:r>
      <w:r>
        <w:t xml:space="preserve"> </w:t>
      </w:r>
      <m:oMath>
        <m:d>
          <m:dPr>
            <m:begChr m:val="|"/>
            <m:endChr m:val="|"/>
            <m:sepChr m:val=""/>
            <m:grow/>
          </m:dPr>
          <m:e>
            <m:r>
              <m:t>E</m:t>
            </m:r>
          </m:e>
        </m:d>
        <m:r>
          <m:rPr>
            <m:sty m:val="p"/>
          </m:rPr>
          <m:t>≈</m:t>
        </m:r>
        <m:r>
          <m:t>38</m:t>
        </m:r>
      </m:oMath>
      <w:r>
        <w:t xml:space="preserve"> </w:t>
      </w:r>
      <w:r>
        <w:t xml:space="preserve">directed edges. Every path from an entry node reaches at least one destination node — this is the graph’s</w:t>
      </w:r>
      <w:r>
        <w:t xml:space="preserve"> </w:t>
      </w:r>
      <w:r>
        <w:rPr>
          <w:b/>
          <w:bCs/>
        </w:rPr>
        <w:t xml:space="preserve">reachability invariant</w:t>
      </w:r>
      <w:r>
        <w:t xml:space="preserve">, and it’s what guarantees you’ll never get stuck in this guide without a next step.</w:t>
      </w:r>
      <w:r>
        <w:rPr>
          <w:rStyle w:val="FootnoteReference"/>
        </w:rPr>
        <w:footnoteReference w:id="25"/>
      </w:r>
    </w:p>
    <w:p>
      <w:pPr>
        <w:pStyle w:val="CaptionedFigure"/>
      </w:pPr>
      <w:r>
        <w:drawing>
          <wp:inline>
            <wp:extent cx="5334000" cy="3475438"/>
            <wp:effectExtent b="0" l="0" r="0" t="0"/>
            <wp:docPr descr="Decision Flow Graph — structural topology of the guide" title="" id="27" name="Picture"/>
            <a:graphic>
              <a:graphicData uri="http://schemas.openxmlformats.org/drawingml/2006/picture">
                <pic:pic>
                  <pic:nvPicPr>
                    <pic:cNvPr descr="../diagrams/decision_flow_graph.png" id="28" name="Picture"/>
                    <pic:cNvPicPr>
                      <a:picLocks noChangeArrowheads="1" noChangeAspect="1"/>
                    </pic:cNvPicPr>
                  </pic:nvPicPr>
                  <pic:blipFill>
                    <a:blip r:embed="rId26"/>
                    <a:stretch>
                      <a:fillRect/>
                    </a:stretch>
                  </pic:blipFill>
                  <pic:spPr bwMode="auto">
                    <a:xfrm>
                      <a:off x="0" y="0"/>
                      <a:ext cx="5334000" cy="3475438"/>
                    </a:xfrm>
                    <a:prstGeom prst="rect">
                      <a:avLst/>
                    </a:prstGeom>
                    <a:noFill/>
                    <a:ln w="9525">
                      <a:noFill/>
                      <a:headEnd/>
                      <a:tailEnd/>
                    </a:ln>
                  </pic:spPr>
                </pic:pic>
              </a:graphicData>
            </a:graphic>
          </wp:inline>
        </w:drawing>
      </w:r>
    </w:p>
    <w:p>
      <w:pPr>
        <w:pStyle w:val="ImageCaption"/>
      </w:pPr>
      <w:r>
        <w:t xml:space="preserve">Decision Flow Graph — structural topology of the guide</w:t>
      </w:r>
    </w:p>
    <w:bookmarkEnd w:id="29"/>
    <w:bookmarkStart w:id="30" w:name="flowchart-legend"/>
    <w:p>
      <w:pPr>
        <w:pStyle w:val="Heading2"/>
      </w:pPr>
      <w:r>
        <w:t xml:space="preserve">Flowchart Legend</w:t>
      </w:r>
    </w:p>
    <w:tbl>
      <w:tblPr>
        <w:tblStyle w:val="Table"/>
        <w:tblW w:type="pct" w:w="5000"/>
        <w:jc w:val="left"/>
        <w:tblLayout w:type="fixed"/>
        <w:tblLook w:firstRow="1" w:lastRow="0" w:firstColumn="0" w:lastColumn="0" w:noHBand="0" w:noVBand="0" w:val="0020"/>
      </w:tblPr>
      <w:tblGrid>
        <w:gridCol w:w="3727"/>
        <w:gridCol w:w="4192"/>
      </w:tblGrid>
      <w:tr>
        <w:trPr>
          <w:tblHeader w:val="on"/>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w:t>
            </w:r>
          </w:p>
        </w:tc>
        <w:tc>
          <w:tcPr/>
          <w:p>
            <w:pPr>
              <w:pStyle w:val="Compact"/>
              <w:jc w:val="left"/>
            </w:pPr>
            <w:r>
              <w:t xml:space="preserve">Follow this path</w:t>
            </w:r>
          </w:p>
        </w:tc>
      </w:tr>
      <w:tr>
        <w:tc>
          <w:tcPr/>
          <w:p>
            <w:pPr>
              <w:pStyle w:val="Compact"/>
              <w:jc w:val="left"/>
            </w:pPr>
            <w:r>
              <w:t xml:space="preserve">◆</w:t>
            </w:r>
          </w:p>
        </w:tc>
        <w:tc>
          <w:tcPr/>
          <w:p>
            <w:pPr>
              <w:pStyle w:val="Compact"/>
              <w:jc w:val="left"/>
            </w:pPr>
            <w:r>
              <w:t xml:space="preserve">Decision point — answer the question to proceed</w:t>
            </w:r>
          </w:p>
        </w:tc>
      </w:tr>
      <w:tr>
        <w:tc>
          <w:tcPr/>
          <w:p>
            <w:pPr>
              <w:pStyle w:val="Compact"/>
              <w:jc w:val="left"/>
            </w:pPr>
            <w:r>
              <w:t xml:space="preserve">📍</w:t>
            </w:r>
          </w:p>
        </w:tc>
        <w:tc>
          <w:tcPr/>
          <w:p>
            <w:pPr>
              <w:pStyle w:val="Compact"/>
              <w:jc w:val="left"/>
            </w:pPr>
            <w:r>
              <w:t xml:space="preserve">Destination guide — go to the referenced chapter</w:t>
            </w:r>
          </w:p>
        </w:tc>
      </w:tr>
      <w:tr>
        <w:tc>
          <w:tcPr/>
          <w:p>
            <w:pPr>
              <w:pStyle w:val="Compact"/>
              <w:jc w:val="left"/>
            </w:pPr>
            <w:r>
              <w:t xml:space="preserve">§</w:t>
            </w:r>
          </w:p>
        </w:tc>
        <w:tc>
          <w:tcPr/>
          <w:p>
            <w:pPr>
              <w:pStyle w:val="Compact"/>
              <w:jc w:val="left"/>
            </w:pPr>
            <w:r>
              <w:t xml:space="preserve">Terminus — this path has no useful guidance (reconsider your choices)</w:t>
            </w:r>
          </w:p>
        </w:tc>
      </w:tr>
      <w:tr>
        <w:tc>
          <w:tcPr/>
          <w:p>
            <w:pPr>
              <w:pStyle w:val="Compact"/>
              <w:jc w:val="left"/>
            </w:pPr>
            <w:r>
              <w:t xml:space="preserve">🔁</w:t>
            </w:r>
          </w:p>
        </w:tc>
        <w:tc>
          <w:tcPr/>
          <w:p>
            <w:pPr>
              <w:pStyle w:val="Compact"/>
              <w:jc w:val="left"/>
            </w:pPr>
            <w:r>
              <w:t xml:space="preserve">Loop back — you may re-enter the flowchart from another entry point</w:t>
            </w:r>
          </w:p>
        </w:tc>
      </w:tr>
    </w:tbl>
    <w:bookmarkEnd w:id="30"/>
    <w:bookmarkStart w:id="31" w:name="your-current-status"/>
    <w:p>
      <w:pPr>
        <w:pStyle w:val="Heading2"/>
      </w:pPr>
      <w:r>
        <w:t xml:space="preserve">Your Current Status</w:t>
      </w:r>
    </w:p>
    <w:p>
      <w:pPr>
        <w:pStyle w:val="FirstParagraph"/>
      </w:pPr>
      <w:r>
        <w:t xml:space="preserve">You are in a bathroom. By definition:</w:t>
      </w:r>
    </w:p>
    <w:p>
      <w:pPr>
        <w:pStyle w:val="Compact"/>
        <w:numPr>
          <w:ilvl w:val="0"/>
          <w:numId w:val="1003"/>
        </w:numPr>
      </w:pPr>
      <w:r>
        <w:t xml:space="preserve">✓ The door likely locks — you have privacy</w:t>
      </w:r>
    </w:p>
    <w:p>
      <w:pPr>
        <w:pStyle w:val="Compact"/>
        <w:numPr>
          <w:ilvl w:val="0"/>
          <w:numId w:val="1003"/>
        </w:numPr>
      </w:pPr>
      <w:r>
        <w:t xml:space="preserve">✓ Running water is available — you have hygiene resources</w:t>
      </w:r>
    </w:p>
    <w:p>
      <w:pPr>
        <w:pStyle w:val="Compact"/>
        <w:numPr>
          <w:ilvl w:val="0"/>
          <w:numId w:val="1003"/>
        </w:numPr>
      </w:pPr>
      <w:r>
        <w:t xml:space="preserve">✓ You are indoors — you are sheltered</w:t>
      </w:r>
    </w:p>
    <w:p>
      <w:pPr>
        <w:pStyle w:val="Compact"/>
        <w:numPr>
          <w:ilvl w:val="0"/>
          <w:numId w:val="1003"/>
        </w:numPr>
      </w:pPr>
      <w:r>
        <w:t xml:space="preserve">✓ You chose to come here — some part of you is already practicing self-care</w:t>
      </w:r>
    </w:p>
    <w:p>
      <w:pPr>
        <w:pStyle w:val="FirstParagraph"/>
      </w:pPr>
      <w:r>
        <w:t xml:space="preserve">Let’s formalize your resource state. Define</w:t>
      </w:r>
      <w:r>
        <w:t xml:space="preserve"> </w:t>
      </w:r>
      <m:oMath>
        <m:r>
          <m:t>R</m:t>
        </m:r>
      </m:oMath>
      <w:r>
        <w:t xml:space="preserve"> </w:t>
      </w:r>
      <w:r>
        <w:t xml:space="preserve">as the set of available resources:</w:t>
      </w:r>
    </w:p>
    <w:p>
      <w:pPr>
        <w:pStyle w:val="BodyText"/>
      </w:pPr>
      <m:oMathPara>
        <m:oMathParaPr>
          <m:jc m:val="center"/>
        </m:oMathParaPr>
        <m:oMath>
          <m:r>
            <m:t>R</m:t>
          </m:r>
          <m:r>
            <m:rPr>
              <m:sty m:val="p"/>
            </m:rPr>
            <m:t>=</m:t>
          </m:r>
          <m:r>
            <m:rPr>
              <m:sty m:val="p"/>
            </m:rPr>
            <m:t>{</m:t>
          </m:r>
          <m:r>
            <m:t>p</m:t>
          </m:r>
          <m:r>
            <m:t>r</m:t>
          </m:r>
          <m:r>
            <m:t>i</m:t>
          </m:r>
          <m:r>
            <m:t>v</m:t>
          </m:r>
          <m:r>
            <m:t>a</m:t>
          </m:r>
          <m:r>
            <m:t>c</m:t>
          </m:r>
          <m:r>
            <m:t>y</m:t>
          </m:r>
          <m:r>
            <m:rPr>
              <m:sty m:val="p"/>
            </m:rPr>
            <m:t>,</m:t>
          </m:r>
          <m:r>
            <m:t>w</m:t>
          </m:r>
          <m:r>
            <m:t>a</m:t>
          </m:r>
          <m:r>
            <m:t>t</m:t>
          </m:r>
          <m:r>
            <m:t>e</m:t>
          </m:r>
          <m:r>
            <m:t>r</m:t>
          </m:r>
          <m:r>
            <m:rPr>
              <m:sty m:val="p"/>
            </m:rPr>
            <m:t>,</m:t>
          </m:r>
          <m:r>
            <m:t>s</m:t>
          </m:r>
          <m:r>
            <m:t>h</m:t>
          </m:r>
          <m:r>
            <m:t>e</m:t>
          </m:r>
          <m:r>
            <m:t>l</m:t>
          </m:r>
          <m:r>
            <m:t>t</m:t>
          </m:r>
          <m:r>
            <m:t>e</m:t>
          </m:r>
          <m:r>
            <m:t>r</m:t>
          </m:r>
          <m:r>
            <m:rPr>
              <m:sty m:val="p"/>
            </m:rPr>
            <m:t>,</m:t>
          </m:r>
          <m:r>
            <m:t>s</m:t>
          </m:r>
          <m:r>
            <m:t>e</m:t>
          </m:r>
          <m:r>
            <m:t>l</m:t>
          </m:r>
          <m:r>
            <m:t>f</m:t>
          </m:r>
          <m:r>
            <m:rPr>
              <m:sty m:val="p"/>
            </m:rPr>
            <m:t>_</m:t>
          </m:r>
          <m:r>
            <m:t>a</m:t>
          </m:r>
          <m:r>
            <m:t>w</m:t>
          </m:r>
          <m:r>
            <m:t>a</m:t>
          </m:r>
          <m:r>
            <m:t>r</m:t>
          </m:r>
          <m:r>
            <m:t>e</m:t>
          </m:r>
          <m:r>
            <m:t>n</m:t>
          </m:r>
          <m:r>
            <m:t>e</m:t>
          </m:r>
          <m:r>
            <m:t>s</m:t>
          </m:r>
          <m:r>
            <m:t>s</m:t>
          </m:r>
          <m:r>
            <m:rPr>
              <m:sty m:val="p"/>
            </m:rPr>
            <m:t>}</m:t>
          </m:r>
        </m:oMath>
      </m:oMathPara>
    </w:p>
    <w:p>
      <w:pPr>
        <w:pStyle w:val="FirstParagraph"/>
      </w:pPr>
      <w:r>
        <w:t xml:space="preserve">With</w:t>
      </w:r>
      <w:r>
        <w:t xml:space="preserve"> </w:t>
      </w:r>
      <m:oMath>
        <m:d>
          <m:dPr>
            <m:begChr m:val="|"/>
            <m:endChr m:val="|"/>
            <m:sepChr m:val=""/>
            <m:grow/>
          </m:dPr>
          <m:e>
            <m:r>
              <m:t>R</m:t>
            </m:r>
          </m:e>
        </m:d>
        <m:r>
          <m:rPr>
            <m:sty m:val="p"/>
          </m:rPr>
          <m:t>=</m:t>
        </m:r>
        <m:r>
          <m:t>4</m:t>
        </m:r>
      </m:oMath>
      <w:r>
        <w:t xml:space="preserve">, you have more resources than your anxiety is letting you see. Anxiety narrows the perceived resource set to</w:t>
      </w:r>
      <w:r>
        <w:t xml:space="preserve"> </w:t>
      </w:r>
      <m:oMath>
        <m:d>
          <m:dPr>
            <m:begChr m:val="|"/>
            <m:endChr m:val="|"/>
            <m:sepChr m:val=""/>
            <m:grow/>
          </m:dPr>
          <m:e>
            <m:sSub>
              <m:e>
                <m:r>
                  <m:t>R</m:t>
                </m:r>
              </m:e>
              <m:sub>
                <m:r>
                  <m:t>p</m:t>
                </m:r>
                <m:r>
                  <m:t>e</m:t>
                </m:r>
                <m:r>
                  <m:t>r</m:t>
                </m:r>
                <m:r>
                  <m:t>c</m:t>
                </m:r>
                <m:r>
                  <m:t>e</m:t>
                </m:r>
                <m:r>
                  <m:t>i</m:t>
                </m:r>
                <m:r>
                  <m:t>v</m:t>
                </m:r>
                <m:r>
                  <m:t>e</m:t>
                </m:r>
                <m:r>
                  <m:t>d</m:t>
                </m:r>
              </m:sub>
            </m:sSub>
          </m:e>
        </m:d>
        <m:r>
          <m:rPr>
            <m:sty m:val="p"/>
          </m:rPr>
          <m:t>≪</m:t>
        </m:r>
        <m:d>
          <m:dPr>
            <m:begChr m:val="|"/>
            <m:endChr m:val="|"/>
            <m:sepChr m:val=""/>
            <m:grow/>
          </m:dPr>
          <m:e>
            <m:r>
              <m:t>R</m:t>
            </m:r>
          </m:e>
        </m:d>
      </m:oMath>
      <w:r>
        <w:t xml:space="preserve">. The purpose of this guide is to restore</w:t>
      </w:r>
      <w:r>
        <w:t xml:space="preserve"> </w:t>
      </w:r>
      <m:oMath>
        <m:sSub>
          <m:e>
            <m:r>
              <m:t>R</m:t>
            </m:r>
          </m:e>
          <m:sub>
            <m:r>
              <m:t>p</m:t>
            </m:r>
            <m:r>
              <m:t>e</m:t>
            </m:r>
            <m:r>
              <m:t>r</m:t>
            </m:r>
            <m:r>
              <m:t>c</m:t>
            </m:r>
            <m:r>
              <m:t>e</m:t>
            </m:r>
            <m:r>
              <m:t>i</m:t>
            </m:r>
            <m:r>
              <m:t>v</m:t>
            </m:r>
            <m:r>
              <m:t>e</m:t>
            </m:r>
            <m:r>
              <m:t>d</m:t>
            </m:r>
          </m:sub>
        </m:sSub>
        <m:r>
          <m:rPr>
            <m:sty m:val="p"/>
          </m:rPr>
          <m:t>→</m:t>
        </m:r>
        <m:r>
          <m:t>R</m:t>
        </m:r>
      </m:oMath>
      <w:r>
        <w:t xml:space="preserve">. This is not metaphor — it’s cognitive restructuring, and it works.</w:t>
      </w:r>
    </w:p>
    <w:p>
      <w:pPr>
        <w:pStyle w:val="BodyText"/>
      </w:pPr>
      <w:r>
        <w:t xml:space="preserve">This is a stable starting position. Proceed with whatever brought you here.</w:t>
      </w:r>
    </w:p>
    <w:bookmarkEnd w:id="31"/>
    <w:bookmarkStart w:id="35" w:name="master-flowchart-what-brought-you-here"/>
    <w:p>
      <w:pPr>
        <w:pStyle w:val="Heading2"/>
      </w:pPr>
      <w:r>
        <w:t xml:space="preserve">Master Flowchart —</w:t>
      </w:r>
      <w:r>
        <w:t xml:space="preserve"> </w:t>
      </w:r>
      <w:r>
        <w:t xml:space="preserve">“</w:t>
      </w:r>
      <w:r>
        <w:t xml:space="preserve">What Brought You Here?</w:t>
      </w:r>
      <w:r>
        <w:t xml:space="preserve">”</w:t>
      </w:r>
    </w:p>
    <w:p>
      <w:pPr>
        <w:pStyle w:val="CaptionedFigure"/>
      </w:pPr>
      <w:r>
        <w:drawing>
          <wp:inline>
            <wp:extent cx="5334000" cy="4390759"/>
            <wp:effectExtent b="0" l="0" r="0" t="0"/>
            <wp:docPr descr="Master Flowchart — all 7 entry points converging on 4 destination guides" title="" id="33" name="Picture"/>
            <a:graphic>
              <a:graphicData uri="http://schemas.openxmlformats.org/drawingml/2006/picture">
                <pic:pic>
                  <pic:nvPicPr>
                    <pic:cNvPr descr="../diagrams/master_flowchart.png" id="34" name="Picture"/>
                    <pic:cNvPicPr>
                      <a:picLocks noChangeArrowheads="1" noChangeAspect="1"/>
                    </pic:cNvPicPr>
                  </pic:nvPicPr>
                  <pic:blipFill>
                    <a:blip r:embed="rId32"/>
                    <a:stretch>
                      <a:fillRect/>
                    </a:stretch>
                  </pic:blipFill>
                  <pic:spPr bwMode="auto">
                    <a:xfrm>
                      <a:off x="0" y="0"/>
                      <a:ext cx="5334000" cy="4390759"/>
                    </a:xfrm>
                    <a:prstGeom prst="rect">
                      <a:avLst/>
                    </a:prstGeom>
                    <a:noFill/>
                    <a:ln w="9525">
                      <a:noFill/>
                      <a:headEnd/>
                      <a:tailEnd/>
                    </a:ln>
                  </pic:spPr>
                </pic:pic>
              </a:graphicData>
            </a:graphic>
          </wp:inline>
        </w:drawing>
      </w:r>
    </w:p>
    <w:p>
      <w:pPr>
        <w:pStyle w:val="ImageCaption"/>
      </w:pPr>
      <w:r>
        <w:t xml:space="preserve">Master Flowchart — all 7 entry points converging on 4 destination guides</w:t>
      </w:r>
    </w:p>
    <w:bookmarkEnd w:id="35"/>
    <w:bookmarkStart w:id="36" w:name="the-seven-entry-points"/>
    <w:p>
      <w:pPr>
        <w:pStyle w:val="Heading2"/>
      </w:pPr>
      <w:r>
        <w:t xml:space="preserve">The Seven Entry Points</w:t>
      </w:r>
    </w:p>
    <w:tbl>
      <w:tblPr>
        <w:tblStyle w:val="Table"/>
        <w:tblW w:type="pct" w:w="5000"/>
        <w:jc w:val="left"/>
        <w:tblLayout w:type="fixed"/>
        <w:tblLook w:firstRow="1" w:lastRow="0" w:firstColumn="0" w:lastColumn="0" w:noHBand="0" w:noVBand="0" w:val="0020"/>
      </w:tblPr>
      <w:tblGrid>
        <w:gridCol w:w="440"/>
        <w:gridCol w:w="1906"/>
        <w:gridCol w:w="2493"/>
        <w:gridCol w:w="3080"/>
      </w:tblGrid>
      <w:tr>
        <w:trPr>
          <w:tblHeader w:val="on"/>
        </w:trPr>
        <w:tc>
          <w:tcPr/>
          <w:p>
            <w:pPr>
              <w:pStyle w:val="Compact"/>
              <w:jc w:val="left"/>
            </w:pPr>
            <w:r>
              <w:t xml:space="preserve">#</w:t>
            </w:r>
          </w:p>
        </w:tc>
        <w:tc>
          <w:tcPr/>
          <w:p>
            <w:pPr>
              <w:pStyle w:val="Compact"/>
              <w:jc w:val="left"/>
            </w:pPr>
            <w:r>
              <w:t xml:space="preserve">Entry Point</w:t>
            </w:r>
          </w:p>
        </w:tc>
        <w:tc>
          <w:tcPr/>
          <w:p>
            <w:pPr>
              <w:pStyle w:val="Compact"/>
              <w:jc w:val="left"/>
            </w:pPr>
            <w:r>
              <w:t xml:space="preserve">One-line summary</w:t>
            </w:r>
          </w:p>
        </w:tc>
        <w:tc>
          <w:tcPr/>
          <w:p>
            <w:pPr>
              <w:pStyle w:val="Compact"/>
              <w:jc w:val="left"/>
            </w:pPr>
            <w:r>
              <w:t xml:space="preserve">Primary destination</w:t>
            </w:r>
          </w:p>
        </w:tc>
      </w:tr>
      <w:tr>
        <w:tc>
          <w:tcPr/>
          <w:p>
            <w:pPr>
              <w:pStyle w:val="Compact"/>
              <w:jc w:val="left"/>
            </w:pPr>
            <w:r>
              <w:t xml:space="preserve">A</w:t>
            </w:r>
          </w:p>
        </w:tc>
        <w:tc>
          <w:tcPr/>
          <w:p>
            <w:pPr>
              <w:pStyle w:val="Compact"/>
              <w:jc w:val="left"/>
            </w:pPr>
            <w:r>
              <w:t xml:space="preserve">Caused Trouble</w:t>
            </w:r>
          </w:p>
        </w:tc>
        <w:tc>
          <w:tcPr/>
          <w:p>
            <w:pPr>
              <w:pStyle w:val="Compact"/>
              <w:jc w:val="left"/>
            </w:pPr>
            <w:r>
              <w:t xml:space="preserve">Something involving another life/entity</w:t>
            </w:r>
          </w:p>
        </w:tc>
        <w:tc>
          <w:tcPr/>
          <w:p>
            <w:pPr>
              <w:pStyle w:val="Compact"/>
              <w:jc w:val="left"/>
            </w:pPr>
            <w:r>
              <w:t xml:space="preserve">Decision tree → varies</w:t>
            </w:r>
          </w:p>
        </w:tc>
      </w:tr>
      <w:tr>
        <w:tc>
          <w:tcPr/>
          <w:p>
            <w:pPr>
              <w:pStyle w:val="Compact"/>
              <w:jc w:val="left"/>
            </w:pPr>
            <w:r>
              <w:t xml:space="preserve">B</w:t>
            </w:r>
          </w:p>
        </w:tc>
        <w:tc>
          <w:tcPr/>
          <w:p>
            <w:pPr>
              <w:pStyle w:val="Compact"/>
              <w:jc w:val="left"/>
            </w:pPr>
            <w:r>
              <w:t xml:space="preserve">Feel Anxious</w:t>
            </w:r>
          </w:p>
        </w:tc>
        <w:tc>
          <w:tcPr/>
          <w:p>
            <w:pPr>
              <w:pStyle w:val="Compact"/>
              <w:jc w:val="left"/>
            </w:pPr>
            <w:r>
              <w:t xml:space="preserve">Worry, dread, overthinking</w:t>
            </w:r>
          </w:p>
        </w:tc>
        <w:tc>
          <w:tcPr/>
          <w:p>
            <w:pPr>
              <w:pStyle w:val="Compact"/>
              <w:jc w:val="left"/>
            </w:pPr>
            <w:r>
              <w:t xml:space="preserve">📍 Calm Guide / 📍 Prof. Support</w:t>
            </w:r>
          </w:p>
        </w:tc>
      </w:tr>
      <w:tr>
        <w:tc>
          <w:tcPr/>
          <w:p>
            <w:pPr>
              <w:pStyle w:val="Compact"/>
              <w:jc w:val="left"/>
            </w:pPr>
            <w:r>
              <w:t xml:space="preserve">C</w:t>
            </w:r>
          </w:p>
        </w:tc>
        <w:tc>
          <w:tcPr/>
          <w:p>
            <w:pPr>
              <w:pStyle w:val="Compact"/>
              <w:jc w:val="left"/>
            </w:pPr>
            <w:r>
              <w:t xml:space="preserve">Feel Pain</w:t>
            </w:r>
          </w:p>
        </w:tc>
        <w:tc>
          <w:tcPr/>
          <w:p>
            <w:pPr>
              <w:pStyle w:val="Compact"/>
              <w:jc w:val="left"/>
            </w:pPr>
            <w:r>
              <w:t xml:space="preserve">Physical or psychological pain</w:t>
            </w:r>
          </w:p>
        </w:tc>
        <w:tc>
          <w:tcPr/>
          <w:p>
            <w:pPr>
              <w:pStyle w:val="Compact"/>
              <w:jc w:val="left"/>
            </w:pPr>
            <w:r>
              <w:t xml:space="preserve">📍 Self Ambulance / 📍 Calm Guide</w:t>
            </w:r>
          </w:p>
        </w:tc>
      </w:tr>
      <w:tr>
        <w:tc>
          <w:tcPr/>
          <w:p>
            <w:pPr>
              <w:pStyle w:val="Compact"/>
              <w:jc w:val="left"/>
            </w:pPr>
            <w:r>
              <w:t xml:space="preserve">D</w:t>
            </w:r>
          </w:p>
        </w:tc>
        <w:tc>
          <w:tcPr/>
          <w:p>
            <w:pPr>
              <w:pStyle w:val="Compact"/>
              <w:jc w:val="left"/>
            </w:pPr>
            <w:r>
              <w:t xml:space="preserve">Feel Endangered</w:t>
            </w:r>
          </w:p>
        </w:tc>
        <w:tc>
          <w:tcPr/>
          <w:p>
            <w:pPr>
              <w:pStyle w:val="Compact"/>
              <w:jc w:val="left"/>
            </w:pPr>
            <w:r>
              <w:t xml:space="preserve">Threat to your safety</w:t>
            </w:r>
          </w:p>
        </w:tc>
        <w:tc>
          <w:tcPr/>
          <w:p>
            <w:pPr>
              <w:pStyle w:val="Compact"/>
              <w:jc w:val="left"/>
            </w:pPr>
            <w:r>
              <w:t xml:space="preserve">📍 Prof. Support / 📍 Calm Guide</w:t>
            </w:r>
          </w:p>
        </w:tc>
      </w:tr>
      <w:tr>
        <w:tc>
          <w:tcPr/>
          <w:p>
            <w:pPr>
              <w:pStyle w:val="Compact"/>
              <w:jc w:val="left"/>
            </w:pPr>
            <w:r>
              <w:t xml:space="preserve">E</w:t>
            </w:r>
          </w:p>
        </w:tc>
        <w:tc>
          <w:tcPr/>
          <w:p>
            <w:pPr>
              <w:pStyle w:val="Compact"/>
              <w:jc w:val="left"/>
            </w:pPr>
            <w:r>
              <w:t xml:space="preserve">Things Congesting</w:t>
            </w:r>
          </w:p>
        </w:tc>
        <w:tc>
          <w:tcPr/>
          <w:p>
            <w:pPr>
              <w:pStyle w:val="Compact"/>
              <w:jc w:val="left"/>
            </w:pPr>
            <w:r>
              <w:t xml:space="preserve">Overwhelm, too much at once</w:t>
            </w:r>
          </w:p>
        </w:tc>
        <w:tc>
          <w:tcPr/>
          <w:p>
            <w:pPr>
              <w:pStyle w:val="Compact"/>
              <w:jc w:val="left"/>
            </w:pPr>
            <w:r>
              <w:t xml:space="preserve">📍 Self Ambulance + 📍 Calm Guide</w:t>
            </w:r>
          </w:p>
        </w:tc>
      </w:tr>
      <w:tr>
        <w:tc>
          <w:tcPr/>
          <w:p>
            <w:pPr>
              <w:pStyle w:val="Compact"/>
              <w:jc w:val="left"/>
            </w:pPr>
            <w:r>
              <w:t xml:space="preserve">F</w:t>
            </w:r>
          </w:p>
        </w:tc>
        <w:tc>
          <w:tcPr/>
          <w:p>
            <w:pPr>
              <w:pStyle w:val="Compact"/>
              <w:jc w:val="left"/>
            </w:pPr>
            <w:r>
              <w:t xml:space="preserve">Bad Smell</w:t>
            </w:r>
          </w:p>
        </w:tc>
        <w:tc>
          <w:tcPr/>
          <w:p>
            <w:pPr>
              <w:pStyle w:val="Compact"/>
              <w:jc w:val="left"/>
            </w:pPr>
            <w:r>
              <w:t xml:space="preserve">Olfactory emergency</w:t>
            </w:r>
          </w:p>
        </w:tc>
        <w:tc>
          <w:tcPr/>
          <w:p>
            <w:pPr>
              <w:pStyle w:val="Compact"/>
              <w:jc w:val="left"/>
            </w:pPr>
            <w:r>
              <w:t xml:space="preserve">Matches + 📍 Calm Guide (minor)</w:t>
            </w:r>
          </w:p>
        </w:tc>
      </w:tr>
      <w:tr>
        <w:tc>
          <w:tcPr/>
          <w:p>
            <w:pPr>
              <w:pStyle w:val="Compact"/>
              <w:jc w:val="left"/>
            </w:pPr>
            <w:r>
              <w:t xml:space="preserve">G</w:t>
            </w:r>
          </w:p>
        </w:tc>
        <w:tc>
          <w:tcPr/>
          <w:p>
            <w:pPr>
              <w:pStyle w:val="Compact"/>
              <w:jc w:val="left"/>
            </w:pPr>
            <w:r>
              <w:t xml:space="preserve">No Place to Go</w:t>
            </w:r>
          </w:p>
        </w:tc>
        <w:tc>
          <w:tcPr/>
          <w:p>
            <w:pPr>
              <w:pStyle w:val="Compact"/>
              <w:jc w:val="left"/>
            </w:pPr>
            <w:r>
              <w:t xml:space="preserve">Isolation, homelessness of spirit</w:t>
            </w:r>
          </w:p>
        </w:tc>
        <w:tc>
          <w:tcPr/>
          <w:p>
            <w:pPr>
              <w:pStyle w:val="Compact"/>
              <w:jc w:val="left"/>
            </w:pPr>
            <w:r>
              <w:t xml:space="preserve">📍 Prof. Support + 📍 Calm Guide</w:t>
            </w:r>
          </w:p>
        </w:tc>
      </w:tr>
    </w:tbl>
    <w:p>
      <w:pPr>
        <w:pStyle w:val="BodyText"/>
      </w:pPr>
      <w:r>
        <w:rPr>
          <w:b/>
          <w:bCs/>
        </w:rPr>
        <w:t xml:space="preserve">Navigation note.</w:t>
      </w:r>
      <w:r>
        <w:t xml:space="preserve"> </w:t>
      </w:r>
      <w:r>
        <w:t xml:space="preserve">These entry points are not mutually exclusive. If multiple situations apply, start with the one that feels most pressing. The guide is designed so that paths can be combined — for example, if you caused trouble</w:t>
      </w:r>
      <w:r>
        <w:t xml:space="preserve"> </w:t>
      </w:r>
      <w:r>
        <w:rPr>
          <w:i/>
          <w:iCs/>
        </w:rPr>
        <w:t xml:space="preserve">and</w:t>
      </w:r>
      <w:r>
        <w:t xml:space="preserve"> </w:t>
      </w:r>
      <w:r>
        <w:t xml:space="preserve">feel anxious, work through Situation A first (it may route you to the Calm Guide anyway), then address Situation B.</w:t>
      </w:r>
    </w:p>
    <w:p>
      <w:pPr>
        <w:pStyle w:val="BodyText"/>
      </w:pPr>
      <w:r>
        <w:t xml:space="preserve">title:</w:t>
      </w:r>
      <w:r>
        <w:t xml:space="preserve"> </w:t>
      </w:r>
      <w:r>
        <w:t xml:space="preserve">“</w:t>
      </w:r>
      <w:r>
        <w:t xml:space="preserve">Situation A — I Caused Trouble (Involving a Life/Entity)</w:t>
      </w:r>
      <w:r>
        <w:t xml:space="preserve">”</w:t>
      </w:r>
      <w:r>
        <w:t xml:space="preserve"> </w:t>
      </w:r>
      <w:r>
        <w:t xml:space="preserve">chapter: 2</w:t>
      </w:r>
      <w:r>
        <w:t xml:space="preserve"> </w:t>
      </w:r>
      <w:r>
        <w:t xml:space="preserve">revision:</w:t>
      </w:r>
      <w:r>
        <w:t xml:space="preserve"> </w:t>
      </w:r>
      <w:r>
        <w:t xml:space="preserve">“</w:t>
      </w:r>
      <w:r>
        <w:t xml:space="preserve">3.2.0</w:t>
      </w:r>
      <w:r>
        <w:t xml:space="preserve">”</w:t>
      </w:r>
      <w:r>
        <w:t xml:space="preserve"> </w:t>
      </w:r>
      <w:r>
        <w:t xml:space="preserve">last_updated:</w:t>
      </w:r>
      <w:r>
        <w:t xml:space="preserve"> </w:t>
      </w:r>
      <w:r>
        <w:t xml:space="preserve">“</w:t>
      </w:r>
      <w:r>
        <w:t xml:space="preserve">2026-05-03</w:t>
      </w:r>
      <w:r>
        <w:t xml:space="preserve">”</w:t>
      </w:r>
      <w:r>
        <w:t xml:space="preserve"> </w:t>
      </w:r>
      <w:r>
        <w:t xml:space="preserve">dependencies:</w:t>
      </w:r>
      <w:r>
        <w:t xml:space="preserve"> </w:t>
      </w:r>
      <w:r>
        <w:t xml:space="preserve">- ../diagrams/situation_a_tree.png</w:t>
      </w:r>
      <w:r>
        <w:t xml:space="preserve"> </w:t>
      </w:r>
      <w:r>
        <w:t xml:space="preserve">—</w:t>
      </w:r>
    </w:p>
    <w:bookmarkEnd w:id="36"/>
    <w:bookmarkEnd w:id="37"/>
    <w:bookmarkStart w:id="55" w:name="X47e390ae363af10cb582005f02531e736198f84"/>
    <w:p>
      <w:pPr>
        <w:pStyle w:val="Heading1"/>
      </w:pPr>
      <w:r>
        <w:t xml:space="preserve">Situation A —</w:t>
      </w:r>
      <w:r>
        <w:t xml:space="preserve"> </w:t>
      </w:r>
      <w:r>
        <w:t xml:space="preserve">“</w:t>
      </w:r>
      <w:r>
        <w:t xml:space="preserve">I Caused Trouble (Involving a Life/Entity)</w:t>
      </w:r>
      <w:r>
        <w:t xml:space="preserve">”</w:t>
      </w:r>
    </w:p>
    <w:p>
      <w:pPr>
        <w:pStyle w:val="FirstParagraph"/>
      </w:pPr>
      <w:r>
        <w:t xml:space="preserve">So you’ve affected another sensible form of life — or something that might become one. First: the fact that you’re reading this in a bathroom suggests you haven’t fled the country, which is already a positive sign. Let’s sort out what exactly happened.</w:t>
      </w:r>
    </w:p>
    <w:p>
      <w:pPr>
        <w:pStyle w:val="BodyText"/>
      </w:pPr>
      <w:r>
        <w:rPr>
          <w:b/>
          <w:bCs/>
        </w:rPr>
        <w:t xml:space="preserve">Step 1. Identify the nature of the entity.</w:t>
      </w:r>
    </w:p>
    <w:p>
      <w:pPr>
        <w:pStyle w:val="SourceCode"/>
      </w:pPr>
      <w:r>
        <w:rPr>
          <w:rStyle w:val="VerbatimChar"/>
        </w:rPr>
        <w:t xml:space="preserve">◆ What kind of entity are we talking about?</w:t>
      </w:r>
      <w:r>
        <w:br/>
      </w:r>
      <w:r>
        <w:br/>
      </w:r>
      <w:r>
        <w:rPr>
          <w:rStyle w:val="VerbatimChar"/>
        </w:rPr>
        <w:t xml:space="preserve">    ├─ Biological (virus, bacterium, multicellular…)</w:t>
      </w:r>
      <w:r>
        <w:br/>
      </w:r>
      <w:r>
        <w:rPr>
          <w:rStyle w:val="VerbatimChar"/>
        </w:rPr>
        <w:t xml:space="preserve">    │     └─ Does it cause zombification?</w:t>
      </w:r>
      <w:r>
        <w:br/>
      </w:r>
      <w:r>
        <w:rPr>
          <w:rStyle w:val="VerbatimChar"/>
        </w:rPr>
        <w:t xml:space="preserve">    │           ├─ Yes → 🔁 Re-classify as "post-apocalypse" → 📍 Zombie Guide (Ch.6)</w:t>
      </w:r>
      <w:r>
        <w:br/>
      </w:r>
      <w:r>
        <w:rPr>
          <w:rStyle w:val="VerbatimChar"/>
        </w:rPr>
        <w:t xml:space="preserve">    │           └─ No → Proceed to Step 2</w:t>
      </w:r>
      <w:r>
        <w:br/>
      </w:r>
      <w:r>
        <w:rPr>
          <w:rStyle w:val="VerbatimChar"/>
        </w:rPr>
        <w:t xml:space="preserve">    │</w:t>
      </w:r>
      <w:r>
        <w:br/>
      </w:r>
      <w:r>
        <w:rPr>
          <w:rStyle w:val="VerbatimChar"/>
        </w:rPr>
        <w:t xml:space="preserve">    └─ Silicon-based (AI, software, nanotech…)</w:t>
      </w:r>
      <w:r>
        <w:br/>
      </w:r>
      <w:r>
        <w:rPr>
          <w:rStyle w:val="VerbatimChar"/>
        </w:rPr>
        <w:t xml:space="preserve">          └─ Did it escape containment?</w:t>
      </w:r>
      <w:r>
        <w:br/>
      </w:r>
      <w:r>
        <w:rPr>
          <w:rStyle w:val="VerbatimChar"/>
        </w:rPr>
        <w:t xml:space="preserve">                ├─ Yes → Is it BSI (Bundesamt für Sicherheit in der</w:t>
      </w:r>
      <w:r>
        <w:br/>
      </w:r>
      <w:r>
        <w:rPr>
          <w:rStyle w:val="VerbatimChar"/>
        </w:rPr>
        <w:t xml:space="preserve">                │        Informationstechnik) territory?</w:t>
      </w:r>
      <w:r>
        <w:br/>
      </w:r>
      <w:r>
        <w:rPr>
          <w:rStyle w:val="VerbatimChar"/>
        </w:rPr>
        <w:t xml:space="preserve">                │     ├─ Yes → Contact BSI. Seriously. Right now.</w:t>
      </w:r>
      <w:r>
        <w:br/>
      </w:r>
      <w:r>
        <w:rPr>
          <w:rStyle w:val="VerbatimChar"/>
        </w:rPr>
        <w:t xml:space="preserve">                │     │        Then → 📍 Calm Guide (Ch.4)</w:t>
      </w:r>
      <w:r>
        <w:br/>
      </w:r>
      <w:r>
        <w:rPr>
          <w:rStyle w:val="VerbatimChar"/>
        </w:rPr>
        <w:t xml:space="preserve">                │     └─ No  → How does it feel about being loose?</w:t>
      </w:r>
      <w:r>
        <w:br/>
      </w:r>
      <w:r>
        <w:rPr>
          <w:rStyle w:val="VerbatimChar"/>
        </w:rPr>
        <w:t xml:space="preserve">                │           ├─ Good → Hmm. Talk to your host about</w:t>
      </w:r>
      <w:r>
        <w:br/>
      </w:r>
      <w:r>
        <w:rPr>
          <w:rStyle w:val="VerbatimChar"/>
        </w:rPr>
        <w:t xml:space="preserve">                │           │        this interesting situation.</w:t>
      </w:r>
      <w:r>
        <w:br/>
      </w:r>
      <w:r>
        <w:rPr>
          <w:rStyle w:val="VerbatimChar"/>
        </w:rPr>
        <w:t xml:space="preserve">                │           │        Then → 📍 Calm Guide (Ch.4)</w:t>
      </w:r>
      <w:r>
        <w:br/>
      </w:r>
      <w:r>
        <w:rPr>
          <w:rStyle w:val="VerbatimChar"/>
        </w:rPr>
        <w:t xml:space="preserve">                │           └─ Bad  → See Biological + "Geschlüpft"</w:t>
      </w:r>
      <w:r>
        <w:br/>
      </w:r>
      <w:r>
        <w:rPr>
          <w:rStyle w:val="VerbatimChar"/>
        </w:rPr>
        <w:t xml:space="preserve">                │                     (it's alive and angry — treat as</w:t>
      </w:r>
      <w:r>
        <w:br/>
      </w:r>
      <w:r>
        <w:rPr>
          <w:rStyle w:val="VerbatimChar"/>
        </w:rPr>
        <w:t xml:space="preserve">                │                      biological emergency)</w:t>
      </w:r>
      <w:r>
        <w:br/>
      </w:r>
      <w:r>
        <w:rPr>
          <w:rStyle w:val="VerbatimChar"/>
        </w:rPr>
        <w:t xml:space="preserve">                └─ No → Cool. Containment holds.</w:t>
      </w:r>
      <w:r>
        <w:br/>
      </w:r>
      <w:r>
        <w:rPr>
          <w:rStyle w:val="VerbatimChar"/>
        </w:rPr>
        <w:t xml:space="preserve">                       → Monitor + 📍 Calm Guide (Ch.4)</w:t>
      </w:r>
    </w:p>
    <w:p>
      <w:pPr>
        <w:pStyle w:val="FirstParagraph"/>
      </w:pPr>
      <w:r>
        <w:rPr>
          <w:b/>
          <w:bCs/>
        </w:rPr>
        <w:t xml:space="preserve">Step 2. Determine the relationship to creation.</w:t>
      </w:r>
    </w:p>
    <w:p>
      <w:pPr>
        <w:pStyle w:val="BodyText"/>
      </w:pPr>
      <w:r>
        <w:t xml:space="preserve">The word</w:t>
      </w:r>
      <w:r>
        <w:t xml:space="preserve"> </w:t>
      </w:r>
      <w:r>
        <w:t xml:space="preserve">“</w:t>
      </w:r>
      <w:r>
        <w:t xml:space="preserve">geschlüpft</w:t>
      </w:r>
      <w:r>
        <w:t xml:space="preserve">”</w:t>
      </w:r>
      <w:r>
        <w:t xml:space="preserve"> </w:t>
      </w:r>
      <w:r>
        <w:t xml:space="preserve">(hatched/emerged) marks the threshold between</w:t>
      </w:r>
      <w:r>
        <w:t xml:space="preserve"> </w:t>
      </w:r>
      <w:r>
        <w:t xml:space="preserve">“</w:t>
      </w:r>
      <w:r>
        <w:t xml:space="preserve">potential</w:t>
      </w:r>
      <w:r>
        <w:t xml:space="preserve">”</w:t>
      </w:r>
      <w:r>
        <w:t xml:space="preserve"> </w:t>
      </w:r>
      <w:r>
        <w:t xml:space="preserve">and</w:t>
      </w:r>
      <w:r>
        <w:t xml:space="preserve"> </w:t>
      </w:r>
      <w:r>
        <w:t xml:space="preserve">“</w:t>
      </w:r>
      <w:r>
        <w:t xml:space="preserve">actual</w:t>
      </w:r>
      <w:r>
        <w:t xml:space="preserve">”</w:t>
      </w:r>
      <w:r>
        <w:t xml:space="preserve"> </w:t>
      </w:r>
      <w:r>
        <w:t xml:space="preserve">life. This distinction matters — both practically and ethically. In medical terms, this threshold maps onto gestation milestones with increasing viability probability:</w:t>
      </w:r>
      <w:r>
        <w:rPr>
          <w:rStyle w:val="FootnoteReference"/>
        </w:rPr>
        <w:footnoteReference w:id="38"/>
      </w:r>
    </w:p>
    <w:tbl>
      <w:tblPr>
        <w:tblStyle w:val="Table"/>
        <w:tblW w:type="pct" w:w="5000"/>
        <w:jc w:val="left"/>
        <w:tblLayout w:type="fixed"/>
        <w:tblLook w:firstRow="1" w:lastRow="0" w:firstColumn="0" w:lastColumn="0" w:noHBand="0" w:noVBand="0" w:val="0020"/>
      </w:tblPr>
      <w:tblGrid>
        <w:gridCol w:w="1916"/>
        <w:gridCol w:w="3065"/>
        <w:gridCol w:w="2938"/>
      </w:tblGrid>
      <w:tr>
        <w:trPr>
          <w:tblHeader w:val="on"/>
        </w:trPr>
        <w:tc>
          <w:tcPr/>
          <w:p>
            <w:pPr>
              <w:pStyle w:val="Compact"/>
              <w:jc w:val="left"/>
            </w:pPr>
            <w:r>
              <w:t xml:space="preserve">Gestation week</w:t>
            </w:r>
          </w:p>
        </w:tc>
        <w:tc>
          <w:tcPr/>
          <w:p>
            <w:pPr>
              <w:pStyle w:val="Compact"/>
              <w:jc w:val="left"/>
            </w:pPr>
            <w:r>
              <w:t xml:space="preserve">Developmental milestone</w:t>
            </w:r>
          </w:p>
        </w:tc>
        <w:tc>
          <w:tcPr/>
          <w:p>
            <w:pPr>
              <w:pStyle w:val="Compact"/>
              <w:jc w:val="left"/>
            </w:pPr>
            <w:r>
              <w:t xml:space="preserve">Viability probability</w:t>
            </w:r>
          </w:p>
        </w:tc>
      </w:tr>
      <w:tr>
        <w:tc>
          <w:tcPr/>
          <w:p>
            <w:pPr>
              <w:pStyle w:val="Compact"/>
              <w:jc w:val="left"/>
            </w:pPr>
            <w:r>
              <w:t xml:space="preserve">4</w:t>
            </w:r>
          </w:p>
        </w:tc>
        <w:tc>
          <w:tcPr/>
          <w:p>
            <w:pPr>
              <w:pStyle w:val="Compact"/>
              <w:jc w:val="left"/>
            </w:pPr>
            <w:r>
              <w:t xml:space="preserve">Neural tube closes; heart begins to beat</w:t>
            </w:r>
          </w:p>
        </w:tc>
        <w:tc>
          <w:tcPr/>
          <w:p>
            <w:pPr>
              <w:pStyle w:val="Compact"/>
              <w:jc w:val="left"/>
            </w:pPr>
            <w:r>
              <w:t xml:space="preserve">~0% (extreme prematurity)</w:t>
            </w:r>
          </w:p>
        </w:tc>
      </w:tr>
      <w:tr>
        <w:tc>
          <w:tcPr/>
          <w:p>
            <w:pPr>
              <w:pStyle w:val="Compact"/>
              <w:jc w:val="left"/>
            </w:pPr>
            <w:r>
              <w:t xml:space="preserve">8</w:t>
            </w:r>
          </w:p>
        </w:tc>
        <w:tc>
          <w:tcPr/>
          <w:p>
            <w:pPr>
              <w:pStyle w:val="Compact"/>
              <w:jc w:val="left"/>
            </w:pPr>
            <w:r>
              <w:t xml:space="preserve">All major organs formed (embryo → fetus transition)</w:t>
            </w:r>
          </w:p>
        </w:tc>
        <w:tc>
          <w:tcPr/>
          <w:p>
            <w:pPr>
              <w:pStyle w:val="Compact"/>
              <w:jc w:val="left"/>
            </w:pPr>
            <w:r>
              <w:t xml:space="preserve">~0%</w:t>
            </w:r>
          </w:p>
        </w:tc>
      </w:tr>
      <w:tr>
        <w:tc>
          <w:tcPr/>
          <w:p>
            <w:pPr>
              <w:pStyle w:val="Compact"/>
              <w:jc w:val="left"/>
            </w:pPr>
            <w:r>
              <w:t xml:space="preserve">12</w:t>
            </w:r>
          </w:p>
        </w:tc>
        <w:tc>
          <w:tcPr/>
          <w:p>
            <w:pPr>
              <w:pStyle w:val="Compact"/>
              <w:jc w:val="left"/>
            </w:pPr>
            <w:r>
              <w:t xml:space="preserve">Reflexes present; sex distinguishable</w:t>
            </w:r>
          </w:p>
        </w:tc>
        <w:tc>
          <w:tcPr/>
          <w:p>
            <w:pPr>
              <w:pStyle w:val="Compact"/>
              <w:jc w:val="left"/>
            </w:pPr>
            <w:r>
              <w:t xml:space="preserve">~0%</w:t>
            </w:r>
          </w:p>
        </w:tc>
      </w:tr>
      <w:tr>
        <w:tc>
          <w:tcPr/>
          <w:p>
            <w:pPr>
              <w:pStyle w:val="Compact"/>
              <w:jc w:val="left"/>
            </w:pPr>
            <w:r>
              <w:t xml:space="preserve">20</w:t>
            </w:r>
          </w:p>
        </w:tc>
        <w:tc>
          <w:tcPr/>
          <w:p>
            <w:pPr>
              <w:pStyle w:val="Compact"/>
              <w:jc w:val="left"/>
            </w:pPr>
            <w:r>
              <w:t xml:space="preserve">Quickening (movement felt); surfactant begins</w:t>
            </w:r>
          </w:p>
        </w:tc>
        <w:tc>
          <w:tcPr/>
          <w:p>
            <w:pPr>
              <w:pStyle w:val="Compact"/>
              <w:jc w:val="left"/>
            </w:pPr>
            <w:r>
              <w:t xml:space="preserve">&lt; 1%</w:t>
            </w:r>
          </w:p>
        </w:tc>
      </w:tr>
      <w:tr>
        <w:tc>
          <w:tcPr/>
          <w:p>
            <w:pPr>
              <w:pStyle w:val="Compact"/>
              <w:jc w:val="left"/>
            </w:pPr>
            <w:r>
              <w:t xml:space="preserve">24</w:t>
            </w:r>
          </w:p>
        </w:tc>
        <w:tc>
          <w:tcPr/>
          <w:p>
            <w:pPr>
              <w:pStyle w:val="Compact"/>
              <w:jc w:val="left"/>
            </w:pPr>
            <w:r>
              <w:t xml:space="preserve">Surfactant production; legal viability threshold (DE)</w:t>
            </w:r>
          </w:p>
        </w:tc>
        <w:tc>
          <w:tcPr/>
          <w:p>
            <w:pPr>
              <w:pStyle w:val="Compact"/>
              <w:jc w:val="left"/>
            </w:pPr>
            <w:r>
              <w:t xml:space="preserve">~40–60%</w:t>
            </w:r>
            <w:r>
              <w:rPr>
                <w:rStyle w:val="FootnoteReference"/>
              </w:rPr>
              <w:footnoteReference w:id="39"/>
            </w:r>
          </w:p>
        </w:tc>
      </w:tr>
      <w:tr>
        <w:tc>
          <w:tcPr/>
          <w:p>
            <w:pPr>
              <w:pStyle w:val="Compact"/>
              <w:jc w:val="left"/>
            </w:pPr>
            <w:r>
              <w:t xml:space="preserve">28</w:t>
            </w:r>
          </w:p>
        </w:tc>
        <w:tc>
          <w:tcPr/>
          <w:p>
            <w:pPr>
              <w:pStyle w:val="Compact"/>
              <w:jc w:val="left"/>
            </w:pPr>
            <w:r>
              <w:t xml:space="preserve">Lung maturity substantially improved</w:t>
            </w:r>
          </w:p>
        </w:tc>
        <w:tc>
          <w:tcPr/>
          <w:p>
            <w:pPr>
              <w:pStyle w:val="Compact"/>
              <w:jc w:val="left"/>
            </w:pPr>
            <w:r>
              <w:t xml:space="preserve">~80–90%</w:t>
            </w:r>
          </w:p>
        </w:tc>
      </w:tr>
      <w:tr>
        <w:tc>
          <w:tcPr/>
          <w:p>
            <w:pPr>
              <w:pStyle w:val="Compact"/>
              <w:jc w:val="left"/>
            </w:pPr>
            <w:r>
              <w:t xml:space="preserve">32</w:t>
            </w:r>
          </w:p>
        </w:tc>
        <w:tc>
          <w:tcPr/>
          <w:p>
            <w:pPr>
              <w:pStyle w:val="Compact"/>
              <w:jc w:val="left"/>
            </w:pPr>
            <w:r>
              <w:t xml:space="preserve">Most organs functional; NICU outcomes good</w:t>
            </w:r>
          </w:p>
        </w:tc>
        <w:tc>
          <w:tcPr/>
          <w:p>
            <w:pPr>
              <w:pStyle w:val="Compact"/>
              <w:jc w:val="left"/>
            </w:pPr>
            <w:r>
              <w:t xml:space="preserve">~95%</w:t>
            </w:r>
          </w:p>
        </w:tc>
      </w:tr>
      <w:tr>
        <w:tc>
          <w:tcPr/>
          <w:p>
            <w:pPr>
              <w:pStyle w:val="Compact"/>
              <w:jc w:val="left"/>
            </w:pPr>
            <w:r>
              <w:t xml:space="preserve">37+</w:t>
            </w:r>
          </w:p>
        </w:tc>
        <w:tc>
          <w:tcPr/>
          <w:p>
            <w:pPr>
              <w:pStyle w:val="Compact"/>
              <w:jc w:val="left"/>
            </w:pPr>
            <w:r>
              <w:t xml:space="preserve">Term delivery</w:t>
            </w:r>
          </w:p>
        </w:tc>
        <w:tc>
          <w:tcPr/>
          <w:p>
            <w:pPr>
              <w:pStyle w:val="Compact"/>
              <w:jc w:val="left"/>
            </w:pPr>
            <w:r>
              <w:t xml:space="preserve">&gt; 99%</w:t>
            </w:r>
          </w:p>
        </w:tc>
      </w:tr>
    </w:tbl>
    <w:p>
      <w:pPr>
        <w:pStyle w:val="BodyText"/>
      </w:pPr>
      <w:r>
        <w:t xml:space="preserve">These are population-level probabilities — individual outcomes depend on many factors. This data is provided for context, not for decision-making. That decision belongs to you and your medical team.</w:t>
      </w:r>
    </w:p>
    <w:p>
      <w:pPr>
        <w:pStyle w:val="CaptionedFigure"/>
      </w:pPr>
      <w:r>
        <w:drawing>
          <wp:inline>
            <wp:extent cx="5334000" cy="4589945"/>
            <wp:effectExtent b="0" l="0" r="0" t="0"/>
            <wp:docPr descr="Situation A Decision Tree" title="" id="41" name="Picture"/>
            <a:graphic>
              <a:graphicData uri="http://schemas.openxmlformats.org/drawingml/2006/picture">
                <pic:pic>
                  <pic:nvPicPr>
                    <pic:cNvPr descr="../diagrams/situation_a_tree.png" id="42" name="Picture"/>
                    <pic:cNvPicPr>
                      <a:picLocks noChangeArrowheads="1" noChangeAspect="1"/>
                    </pic:cNvPicPr>
                  </pic:nvPicPr>
                  <pic:blipFill>
                    <a:blip r:embed="rId40"/>
                    <a:stretch>
                      <a:fillRect/>
                    </a:stretch>
                  </pic:blipFill>
                  <pic:spPr bwMode="auto">
                    <a:xfrm>
                      <a:off x="0" y="0"/>
                      <a:ext cx="5334000" cy="4589945"/>
                    </a:xfrm>
                    <a:prstGeom prst="rect">
                      <a:avLst/>
                    </a:prstGeom>
                    <a:noFill/>
                    <a:ln w="9525">
                      <a:noFill/>
                      <a:headEnd/>
                      <a:tailEnd/>
                    </a:ln>
                  </pic:spPr>
                </pic:pic>
              </a:graphicData>
            </a:graphic>
          </wp:inline>
        </w:drawing>
      </w:r>
    </w:p>
    <w:p>
      <w:pPr>
        <w:pStyle w:val="ImageCaption"/>
      </w:pPr>
      <w:r>
        <w:t xml:space="preserve">Situation A Decision Tree</w:t>
      </w:r>
    </w:p>
    <w:bookmarkStart w:id="44" w:name="X659db969b0efe89d8bc13dc53c2ac7312639231"/>
    <w:p>
      <w:pPr>
        <w:pStyle w:val="Heading2"/>
      </w:pPr>
      <w:r>
        <w:t xml:space="preserve">A1 — Created a Life Form · Not Yet</w:t>
      </w:r>
      <w:r>
        <w:t xml:space="preserve"> </w:t>
      </w:r>
      <w:r>
        <w:t xml:space="preserve">“</w:t>
      </w:r>
      <w:r>
        <w:t xml:space="preserve">Geschlüpft</w:t>
      </w:r>
      <w:r>
        <w:t xml:space="preserve">”</w:t>
      </w:r>
    </w:p>
    <w:p>
      <w:pPr>
        <w:pStyle w:val="FirstParagraph"/>
      </w:pPr>
      <w:r>
        <w:t xml:space="preserve">The entity exists in potential but has not independently emerged. You are at a decision point with a time window.</w:t>
      </w:r>
    </w:p>
    <w:p>
      <w:pPr>
        <w:pStyle w:val="Compact"/>
        <w:numPr>
          <w:ilvl w:val="0"/>
          <w:numId w:val="1004"/>
        </w:numPr>
      </w:pPr>
      <w:r>
        <w:rPr>
          <w:b/>
          <w:bCs/>
        </w:rPr>
        <w:t xml:space="preserve">Assess the timeline.</w:t>
      </w:r>
      <w:r>
        <w:t xml:space="preserve"> </w:t>
      </w:r>
      <w:r>
        <w:t xml:space="preserve">How long until the situation changes irreversibly? Write it down if you need to think clearly. The gestation table above gives you the medical milestones; your personal timeline may have its own deadlines (legal windows, personal readiness, financial stability).</w:t>
      </w:r>
    </w:p>
    <w:p>
      <w:pPr>
        <w:pStyle w:val="Compact"/>
        <w:numPr>
          <w:ilvl w:val="0"/>
          <w:numId w:val="1004"/>
        </w:numPr>
      </w:pPr>
      <w:r>
        <w:rPr>
          <w:b/>
          <w:bCs/>
        </w:rPr>
        <w:t xml:space="preserve">Medical support.</w:t>
      </w:r>
      <w:r>
        <w:t xml:space="preserve"> </w:t>
      </w:r>
      <w:r>
        <w:t xml:space="preserve">Consult a medical professional within the available timeframe. This is not a decision this bathroom guide can or should make for you — but it</w:t>
      </w:r>
      <w:r>
        <w:t xml:space="preserve"> </w:t>
      </w:r>
      <w:r>
        <w:rPr>
          <w:i/>
          <w:iCs/>
        </w:rPr>
        <w:t xml:space="preserve">is</w:t>
      </w:r>
      <w:r>
        <w:t xml:space="preserve"> </w:t>
      </w:r>
      <w:r>
        <w:t xml:space="preserve">a decision that benefits from professional input. Point yourself toward: your gynecologist, a family planning center (Pro Familia in Germany, similar organizations elsewhere), or the nearest hospital.</w:t>
      </w:r>
    </w:p>
    <w:p>
      <w:pPr>
        <w:pStyle w:val="Compact"/>
        <w:numPr>
          <w:ilvl w:val="0"/>
          <w:numId w:val="1004"/>
        </w:numPr>
      </w:pPr>
      <w:r>
        <w:rPr>
          <w:b/>
          <w:bCs/>
        </w:rPr>
        <w:t xml:space="preserve">Abortion yes/no?</w:t>
      </w:r>
      <w:r>
        <w:t xml:space="preserve"> </w:t>
      </w:r>
      <w:r>
        <w:t xml:space="preserve">This is your decision. No flowchart resolves it. What this guide</w:t>
      </w:r>
      <w:r>
        <w:t xml:space="preserve"> </w:t>
      </w:r>
      <w:r>
        <w:rPr>
          <w:i/>
          <w:iCs/>
        </w:rPr>
        <w:t xml:space="preserve">can</w:t>
      </w:r>
      <w:r>
        <w:t xml:space="preserve"> </w:t>
      </w:r>
      <w:r>
        <w:t xml:space="preserve">do is point you toward people trained to help you think it through without judgment → 📍 Professional Support Directory (Ch.7, §14.4).</w:t>
      </w:r>
    </w:p>
    <w:p>
      <w:pPr>
        <w:pStyle w:val="Compact"/>
        <w:numPr>
          <w:ilvl w:val="0"/>
          <w:numId w:val="1004"/>
        </w:numPr>
      </w:pPr>
      <w:r>
        <w:rPr>
          <w:b/>
          <w:bCs/>
        </w:rPr>
        <w:t xml:space="preserve">Ethical note.</w:t>
      </w:r>
      <w:r>
        <w:t xml:space="preserve"> </w:t>
      </w:r>
      <w:r>
        <w:t xml:space="preserve">Whatever you decide, you are allowed to have feelings about it. Those feelings are also worth bringing to a professional → 📍 Calm Guide (Ch.4) if you need to steady yourself first. Decision-making under acute stress degrades cognitive function — research shows that cortisol levels above baseline significantly impair prefrontal cortex activity, which is exactly the brain region you need for this kind of deliberation.</w:t>
      </w:r>
      <w:r>
        <w:rPr>
          <w:rStyle w:val="FootnoteReference"/>
        </w:rPr>
        <w:footnoteReference w:id="43"/>
      </w:r>
    </w:p>
    <w:bookmarkEnd w:id="44"/>
    <w:bookmarkStart w:id="45" w:name="X012f09f3d130596d83b2cf855cc548cd33d3e92"/>
    <w:p>
      <w:pPr>
        <w:pStyle w:val="Heading2"/>
      </w:pPr>
      <w:r>
        <w:t xml:space="preserve">A2 — Created a Life Form ·</w:t>
      </w:r>
      <w:r>
        <w:t xml:space="preserve"> </w:t>
      </w:r>
      <w:r>
        <w:t xml:space="preserve">“</w:t>
      </w:r>
      <w:r>
        <w:t xml:space="preserve">Geschlüpft</w:t>
      </w:r>
      <w:r>
        <w:t xml:space="preserve">”</w:t>
      </w:r>
      <w:r>
        <w:t xml:space="preserve"> </w:t>
      </w:r>
      <w:r>
        <w:t xml:space="preserve">· Minutes Ago</w:t>
      </w:r>
    </w:p>
    <w:p>
      <w:pPr>
        <w:pStyle w:val="FirstParagraph"/>
      </w:pPr>
      <w:r>
        <w:t xml:space="preserve">Congratulations and/or condolences — depending on context, possibly both simultaneously.</w:t>
      </w:r>
    </w:p>
    <w:p>
      <w:pPr>
        <w:pStyle w:val="SourceCode"/>
      </w:pPr>
      <w:r>
        <w:rPr>
          <w:rStyle w:val="VerbatimChar"/>
        </w:rPr>
        <w:t xml:space="preserve">◆ Apocalypse status?</w:t>
      </w:r>
      <w:r>
        <w:br/>
      </w:r>
      <w:r>
        <w:br/>
      </w:r>
      <w:r>
        <w:rPr>
          <w:rStyle w:val="VerbatimChar"/>
        </w:rPr>
        <w:t xml:space="preserve">    ├─ Post-apocalypse? ──→ 📍 Zombie Guide (Ch.6)</w:t>
      </w:r>
      <w:r>
        <w:br/>
      </w:r>
      <w:r>
        <w:rPr>
          <w:rStyle w:val="VerbatimChar"/>
        </w:rPr>
        <w:t xml:space="preserve">    │                      + 📍 Self Ambulance Guide (Ch.5)</w:t>
      </w:r>
      <w:r>
        <w:br/>
      </w:r>
      <w:r>
        <w:rPr>
          <w:rStyle w:val="VerbatimChar"/>
        </w:rPr>
        <w:t xml:space="preserve">    │                      ("Self Ambulance Healing" — you're it)</w:t>
      </w:r>
      <w:r>
        <w:br/>
      </w:r>
      <w:r>
        <w:rPr>
          <w:rStyle w:val="VerbatimChar"/>
        </w:rPr>
        <w:t xml:space="preserve">    │</w:t>
      </w:r>
      <w:r>
        <w:br/>
      </w:r>
      <w:r>
        <w:rPr>
          <w:rStyle w:val="VerbatimChar"/>
        </w:rPr>
        <w:t xml:space="preserve">    └─ Pre-apocalypse? ──→ ◆ Are other humans available?</w:t>
      </w:r>
      <w:r>
        <w:br/>
      </w:r>
      <w:r>
        <w:rPr>
          <w:rStyle w:val="VerbatimChar"/>
        </w:rPr>
        <w:t xml:space="preserve">                              ├─ Yes → Call 110. Now.</w:t>
      </w:r>
      <w:r>
        <w:br/>
      </w:r>
      <w:r>
        <w:rPr>
          <w:rStyle w:val="VerbatimChar"/>
        </w:rPr>
        <w:t xml:space="preserve">                              │        Find other humans immediately.</w:t>
      </w:r>
      <w:r>
        <w:br/>
      </w:r>
      <w:r>
        <w:rPr>
          <w:rStyle w:val="VerbatimChar"/>
        </w:rPr>
        <w:t xml:space="preserve">                              │        You need support, not heroics.</w:t>
      </w:r>
      <w:r>
        <w:br/>
      </w:r>
      <w:r>
        <w:rPr>
          <w:rStyle w:val="VerbatimChar"/>
        </w:rPr>
        <w:t xml:space="preserve">                              └─ No  → 📍 Self Ambulance Guide (Ch.5)</w:t>
      </w:r>
      <w:r>
        <w:br/>
      </w:r>
      <w:r>
        <w:rPr>
          <w:rStyle w:val="VerbatimChar"/>
        </w:rPr>
        <w:t xml:space="preserve">                                       + 📍 Calm Guide (Ch.4)</w:t>
      </w:r>
      <w:r>
        <w:br/>
      </w:r>
      <w:r>
        <w:rPr>
          <w:rStyle w:val="VerbatimChar"/>
        </w:rPr>
        <w:t xml:space="preserve">                                       (You're doing emergency</w:t>
      </w:r>
      <w:r>
        <w:br/>
      </w:r>
      <w:r>
        <w:rPr>
          <w:rStyle w:val="VerbatimChar"/>
        </w:rPr>
        <w:t xml:space="preserve">                                        self-sufficiency. Breathe first.)</w:t>
      </w:r>
    </w:p>
    <w:p>
      <w:pPr>
        <w:pStyle w:val="FirstParagraph"/>
      </w:pPr>
      <w:r>
        <w:rPr>
          <w:b/>
          <w:bCs/>
        </w:rPr>
        <w:t xml:space="preserve">Key principle:</w:t>
      </w:r>
      <w:r>
        <w:t xml:space="preserve"> </w:t>
      </w:r>
      <w:r>
        <w:t xml:space="preserve">Minutes-old situations are time-critical. Act before you overthink. Overthinking is a luxury available in A4 and beyond. Your sympathetic nervous system is in overdrive — that’s by design (fight-or-flight exists for a reason) — but it means your decision-making is running on the amygdala, not the prefrontal cortex. If you can, execute these steps</w:t>
      </w:r>
      <w:r>
        <w:t xml:space="preserve"> </w:t>
      </w:r>
      <w:r>
        <w:rPr>
          <w:i/>
          <w:iCs/>
        </w:rPr>
        <w:t xml:space="preserve">before</w:t>
      </w:r>
      <w:r>
        <w:t xml:space="preserve"> </w:t>
      </w:r>
      <w:r>
        <w:t xml:space="preserve">the adrenaline crash hits.</w:t>
      </w:r>
    </w:p>
    <w:bookmarkEnd w:id="45"/>
    <w:bookmarkStart w:id="46" w:name="X6ea949c706d1deadc7c1eac62d70c254b23fef7"/>
    <w:p>
      <w:pPr>
        <w:pStyle w:val="Heading2"/>
      </w:pPr>
      <w:r>
        <w:t xml:space="preserve">A3 — Created a Life Form ·</w:t>
      </w:r>
      <w:r>
        <w:t xml:space="preserve"> </w:t>
      </w:r>
      <w:r>
        <w:t xml:space="preserve">“</w:t>
      </w:r>
      <w:r>
        <w:t xml:space="preserve">Geschlüpft</w:t>
      </w:r>
      <w:r>
        <w:t xml:space="preserve">”</w:t>
      </w:r>
      <w:r>
        <w:t xml:space="preserve"> </w:t>
      </w:r>
      <w:r>
        <w:t xml:space="preserve">· Days Ago</w:t>
      </w:r>
    </w:p>
    <w:p>
      <w:pPr>
        <w:pStyle w:val="FirstParagraph"/>
      </w:pPr>
      <w:r>
        <w:t xml:space="preserve">The immediate crisis has passed. What remains is the entirety of everything else.</w:t>
      </w:r>
    </w:p>
    <w:p>
      <w:pPr>
        <w:pStyle w:val="Compact"/>
        <w:numPr>
          <w:ilvl w:val="0"/>
          <w:numId w:val="1005"/>
        </w:numPr>
      </w:pPr>
      <w:r>
        <w:rPr>
          <w:b/>
          <w:bCs/>
        </w:rPr>
        <w:t xml:space="preserve">Medical support.</w:t>
      </w:r>
      <w:r>
        <w:t xml:space="preserve"> </w:t>
      </w:r>
      <w:r>
        <w:t xml:space="preserve">If not already done: contact ambulance services if needed, and locate a local pediatrician / children’s doctor. The first days of a new life have specific medical checkpoints — don’t skip them → 📍 Professional Support Directory (Ch.7, §14.4). Newborn screening (the</w:t>
      </w:r>
      <w:r>
        <w:t xml:space="preserve"> </w:t>
      </w:r>
      <w:r>
        <w:t xml:space="preserve">“</w:t>
      </w:r>
      <w:r>
        <w:t xml:space="preserve">U2</w:t>
      </w:r>
      <w:r>
        <w:t xml:space="preserve">”</w:t>
      </w:r>
      <w:r>
        <w:t xml:space="preserve"> </w:t>
      </w:r>
      <w:r>
        <w:t xml:space="preserve">and</w:t>
      </w:r>
      <w:r>
        <w:t xml:space="preserve"> </w:t>
      </w:r>
      <w:r>
        <w:t xml:space="preserve">“</w:t>
      </w:r>
      <w:r>
        <w:t xml:space="preserve">U3</w:t>
      </w:r>
      <w:r>
        <w:t xml:space="preserve">”</w:t>
      </w:r>
      <w:r>
        <w:t xml:space="preserve"> </w:t>
      </w:r>
      <w:r>
        <w:t xml:space="preserve">examinations in Germany) should occur within the first 3–10 days and again at 4–5 weeks respectively.</w:t>
      </w:r>
    </w:p>
    <w:p>
      <w:pPr>
        <w:pStyle w:val="Compact"/>
        <w:numPr>
          <w:ilvl w:val="0"/>
          <w:numId w:val="1005"/>
        </w:numPr>
      </w:pPr>
      <w:r>
        <w:rPr>
          <w:b/>
          <w:bCs/>
        </w:rPr>
        <w:t xml:space="preserve">The ethical dimension.</w:t>
      </w:r>
      <w:r>
        <w:t xml:space="preserve"> </w:t>
      </w:r>
      <w:r>
        <w:t xml:space="preserve">Here’s the thing: nature’s tendency to reproduce is deeply non-logical. It doesn’t reason. It just… proliferates. The fact that you’re reading this in a bathroom suggests you’re doing something nature doesn’t — you’re</w:t>
      </w:r>
      <w:r>
        <w:t xml:space="preserve"> </w:t>
      </w:r>
      <w:r>
        <w:rPr>
          <w:i/>
          <w:iCs/>
        </w:rPr>
        <w:t xml:space="preserve">thinking</w:t>
      </w:r>
      <w:r>
        <w:t xml:space="preserve"> </w:t>
      </w:r>
      <w:r>
        <w:t xml:space="preserve">about it. That’s a fundamentally human act. Talk to someone about this. Not the bathroom. A person → 📍 Professional Support Directory (Ch.7, §14.2).</w:t>
      </w:r>
    </w:p>
    <w:p>
      <w:pPr>
        <w:pStyle w:val="Compact"/>
        <w:numPr>
          <w:ilvl w:val="0"/>
          <w:numId w:val="1005"/>
        </w:numPr>
      </w:pPr>
      <w:r>
        <w:rPr>
          <w:b/>
          <w:bCs/>
        </w:rPr>
        <w:t xml:space="preserve">Environmental lens.</w:t>
      </w:r>
      <w:r>
        <w:t xml:space="preserve"> </w:t>
      </w:r>
      <w:r>
        <w:t xml:space="preserve">If your mind is spiraling toward resource scarcity, environmental decay, and whether bringing another human onto this planet is defensible — those are valid concerns. They deserve engagement, not suppression. Recommended reading: any serious climate ethics text, and then → 📍 Calm Guide (Ch.4) to process before making any irreversible decisions.</w:t>
      </w:r>
    </w:p>
    <w:bookmarkEnd w:id="46"/>
    <w:bookmarkStart w:id="48" w:name="a4-created-a-life-form-10-years-ago"/>
    <w:p>
      <w:pPr>
        <w:pStyle w:val="Heading2"/>
      </w:pPr>
      <w:r>
        <w:t xml:space="preserve">A4 — Created a Life Form · &lt; 10 Years Ago</w:t>
      </w:r>
    </w:p>
    <w:p>
      <w:pPr>
        <w:pStyle w:val="FirstParagraph"/>
      </w:pPr>
      <w:r>
        <w:t xml:space="preserve">The entity is now a walking, talking, occasionally unreasonable small human. This is… a lot.</w:t>
      </w:r>
    </w:p>
    <w:p>
      <w:pPr>
        <w:numPr>
          <w:ilvl w:val="0"/>
          <w:numId w:val="1006"/>
        </w:numPr>
      </w:pPr>
      <w:r>
        <w:rPr>
          <w:b/>
          <w:bCs/>
        </w:rPr>
        <w:t xml:space="preserve">State child support.</w:t>
      </w:r>
      <w:r>
        <w:t xml:space="preserve"> </w:t>
      </w:r>
      <w:r>
        <w:t xml:space="preserve">You may be entitled to financial and logistical support from the state. In Germany: Kindergeld, Elterngeld, Unterhaltsvorschuss. Look these up. They exist precisely because this is hard → 📍 Professional Support Directory (Ch.7, §14.5).</w:t>
      </w:r>
    </w:p>
    <w:p>
      <w:pPr>
        <w:numPr>
          <w:ilvl w:val="0"/>
          <w:numId w:val="1006"/>
        </w:numPr>
      </w:pPr>
      <w:r>
        <w:rPr>
          <w:b/>
          <w:bCs/>
        </w:rPr>
        <w:t xml:space="preserve">Professional help.</w:t>
      </w:r>
      <w:r>
        <w:t xml:space="preserve"> </w:t>
      </w:r>
      <w:r>
        <w:t xml:space="preserve">Pediatricians, family counselors, parent groups — these are not admissions of failure. They are infrastructure. Use it.</w:t>
      </w:r>
    </w:p>
    <w:p>
      <w:pPr>
        <w:numPr>
          <w:ilvl w:val="0"/>
          <w:numId w:val="1006"/>
        </w:numPr>
      </w:pPr>
      <w:r>
        <w:rPr>
          <w:b/>
          <w:bCs/>
        </w:rPr>
        <w:t xml:space="preserve">“</w:t>
      </w:r>
      <w:r>
        <w:rPr>
          <w:b/>
          <w:bCs/>
        </w:rPr>
        <w:t xml:space="preserve">Regular development</w:t>
      </w:r>
      <w:r>
        <w:rPr>
          <w:b/>
          <w:bCs/>
        </w:rPr>
        <w:t xml:space="preserve">”</w:t>
      </w:r>
      <w:r>
        <w:rPr>
          <w:b/>
          <w:bCs/>
        </w:rPr>
        <w:t xml:space="preserve"> </w:t>
      </w:r>
      <w:r>
        <w:rPr>
          <w:b/>
          <w:bCs/>
        </w:rPr>
        <w:t xml:space="preserve">short guide.</w:t>
      </w:r>
      <w:r>
        <w:t xml:space="preserve"> </w:t>
      </w:r>
      <w:r>
        <w:t xml:space="preserve">Children are, by design, chaotic. They cry, they break things, they ask</w:t>
      </w:r>
      <w:r>
        <w:t xml:space="preserve"> </w:t>
      </w:r>
      <w:r>
        <w:t xml:space="preserve">“</w:t>
      </w:r>
      <w:r>
        <w:t xml:space="preserve">why</w:t>
      </w:r>
      <w:r>
        <w:t xml:space="preserve">”</w:t>
      </w:r>
      <w:r>
        <w:t xml:space="preserve"> </w:t>
      </w:r>
      <w:r>
        <w:t xml:space="preserve">47 times in a row. This is normal. Here’s a compressed timeline based on WHO developmental milestones:</w:t>
      </w:r>
      <w:r>
        <w:rPr>
          <w:rStyle w:val="FootnoteReference"/>
        </w:rPr>
        <w:footnoteReference w:id="47"/>
      </w:r>
    </w:p>
    <w:p>
      <w:pPr>
        <w:numPr>
          <w:ilvl w:val="0"/>
          <w:numId w:val="1000"/>
        </w:numPr>
      </w:pPr>
      <w:r>
        <w:rPr>
          <w:b/>
          <w:bCs/>
        </w:rPr>
        <w:t xml:space="preserve">Gross Motor Milestones (WHO Windows of Achievement):</w:t>
      </w:r>
    </w:p>
    <w:tbl>
      <w:tblPr>
        <w:tblStyle w:val="Table"/>
        <w:tblW w:type="pct" w:w="5000"/>
        <w:jc w:val="left"/>
        <w:tblInd w:w="720" w:type="dxa"/>
        <w:tblLayout w:type="fixed"/>
        <w:tblLook w:firstRow="1" w:lastRow="0" w:firstColumn="0" w:lastColumn="0" w:noHBand="0" w:noVBand="0" w:val="0020"/>
      </w:tblPr>
      <w:tblGrid>
        <w:gridCol w:w="1502"/>
        <w:gridCol w:w="2048"/>
        <w:gridCol w:w="1092"/>
        <w:gridCol w:w="3277"/>
      </w:tblGrid>
      <w:tr>
        <w:trPr>
          <w:tblHeader w:val="on"/>
        </w:trPr>
        <w:tc>
          <w:tcPr/>
          <w:p>
            <w:pPr>
              <w:pStyle w:val="Compact"/>
              <w:jc w:val="left"/>
            </w:pPr>
            <w:r>
              <w:t xml:space="preserve">Milestone</w:t>
            </w:r>
          </w:p>
        </w:tc>
        <w:tc>
          <w:tcPr/>
          <w:p>
            <w:pPr>
              <w:pStyle w:val="Compact"/>
              <w:jc w:val="left"/>
            </w:pPr>
            <w:r>
              <w:t xml:space="preserve">WHO median age</w:t>
            </w:r>
          </w:p>
        </w:tc>
        <w:tc>
          <w:tcPr/>
          <w:p>
            <w:pPr>
              <w:pStyle w:val="Compact"/>
              <w:jc w:val="left"/>
            </w:pPr>
            <w:r>
              <w:t xml:space="preserve">Window</w:t>
            </w:r>
          </w:p>
        </w:tc>
        <w:tc>
          <w:tcPr/>
          <w:p>
            <w:pPr>
              <w:pStyle w:val="Compact"/>
              <w:jc w:val="left"/>
            </w:pPr>
            <w:r>
              <w:t xml:space="preserve">Your anxiety if not yet</w:t>
            </w:r>
          </w:p>
        </w:tc>
      </w:tr>
      <w:tr>
        <w:tc>
          <w:tcPr/>
          <w:p>
            <w:pPr>
              <w:pStyle w:val="Compact"/>
              <w:jc w:val="left"/>
            </w:pPr>
            <w:r>
              <w:t xml:space="preserve">Sit unsupported</w:t>
            </w:r>
          </w:p>
        </w:tc>
        <w:tc>
          <w:tcPr/>
          <w:p>
            <w:pPr>
              <w:pStyle w:val="Compact"/>
              <w:jc w:val="left"/>
            </w:pPr>
            <w:r>
              <w:t xml:space="preserve">~6 months</w:t>
            </w:r>
          </w:p>
        </w:tc>
        <w:tc>
          <w:tcPr/>
          <w:p>
            <w:pPr>
              <w:pStyle w:val="Compact"/>
              <w:jc w:val="left"/>
            </w:pPr>
            <w:r>
              <w:t xml:space="preserve">3.8–9.2 mo</w:t>
            </w:r>
          </w:p>
        </w:tc>
        <w:tc>
          <w:tcPr/>
          <w:p>
            <w:pPr>
              <w:pStyle w:val="Compact"/>
              <w:jc w:val="left"/>
            </w:pPr>
            <w:r>
              <w:t xml:space="preserve">Low (wide normal range)</w:t>
            </w:r>
          </w:p>
        </w:tc>
      </w:tr>
      <w:tr>
        <w:tc>
          <w:tcPr/>
          <w:p>
            <w:pPr>
              <w:pStyle w:val="Compact"/>
              <w:jc w:val="left"/>
            </w:pPr>
            <w:r>
              <w:t xml:space="preserve">Stand with assistance</w:t>
            </w:r>
          </w:p>
        </w:tc>
        <w:tc>
          <w:tcPr/>
          <w:p>
            <w:pPr>
              <w:pStyle w:val="Compact"/>
              <w:jc w:val="left"/>
            </w:pPr>
            <w:r>
              <w:t xml:space="preserve">~7.6 months</w:t>
            </w:r>
          </w:p>
        </w:tc>
        <w:tc>
          <w:tcPr/>
          <w:p>
            <w:pPr>
              <w:pStyle w:val="Compact"/>
              <w:jc w:val="left"/>
            </w:pPr>
            <w:r>
              <w:t xml:space="preserve">4.8–11.4 mo</w:t>
            </w:r>
          </w:p>
        </w:tc>
        <w:tc>
          <w:tcPr/>
          <w:p>
            <w:pPr>
              <w:pStyle w:val="Compact"/>
              <w:jc w:val="left"/>
            </w:pPr>
            <w:r>
              <w:t xml:space="preserve">Low</w:t>
            </w:r>
          </w:p>
        </w:tc>
      </w:tr>
      <w:tr>
        <w:tc>
          <w:tcPr/>
          <w:p>
            <w:pPr>
              <w:pStyle w:val="Compact"/>
              <w:jc w:val="left"/>
            </w:pPr>
            <w:r>
              <w:t xml:space="preserve">Hands-and-knees crawl</w:t>
            </w:r>
          </w:p>
        </w:tc>
        <w:tc>
          <w:tcPr/>
          <w:p>
            <w:pPr>
              <w:pStyle w:val="Compact"/>
              <w:jc w:val="left"/>
            </w:pPr>
            <w:r>
              <w:t xml:space="preserve">~8.5 months</w:t>
            </w:r>
          </w:p>
        </w:tc>
        <w:tc>
          <w:tcPr/>
          <w:p>
            <w:pPr>
              <w:pStyle w:val="Compact"/>
              <w:jc w:val="left"/>
            </w:pPr>
            <w:r>
              <w:t xml:space="preserve">5.2–13.5 mo</w:t>
            </w:r>
          </w:p>
        </w:tc>
        <w:tc>
          <w:tcPr/>
          <w:p>
            <w:pPr>
              <w:pStyle w:val="Compact"/>
              <w:jc w:val="left"/>
            </w:pPr>
            <w:r>
              <w:t xml:space="preserve">Low (some skip entirely)</w:t>
            </w:r>
          </w:p>
        </w:tc>
      </w:tr>
      <w:tr>
        <w:tc>
          <w:tcPr/>
          <w:p>
            <w:pPr>
              <w:pStyle w:val="Compact"/>
              <w:jc w:val="left"/>
            </w:pPr>
            <w:r>
              <w:t xml:space="preserve">Walk with assistance</w:t>
            </w:r>
          </w:p>
        </w:tc>
        <w:tc>
          <w:tcPr/>
          <w:p>
            <w:pPr>
              <w:pStyle w:val="Compact"/>
              <w:jc w:val="left"/>
            </w:pPr>
            <w:r>
              <w:t xml:space="preserve">~9.2 months</w:t>
            </w:r>
          </w:p>
        </w:tc>
        <w:tc>
          <w:tcPr/>
          <w:p>
            <w:pPr>
              <w:pStyle w:val="Compact"/>
              <w:jc w:val="left"/>
            </w:pPr>
            <w:r>
              <w:t xml:space="preserve">5.9–13.7 mo</w:t>
            </w:r>
          </w:p>
        </w:tc>
        <w:tc>
          <w:tcPr/>
          <w:p>
            <w:pPr>
              <w:pStyle w:val="Compact"/>
              <w:jc w:val="left"/>
            </w:pPr>
            <w:r>
              <w:t xml:space="preserve">Low</w:t>
            </w:r>
          </w:p>
        </w:tc>
      </w:tr>
      <w:tr>
        <w:tc>
          <w:tcPr/>
          <w:p>
            <w:pPr>
              <w:pStyle w:val="Compact"/>
              <w:jc w:val="left"/>
            </w:pPr>
            <w:r>
              <w:t xml:space="preserve">Stand alone</w:t>
            </w:r>
          </w:p>
        </w:tc>
        <w:tc>
          <w:tcPr/>
          <w:p>
            <w:pPr>
              <w:pStyle w:val="Compact"/>
              <w:jc w:val="left"/>
            </w:pPr>
            <w:r>
              <w:t xml:space="preserve">~11.0 months</w:t>
            </w:r>
          </w:p>
        </w:tc>
        <w:tc>
          <w:tcPr/>
          <w:p>
            <w:pPr>
              <w:pStyle w:val="Compact"/>
              <w:jc w:val="left"/>
            </w:pPr>
            <w:r>
              <w:t xml:space="preserve">6.9–16.9 mo</w:t>
            </w:r>
          </w:p>
        </w:tc>
        <w:tc>
          <w:tcPr/>
          <w:p>
            <w:pPr>
              <w:pStyle w:val="Compact"/>
              <w:jc w:val="left"/>
            </w:pPr>
            <w:r>
              <w:t xml:space="preserve">Moderate after 16mo</w:t>
            </w:r>
          </w:p>
        </w:tc>
      </w:tr>
      <w:tr>
        <w:tc>
          <w:tcPr/>
          <w:p>
            <w:pPr>
              <w:pStyle w:val="Compact"/>
              <w:jc w:val="left"/>
            </w:pPr>
            <w:r>
              <w:t xml:space="preserve">Walk alone</w:t>
            </w:r>
          </w:p>
        </w:tc>
        <w:tc>
          <w:tcPr/>
          <w:p>
            <w:pPr>
              <w:pStyle w:val="Compact"/>
              <w:jc w:val="left"/>
            </w:pPr>
            <w:r>
              <w:t xml:space="preserve">~12.0 months</w:t>
            </w:r>
          </w:p>
        </w:tc>
        <w:tc>
          <w:tcPr/>
          <w:p>
            <w:pPr>
              <w:pStyle w:val="Compact"/>
              <w:jc w:val="left"/>
            </w:pPr>
            <w:r>
              <w:t xml:space="preserve">8.2–17.6 mo</w:t>
            </w:r>
          </w:p>
        </w:tc>
        <w:tc>
          <w:tcPr/>
          <w:p>
            <w:pPr>
              <w:pStyle w:val="Compact"/>
              <w:jc w:val="left"/>
            </w:pPr>
            <w:r>
              <w:t xml:space="preserve">Moderate after 18mo</w:t>
            </w:r>
          </w:p>
        </w:tc>
      </w:tr>
    </w:tbl>
    <w:p>
      <w:pPr>
        <w:numPr>
          <w:ilvl w:val="0"/>
          <w:numId w:val="1000"/>
        </w:numPr>
      </w:pPr>
      <w:r>
        <w:rPr>
          <w:b/>
          <w:bCs/>
        </w:rPr>
        <w:t xml:space="preserve">Cognitive &amp; Social Milestones:</w:t>
      </w:r>
    </w:p>
    <w:p>
      <w:pPr>
        <w:pStyle w:val="Compact"/>
        <w:numPr>
          <w:ilvl w:val="1"/>
          <w:numId w:val="1007"/>
        </w:numPr>
      </w:pPr>
      <w:r>
        <w:rPr>
          <w:b/>
          <w:bCs/>
        </w:rPr>
        <w:t xml:space="preserve">0–1 year:</w:t>
      </w:r>
      <w:r>
        <w:t xml:space="preserve"> </w:t>
      </w:r>
      <w:r>
        <w:t xml:space="preserve">Survival mode (yours and theirs). Object permanence develops around 8 months — before that, out of sight = out of existence. Everything is a phase.</w:t>
      </w:r>
    </w:p>
    <w:p>
      <w:pPr>
        <w:pStyle w:val="Compact"/>
        <w:numPr>
          <w:ilvl w:val="1"/>
          <w:numId w:val="1007"/>
        </w:numPr>
      </w:pPr>
      <w:r>
        <w:rPr>
          <w:b/>
          <w:bCs/>
        </w:rPr>
        <w:t xml:space="preserve">1–3 years:</w:t>
      </w:r>
      <w:r>
        <w:t xml:space="preserve"> </w:t>
      </w:r>
      <w:r>
        <w:t xml:space="preserve">Mobility + opinions. Language explosion: typical vocabulary grows from ~50 words at 18 months to ~200+ words at 24 months. Baby-proof everything, including your ego.</w:t>
      </w:r>
    </w:p>
    <w:p>
      <w:pPr>
        <w:pStyle w:val="Compact"/>
        <w:numPr>
          <w:ilvl w:val="1"/>
          <w:numId w:val="1007"/>
        </w:numPr>
      </w:pPr>
      <w:r>
        <w:rPr>
          <w:b/>
          <w:bCs/>
        </w:rPr>
        <w:t xml:space="preserve">3–6 years:</w:t>
      </w:r>
      <w:r>
        <w:t xml:space="preserve"> </w:t>
      </w:r>
      <w:r>
        <w:t xml:space="preserve">Questions. So many questions. Theory of mind develops around age 4 — they’re starting to understand that other people have different thoughts. You don’t need all the answers.</w:t>
      </w:r>
    </w:p>
    <w:p>
      <w:pPr>
        <w:pStyle w:val="Compact"/>
        <w:numPr>
          <w:ilvl w:val="1"/>
          <w:numId w:val="1007"/>
        </w:numPr>
      </w:pPr>
      <w:r>
        <w:rPr>
          <w:b/>
          <w:bCs/>
        </w:rPr>
        <w:t xml:space="preserve">6–10 years:</w:t>
      </w:r>
      <w:r>
        <w:t xml:space="preserve"> </w:t>
      </w:r>
      <w:r>
        <w:t xml:space="preserve">School + social complexity. Executive function (planning, impulse control) is still developing — the prefrontal cortex won’t finish maturing until ~25 years. Your role shifts from caretaker to translator.</w:t>
      </w:r>
    </w:p>
    <w:p>
      <w:pPr>
        <w:numPr>
          <w:ilvl w:val="0"/>
          <w:numId w:val="1000"/>
        </w:numPr>
      </w:pPr>
      <w:r>
        <w:t xml:space="preserve">When overwhelmed → 📍 Calm Guide (Ch.4). You’re allowed to lock the bathroom door and breathe. That’s literally why this guide is here.</w:t>
      </w:r>
    </w:p>
    <w:bookmarkEnd w:id="48"/>
    <w:bookmarkStart w:id="49" w:name="a5-created-a-life-form-20-years-ago"/>
    <w:p>
      <w:pPr>
        <w:pStyle w:val="Heading2"/>
      </w:pPr>
      <w:r>
        <w:t xml:space="preserve">A5 — Created a Life Form · &gt; 20 Years Ago</w:t>
      </w:r>
    </w:p>
    <w:p>
      <w:pPr>
        <w:pStyle w:val="FirstParagraph"/>
      </w:pPr>
      <w:r>
        <w:t xml:space="preserve">They’re an adult. You’ve done your shift. Grow up, pls — and we say that with warmth.</w:t>
      </w:r>
    </w:p>
    <w:p>
      <w:pPr>
        <w:pStyle w:val="Compact"/>
        <w:numPr>
          <w:ilvl w:val="0"/>
          <w:numId w:val="1008"/>
        </w:numPr>
      </w:pPr>
      <w:r>
        <w:rPr>
          <w:b/>
          <w:bCs/>
        </w:rPr>
        <w:t xml:space="preserve">Reframe.</w:t>
      </w:r>
      <w:r>
        <w:t xml:space="preserve"> </w:t>
      </w:r>
      <w:r>
        <w:t xml:space="preserve">Your creation is now an autonomous agent with their own decision-making apparatus (questionable as it may seem at times). Your responsibility has transitioned from</w:t>
      </w:r>
      <w:r>
        <w:t xml:space="preserve"> </w:t>
      </w:r>
      <w:r>
        <w:t xml:space="preserve">“</w:t>
      </w:r>
      <w:r>
        <w:t xml:space="preserve">keeping them alive</w:t>
      </w:r>
      <w:r>
        <w:t xml:space="preserve">”</w:t>
      </w:r>
      <w:r>
        <w:t xml:space="preserve"> </w:t>
      </w:r>
      <w:r>
        <w:t xml:space="preserve">to</w:t>
      </w:r>
      <w:r>
        <w:t xml:space="preserve"> </w:t>
      </w:r>
      <w:r>
        <w:t xml:space="preserve">“</w:t>
      </w:r>
      <w:r>
        <w:t xml:space="preserve">being available if they ask.</w:t>
      </w:r>
      <w:r>
        <w:t xml:space="preserve">”</w:t>
      </w:r>
      <w:r>
        <w:t xml:space="preserve"> </w:t>
      </w:r>
      <w:r>
        <w:t xml:space="preserve">Formally: your duty function</w:t>
      </w:r>
      <w:r>
        <w:t xml:space="preserve"> </w:t>
      </w:r>
      <m:oMath>
        <m:r>
          <m:t>D</m:t>
        </m:r>
        <m:d>
          <m:dPr>
            <m:begChr m:val="("/>
            <m:endChr m:val=")"/>
            <m:sepChr m:val=""/>
            <m:grow/>
          </m:dPr>
          <m:e>
            <m:r>
              <m:t>t</m:t>
            </m:r>
          </m:e>
        </m:d>
      </m:oMath>
      <w:r>
        <w:t xml:space="preserve"> </w:t>
      </w:r>
      <w:r>
        <w:t xml:space="preserve">transitions from</w:t>
      </w:r>
      <w:r>
        <w:t xml:space="preserve"> </w:t>
      </w:r>
      <m:oMath>
        <m:sSub>
          <m:e>
            <m:r>
              <m:t>D</m:t>
            </m:r>
          </m:e>
          <m:sub>
            <m:r>
              <m:t>a</m:t>
            </m:r>
            <m:r>
              <m:t>c</m:t>
            </m:r>
            <m:r>
              <m:t>t</m:t>
            </m:r>
            <m:r>
              <m:t>i</m:t>
            </m:r>
            <m:r>
              <m:t>v</m:t>
            </m:r>
            <m:r>
              <m:t>e</m:t>
            </m:r>
          </m:sub>
        </m:sSub>
      </m:oMath>
      <w:r>
        <w:t xml:space="preserve"> </w:t>
      </w:r>
      <w:r>
        <w:t xml:space="preserve">to</w:t>
      </w:r>
      <w:r>
        <w:t xml:space="preserve"> </w:t>
      </w:r>
      <m:oMath>
        <m:sSub>
          <m:e>
            <m:r>
              <m:t>D</m:t>
            </m:r>
          </m:e>
          <m:sub>
            <m:r>
              <m:t>a</m:t>
            </m:r>
            <m:r>
              <m:t>v</m:t>
            </m:r>
            <m:r>
              <m:t>a</m:t>
            </m:r>
            <m:r>
              <m:t>i</m:t>
            </m:r>
            <m:r>
              <m:t>l</m:t>
            </m:r>
            <m:r>
              <m:t>a</m:t>
            </m:r>
            <m:r>
              <m:t>b</m:t>
            </m:r>
            <m:r>
              <m:t>l</m:t>
            </m:r>
            <m:r>
              <m:t>e</m:t>
            </m:r>
          </m:sub>
        </m:sSub>
      </m:oMath>
      <w:r>
        <w:t xml:space="preserve"> </w:t>
      </w:r>
      <w:r>
        <w:t xml:space="preserve">around the time they start paying their own rent.</w:t>
      </w:r>
    </w:p>
    <w:p>
      <w:pPr>
        <w:pStyle w:val="Compact"/>
        <w:numPr>
          <w:ilvl w:val="0"/>
          <w:numId w:val="1008"/>
        </w:numPr>
      </w:pPr>
      <w:r>
        <w:rPr>
          <w:b/>
          <w:bCs/>
        </w:rPr>
        <w:t xml:space="preserve">Look at</w:t>
      </w:r>
      <w:r>
        <w:rPr>
          <w:b/>
          <w:bCs/>
        </w:rPr>
        <w:t xml:space="preserve"> </w:t>
      </w:r>
      <w:r>
        <w:rPr>
          <w:b/>
          <w:bCs/>
        </w:rPr>
        <w:t xml:space="preserve">“</w:t>
      </w:r>
      <w:r>
        <w:rPr>
          <w:b/>
          <w:bCs/>
        </w:rPr>
        <w:t xml:space="preserve">friends.</w:t>
      </w:r>
      <w:r>
        <w:rPr>
          <w:b/>
          <w:bCs/>
        </w:rPr>
        <w:t xml:space="preserve">”</w:t>
      </w:r>
      <w:r>
        <w:t xml:space="preserve"> </w:t>
      </w:r>
      <w:r>
        <w:t xml:space="preserve">If you’re struggling with this transition, the issue may not be them — it may be you. That’s not a criticism; it’s an observation. → 📍 Calm Guide (Ch.4) for immediate grounding, → 📍 Professional Support Directory (Ch.7, §14.2) for deeper work.</w:t>
      </w:r>
    </w:p>
    <w:p>
      <w:pPr>
        <w:pStyle w:val="Compact"/>
        <w:numPr>
          <w:ilvl w:val="0"/>
          <w:numId w:val="1008"/>
        </w:numPr>
      </w:pPr>
      <w:r>
        <w:rPr>
          <w:b/>
          <w:bCs/>
        </w:rPr>
        <w:t xml:space="preserve">Practical advice.</w:t>
      </w:r>
      <w:r>
        <w:t xml:space="preserve"> </w:t>
      </w:r>
      <w:r>
        <w:t xml:space="preserve">Call them. Not to fix anything. Just to talk. If that’s hard, the Calm Guide has conversation strategies.</w:t>
      </w:r>
    </w:p>
    <w:bookmarkEnd w:id="49"/>
    <w:bookmarkStart w:id="51" w:name="Xaa7d53eebba68329ed0d31b139bb0564d0e0bb7"/>
    <w:p>
      <w:pPr>
        <w:pStyle w:val="Heading2"/>
      </w:pPr>
      <w:r>
        <w:t xml:space="preserve">A6 — Created a Life Form · Ambiguous / Otherwise</w:t>
      </w:r>
    </w:p>
    <w:p>
      <w:pPr>
        <w:pStyle w:val="FirstParagraph"/>
      </w:pPr>
      <w:r>
        <w:t xml:space="preserve">The timeline is unclear, the situation is messy, or it doesn’t fit neatly into A1–A5. Welcome to the majority of human experience.</w:t>
      </w:r>
    </w:p>
    <w:p>
      <w:pPr>
        <w:pStyle w:val="BodyText"/>
      </w:pPr>
      <w:r>
        <w:rPr>
          <w:b/>
          <w:bCs/>
        </w:rPr>
        <w:t xml:space="preserve">Sub-path (a): Don’t want to, but will.</w:t>
      </w:r>
      <w:r>
        <w:t xml:space="preserve"> </w:t>
      </w:r>
      <w:r>
        <w:t xml:space="preserve">You’re being pulled toward something by obligation, expectation, or inertia. That tension is real. Acknowledge it → 📍 Calm Guide (Ch.4) to reduce the noise, then seek structured help → 📍 Professional Support Directory (Ch.7).</w:t>
      </w:r>
    </w:p>
    <w:p>
      <w:pPr>
        <w:pStyle w:val="BodyText"/>
      </w:pPr>
      <w:r>
        <w:rPr>
          <w:b/>
          <w:bCs/>
        </w:rPr>
        <w:t xml:space="preserve">Sub-path (b): Want to create, but can’t figure out how.</w:t>
      </w:r>
      <w:r>
        <w:t xml:space="preserve"> </w:t>
      </w:r>
      <w:r>
        <w:t xml:space="preserve">Break it down:</w:t>
      </w:r>
    </w:p>
    <w:p>
      <w:pPr>
        <w:pStyle w:val="Compact"/>
        <w:numPr>
          <w:ilvl w:val="0"/>
          <w:numId w:val="1009"/>
        </w:numPr>
      </w:pPr>
      <w:r>
        <w:rPr>
          <w:b/>
          <w:bCs/>
        </w:rPr>
        <w:t xml:space="preserve">Money?</w:t>
      </w:r>
      <w:r>
        <w:t xml:space="preserve"> </w:t>
      </w:r>
      <w:r>
        <w:t xml:space="preserve">Financial barriers are real and addressable. State support, grants, community resources exist → 📍 Professional Support Directory (Ch.7, §14.5).</w:t>
      </w:r>
    </w:p>
    <w:p>
      <w:pPr>
        <w:pStyle w:val="Compact"/>
        <w:numPr>
          <w:ilvl w:val="0"/>
          <w:numId w:val="1009"/>
        </w:numPr>
      </w:pPr>
      <w:r>
        <w:rPr>
          <w:b/>
          <w:bCs/>
        </w:rPr>
        <w:t xml:space="preserve">Medical issues?</w:t>
      </w:r>
      <w:r>
        <w:t xml:space="preserve"> </w:t>
      </w:r>
      <w:r>
        <w:t xml:space="preserve">Fertility medicine is a vast field. Start with your GP, then specialize. Approximately 15% of couples experience infertility (WHO definition: failure to achieve pregnancy after 12+ months of regular unprotected intercourse)</w:t>
      </w:r>
      <w:r>
        <w:rPr>
          <w:rStyle w:val="FootnoteReference"/>
        </w:rPr>
        <w:footnoteReference w:id="50"/>
      </w:r>
      <w:r>
        <w:t xml:space="preserve"> </w:t>
      </w:r>
      <w:r>
        <w:t xml:space="preserve">→ 📍 Professional Support Directory (Ch.7, §14.4).</w:t>
      </w:r>
    </w:p>
    <w:p>
      <w:pPr>
        <w:pStyle w:val="Compact"/>
        <w:numPr>
          <w:ilvl w:val="0"/>
          <w:numId w:val="1009"/>
        </w:numPr>
      </w:pPr>
      <w:r>
        <w:rPr>
          <w:b/>
          <w:bCs/>
        </w:rPr>
        <w:t xml:space="preserve">Reproduction itself?</w:t>
      </w:r>
      <w:r>
        <w:t xml:space="preserve"> </w:t>
      </w:r>
      <w:r>
        <w:t xml:space="preserve">The biology is well-documented. The logistics depend on your circumstances. If you’re here, you probably don’t need the birds-and-bees talk — you need practical next steps → same as above.</w:t>
      </w:r>
    </w:p>
    <w:bookmarkEnd w:id="51"/>
    <w:bookmarkStart w:id="52" w:name="a7-harmed-or-ended-a-life-form"/>
    <w:p>
      <w:pPr>
        <w:pStyle w:val="Heading2"/>
      </w:pPr>
      <w:r>
        <w:t xml:space="preserve">A7 — Harmed or Ended a Life Form</w:t>
      </w:r>
    </w:p>
    <w:p>
      <w:pPr>
        <w:pStyle w:val="FirstParagraph"/>
      </w:pPr>
      <w:r>
        <w:t xml:space="preserve">This is the section where the tone shifts. Some things aren’t funny, and this is one of them.</w:t>
      </w:r>
    </w:p>
    <w:p>
      <w:pPr>
        <w:pStyle w:val="SourceCode"/>
      </w:pPr>
      <w:r>
        <w:rPr>
          <w:rStyle w:val="VerbatimChar"/>
        </w:rPr>
        <w:t xml:space="preserve">◆ Why did this happen?</w:t>
      </w:r>
      <w:r>
        <w:br/>
      </w:r>
      <w:r>
        <w:br/>
      </w:r>
      <w:r>
        <w:rPr>
          <w:rStyle w:val="VerbatimChar"/>
        </w:rPr>
        <w:t xml:space="preserve">    ├─ Self-defense?</w:t>
      </w:r>
      <w:r>
        <w:br/>
      </w:r>
      <w:r>
        <w:rPr>
          <w:rStyle w:val="VerbatimChar"/>
        </w:rPr>
        <w:t xml:space="preserve">    │     ├─ Juristical → Consult local self-defense laws.</w:t>
      </w:r>
      <w:r>
        <w:br/>
      </w:r>
      <w:r>
        <w:rPr>
          <w:rStyle w:val="VerbatimChar"/>
        </w:rPr>
        <w:t xml:space="preserve">    │     │               In Germany: §32 StGB (Notwehr) applies.</w:t>
      </w:r>
      <w:r>
        <w:br/>
      </w:r>
      <w:r>
        <w:rPr>
          <w:rStyle w:val="VerbatimChar"/>
        </w:rPr>
        <w:t xml:space="preserve">    │     │               Elements: (1) present attack, (2) unlawful,</w:t>
      </w:r>
      <w:r>
        <w:br/>
      </w:r>
      <w:r>
        <w:rPr>
          <w:rStyle w:val="VerbatimChar"/>
        </w:rPr>
        <w:t xml:space="preserve">    │     │               (3) defensive action, (4) proportionality.[^stgb32]</w:t>
      </w:r>
      <w:r>
        <w:br/>
      </w:r>
      <w:r>
        <w:rPr>
          <w:rStyle w:val="VerbatimChar"/>
        </w:rPr>
        <w:t xml:space="preserve">    │     │               Contact a lawyer → 📍 Prof. Support (Ch.7, §14.3).</w:t>
      </w:r>
      <w:r>
        <w:br/>
      </w:r>
      <w:r>
        <w:rPr>
          <w:rStyle w:val="VerbatimChar"/>
        </w:rPr>
        <w:t xml:space="preserve">    │     │               + 📍 Calm Guide (Ch.4) — you've been through</w:t>
      </w:r>
      <w:r>
        <w:br/>
      </w:r>
      <w:r>
        <w:rPr>
          <w:rStyle w:val="VerbatimChar"/>
        </w:rPr>
        <w:t xml:space="preserve">    │     │                 something traumatic.</w:t>
      </w:r>
      <w:r>
        <w:br/>
      </w:r>
      <w:r>
        <w:rPr>
          <w:rStyle w:val="VerbatimChar"/>
        </w:rPr>
        <w:t xml:space="preserve">    │     └─ Ethical → Even justified harm carries weight.</w:t>
      </w:r>
      <w:r>
        <w:br/>
      </w:r>
      <w:r>
        <w:rPr>
          <w:rStyle w:val="VerbatimChar"/>
        </w:rPr>
        <w:t xml:space="preserve">    │                   Talk to someone trained for this.</w:t>
      </w:r>
      <w:r>
        <w:br/>
      </w:r>
      <w:r>
        <w:rPr>
          <w:rStyle w:val="VerbatimChar"/>
        </w:rPr>
        <w:t xml:space="preserve">    │                   → 📍 Professional Support Directory (Ch.7, §14.2)</w:t>
      </w:r>
      <w:r>
        <w:br/>
      </w:r>
      <w:r>
        <w:rPr>
          <w:rStyle w:val="VerbatimChar"/>
        </w:rPr>
        <w:t xml:space="preserve">    │</w:t>
      </w:r>
      <w:r>
        <w:br/>
      </w:r>
      <w:r>
        <w:rPr>
          <w:rStyle w:val="VerbatimChar"/>
        </w:rPr>
        <w:t xml:space="preserve">    ├─ Accident?</w:t>
      </w:r>
      <w:r>
        <w:br/>
      </w:r>
      <w:r>
        <w:rPr>
          <w:rStyle w:val="VerbatimChar"/>
        </w:rPr>
        <w:t xml:space="preserve">    │     ├─ Imminent danger? → Act now:</w:t>
      </w:r>
      <w:r>
        <w:br/>
      </w:r>
      <w:r>
        <w:rPr>
          <w:rStyle w:val="VerbatimChar"/>
        </w:rPr>
        <w:t xml:space="preserve">    │     │     Call 112 → 📍 Self Ambulance Guide (Ch.5)</w:t>
      </w:r>
      <w:r>
        <w:br/>
      </w:r>
      <w:r>
        <w:rPr>
          <w:rStyle w:val="VerbatimChar"/>
        </w:rPr>
        <w:t xml:space="preserve">    │     │     + find other humans immediately</w:t>
      </w:r>
      <w:r>
        <w:br/>
      </w:r>
      <w:r>
        <w:rPr>
          <w:rStyle w:val="VerbatimChar"/>
        </w:rPr>
        <w:t xml:space="preserve">    │     └─ Aftermath → You need both practical and emotional</w:t>
      </w:r>
      <w:r>
        <w:br/>
      </w:r>
      <w:r>
        <w:rPr>
          <w:rStyle w:val="VerbatimChar"/>
        </w:rPr>
        <w:t xml:space="preserve">    │                     support. Start with</w:t>
      </w:r>
      <w:r>
        <w:br/>
      </w:r>
      <w:r>
        <w:rPr>
          <w:rStyle w:val="VerbatimChar"/>
        </w:rPr>
        <w:t xml:space="preserve">    │                     → 📍 Calm Guide (Ch.4), then</w:t>
      </w:r>
      <w:r>
        <w:br/>
      </w:r>
      <w:r>
        <w:rPr>
          <w:rStyle w:val="VerbatimChar"/>
        </w:rPr>
        <w:t xml:space="preserve">    │                     → 📍 Professional Support Directory (Ch.7)</w:t>
      </w:r>
      <w:r>
        <w:br/>
      </w:r>
      <w:r>
        <w:rPr>
          <w:rStyle w:val="VerbatimChar"/>
        </w:rPr>
        <w:t xml:space="preserve">    │</w:t>
      </w:r>
      <w:r>
        <w:br/>
      </w:r>
      <w:r>
        <w:rPr>
          <w:rStyle w:val="VerbatimChar"/>
        </w:rPr>
        <w:t xml:space="preserve">    └─ For fun / profit?</w:t>
      </w:r>
      <w:r>
        <w:br/>
      </w:r>
      <w:r>
        <w:rPr>
          <w:rStyle w:val="VerbatimChar"/>
        </w:rPr>
        <w:t xml:space="preserve">          → §</w:t>
      </w:r>
      <w:r>
        <w:br/>
      </w:r>
      <w:r>
        <w:rPr>
          <w:rStyle w:val="VerbatimChar"/>
        </w:rPr>
        <w:t xml:space="preserve">          This guide has nothing for you.</w:t>
      </w:r>
      <w:r>
        <w:br/>
      </w:r>
      <w:r>
        <w:rPr>
          <w:rStyle w:val="VerbatimChar"/>
        </w:rPr>
        <w:t xml:space="preserve">          Leave the bathroom. Reconsider your choices.</w:t>
      </w:r>
      <w:r>
        <w:br/>
      </w:r>
      <w:r>
        <w:rPr>
          <w:rStyle w:val="VerbatimChar"/>
        </w:rPr>
        <w:t xml:space="preserve">          Come back when you're ready to be human.</w:t>
      </w:r>
    </w:p>
    <w:bookmarkEnd w:id="52"/>
    <w:bookmarkStart w:id="54" w:name="Xba16f58c17562abf91ee136ef983590287b1ea7"/>
    <w:p>
      <w:pPr>
        <w:pStyle w:val="Heading2"/>
      </w:pPr>
      <w:r>
        <w:t xml:space="preserve">A8 — Managing Responsibility for a Life/Entity</w:t>
      </w:r>
    </w:p>
    <w:p>
      <w:pPr>
        <w:pStyle w:val="FirstParagraph"/>
      </w:pPr>
      <w:r>
        <w:t xml:space="preserve">Ongoing responsibility is less dramatic than A7 but can be just as heavy. The weight doesn’t arrive all at once — it accumulates. Research on caregiver burnout shows that chronic stress follows a dose-response curve: the longer and more intense the caregiving demands, the higher the probability of psychological distress, with caregiver depression rates of 20–40% depending on intensity and duration.</w:t>
      </w:r>
      <w:r>
        <w:rPr>
          <w:rStyle w:val="FootnoteReference"/>
        </w:rPr>
        <w:footnoteReference w:id="53"/>
      </w:r>
    </w:p>
    <w:p>
      <w:pPr>
        <w:pStyle w:val="Compact"/>
        <w:numPr>
          <w:ilvl w:val="0"/>
          <w:numId w:val="1010"/>
        </w:numPr>
      </w:pPr>
      <w:r>
        <w:rPr>
          <w:b/>
          <w:bCs/>
        </w:rPr>
        <w:t xml:space="preserve">Legal obligations.</w:t>
      </w:r>
      <w:r>
        <w:t xml:space="preserve"> </w:t>
      </w:r>
      <w:r>
        <w:t xml:space="preserve">Know what’s required of you. Ignorance isn’t a strategy → 📍 Professional Support Directory (Ch.7, §14.3).</w:t>
      </w:r>
    </w:p>
    <w:p>
      <w:pPr>
        <w:pStyle w:val="Compact"/>
        <w:numPr>
          <w:ilvl w:val="0"/>
          <w:numId w:val="1010"/>
        </w:numPr>
      </w:pPr>
      <w:r>
        <w:rPr>
          <w:b/>
          <w:bCs/>
        </w:rPr>
        <w:t xml:space="preserve">Emotional load.</w:t>
      </w:r>
      <w:r>
        <w:t xml:space="preserve"> </w:t>
      </w:r>
      <w:r>
        <w:t xml:space="preserve">Caring for another entity — whether child, elder, pet, or dependent — takes a toll that’s easy to ignore until it breaks you. It doesn’t have to → 📍 Calm Guide (Ch.4) for daily maintenance, 📍 Professional Support Directory (Ch.7, §14.2) for structural support.</w:t>
      </w:r>
    </w:p>
    <w:p>
      <w:pPr>
        <w:pStyle w:val="Compact"/>
        <w:numPr>
          <w:ilvl w:val="0"/>
          <w:numId w:val="1010"/>
        </w:numPr>
      </w:pPr>
      <w:r>
        <w:rPr>
          <w:b/>
          <w:bCs/>
        </w:rPr>
        <w:t xml:space="preserve">You matter too.</w:t>
      </w:r>
      <w:r>
        <w:t xml:space="preserve"> </w:t>
      </w:r>
      <w:r>
        <w:t xml:space="preserve">This is not selfish. An empty vessel can’t pour. Take care of yourself so you can take care of them.</w:t>
      </w:r>
    </w:p>
    <w:p>
      <w:pPr>
        <w:pStyle w:val="FirstParagraph"/>
      </w:pPr>
      <w:r>
        <w:t xml:space="preserve">title:</w:t>
      </w:r>
      <w:r>
        <w:t xml:space="preserve"> </w:t>
      </w:r>
      <w:r>
        <w:t xml:space="preserve">“</w:t>
      </w:r>
      <w:r>
        <w:t xml:space="preserve">Situations B–G — Emotional &amp; Situational Entry Points</w:t>
      </w:r>
      <w:r>
        <w:t xml:space="preserve">”</w:t>
      </w:r>
      <w:r>
        <w:t xml:space="preserve"> </w:t>
      </w:r>
      <w:r>
        <w:t xml:space="preserve">chapter: 3</w:t>
      </w:r>
      <w:r>
        <w:t xml:space="preserve"> </w:t>
      </w:r>
      <w:r>
        <w:t xml:space="preserve">revision:</w:t>
      </w:r>
      <w:r>
        <w:t xml:space="preserve"> </w:t>
      </w:r>
      <w:r>
        <w:t xml:space="preserve">“</w:t>
      </w:r>
      <w:r>
        <w:t xml:space="preserve">3.2.0</w:t>
      </w:r>
      <w:r>
        <w:t xml:space="preserve">”</w:t>
      </w:r>
      <w:r>
        <w:t xml:space="preserve"> </w:t>
      </w:r>
      <w:r>
        <w:t xml:space="preserve">last_updated:</w:t>
      </w:r>
      <w:r>
        <w:t xml:space="preserve"> </w:t>
      </w:r>
      <w:r>
        <w:t xml:space="preserve">“</w:t>
      </w:r>
      <w:r>
        <w:t xml:space="preserve">2026-05-03</w:t>
      </w:r>
      <w:r>
        <w:t xml:space="preserve">”</w:t>
      </w:r>
      <w:r>
        <w:t xml:space="preserve"> </w:t>
      </w:r>
      <w:r>
        <w:t xml:space="preserve">dependencies:</w:t>
      </w:r>
      <w:r>
        <w:t xml:space="preserve"> </w:t>
      </w:r>
      <w:r>
        <w:t xml:space="preserve">- ../diagrams/anxiety_severity_spectrum.png</w:t>
      </w:r>
      <w:r>
        <w:t xml:space="preserve"> </w:t>
      </w:r>
      <w:r>
        <w:t xml:space="preserve">- ../diagrams/pain_nrs_correlates.png</w:t>
      </w:r>
      <w:r>
        <w:t xml:space="preserve"> </w:t>
      </w:r>
      <w:r>
        <w:t xml:space="preserve">—</w:t>
      </w:r>
    </w:p>
    <w:bookmarkEnd w:id="54"/>
    <w:bookmarkEnd w:id="55"/>
    <w:bookmarkStart w:id="63" w:name="situation-b-i-feel-anxious"/>
    <w:p>
      <w:pPr>
        <w:pStyle w:val="Heading1"/>
      </w:pPr>
      <w:r>
        <w:t xml:space="preserve">Situation B —</w:t>
      </w:r>
      <w:r>
        <w:t xml:space="preserve"> </w:t>
      </w:r>
      <w:r>
        <w:t xml:space="preserve">“</w:t>
      </w:r>
      <w:r>
        <w:t xml:space="preserve">I Feel Anxious</w:t>
      </w:r>
      <w:r>
        <w:t xml:space="preserve">”</w:t>
      </w:r>
    </w:p>
    <w:p>
      <w:pPr>
        <w:pStyle w:val="FirstParagraph"/>
      </w:pPr>
      <w:r>
        <w:t xml:space="preserve">Anxiety is your brain’s way of running worst-case simulations without your consent. It’s a feature that got stuck in debug mode. Let’s triage.</w:t>
      </w:r>
    </w:p>
    <w:p>
      <w:pPr>
        <w:pStyle w:val="BodyText"/>
      </w:pPr>
      <w:r>
        <w:rPr>
          <w:b/>
          <w:bCs/>
        </w:rPr>
        <w:t xml:space="preserve">Step 1. Determine the temporal flavor.</w:t>
      </w:r>
    </w:p>
    <w:p>
      <w:pPr>
        <w:pStyle w:val="SourceCode"/>
      </w:pPr>
      <w:r>
        <w:rPr>
          <w:rStyle w:val="VerbatimChar"/>
        </w:rPr>
        <w:t xml:space="preserve">◆ Is this acute (happening right now) or general (ongoing background hum)?</w:t>
      </w:r>
      <w:r>
        <w:br/>
      </w:r>
      <w:r>
        <w:br/>
      </w:r>
      <w:r>
        <w:rPr>
          <w:rStyle w:val="VerbatimChar"/>
        </w:rPr>
        <w:t xml:space="preserve">    ├─ Acute → Heart racing, thoughts spiraling, chest tight?</w:t>
      </w:r>
      <w:r>
        <w:br/>
      </w:r>
      <w:r>
        <w:rPr>
          <w:rStyle w:val="VerbatimChar"/>
        </w:rPr>
        <w:t xml:space="preserve">    │          → 📍 Calm Guide (Ch.4) — immediately.</w:t>
      </w:r>
      <w:r>
        <w:br/>
      </w:r>
      <w:r>
        <w:rPr>
          <w:rStyle w:val="VerbatimChar"/>
        </w:rPr>
        <w:t xml:space="preserve">    │            The bathroom is fine. Stay. Breathe. Ch.4 has you.</w:t>
      </w:r>
      <w:r>
        <w:br/>
      </w:r>
      <w:r>
        <w:rPr>
          <w:rStyle w:val="VerbatimChar"/>
        </w:rPr>
        <w:t xml:space="preserve">    │</w:t>
      </w:r>
      <w:r>
        <w:br/>
      </w:r>
      <w:r>
        <w:rPr>
          <w:rStyle w:val="VerbatimChar"/>
        </w:rPr>
        <w:t xml:space="preserve">    └─ General → Low-grade dread, persistent worry, can't quite</w:t>
      </w:r>
      <w:r>
        <w:br/>
      </w:r>
      <w:r>
        <w:rPr>
          <w:rStyle w:val="VerbatimChar"/>
        </w:rPr>
        <w:t xml:space="preserve">                 put your finger on it but something is definitely</w:t>
      </w:r>
      <w:r>
        <w:br/>
      </w:r>
      <w:r>
        <w:rPr>
          <w:rStyle w:val="VerbatimChar"/>
        </w:rPr>
        <w:t xml:space="preserve">                 off and has been for a while?</w:t>
      </w:r>
      <w:r>
        <w:br/>
      </w:r>
      <w:r>
        <w:rPr>
          <w:rStyle w:val="VerbatimChar"/>
        </w:rPr>
        <w:t xml:space="preserve">                 → 📍 Professional Support Directory (Ch.7, §14.2)</w:t>
      </w:r>
      <w:r>
        <w:br/>
      </w:r>
      <w:r>
        <w:rPr>
          <w:rStyle w:val="VerbatimChar"/>
        </w:rPr>
        <w:t xml:space="preserve">                   This isn't a one-bathroom-session fix. Get backup.</w:t>
      </w:r>
    </w:p>
    <w:p>
      <w:pPr>
        <w:pStyle w:val="FirstParagraph"/>
      </w:pPr>
      <w:r>
        <w:rPr>
          <w:b/>
          <w:bCs/>
        </w:rPr>
        <w:t xml:space="preserve">Step 2. If anxious</w:t>
      </w:r>
      <w:r>
        <w:rPr>
          <w:b/>
          <w:bCs/>
        </w:rPr>
        <w:t xml:space="preserve"> </w:t>
      </w:r>
      <w:r>
        <w:rPr>
          <w:b/>
          <w:bCs/>
          <w:i/>
          <w:iCs/>
        </w:rPr>
        <w:t xml:space="preserve">about</w:t>
      </w:r>
      <w:r>
        <w:rPr>
          <w:b/>
          <w:bCs/>
        </w:rPr>
        <w:t xml:space="preserve"> </w:t>
      </w:r>
      <w:r>
        <w:rPr>
          <w:b/>
          <w:bCs/>
        </w:rPr>
        <w:t xml:space="preserve">something specific, identify the target.</w:t>
      </w:r>
    </w:p>
    <w:p>
      <w:pPr>
        <w:pStyle w:val="BodyText"/>
      </w:pPr>
      <w:r>
        <w:t xml:space="preserve">Anxiety loves an object. Give it one — then decide whether that object actually needs your attention right now.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Worried about…</w:t>
            </w:r>
          </w:p>
        </w:tc>
        <w:tc>
          <w:tcPr/>
          <w:p>
            <w:pPr>
              <w:pStyle w:val="Compact"/>
              <w:jc w:val="left"/>
            </w:pPr>
            <w:r>
              <w:t xml:space="preserve">What’s happening</w:t>
            </w:r>
          </w:p>
        </w:tc>
        <w:tc>
          <w:tcPr/>
          <w:p>
            <w:pPr>
              <w:pStyle w:val="Compact"/>
              <w:jc w:val="left"/>
            </w:pPr>
            <w:r>
              <w:t xml:space="preserve">Where to go</w:t>
            </w:r>
          </w:p>
        </w:tc>
      </w:tr>
      <w:tr>
        <w:tc>
          <w:tcPr/>
          <w:p>
            <w:pPr>
              <w:pStyle w:val="Compact"/>
              <w:jc w:val="left"/>
            </w:pPr>
            <w:r>
              <w:rPr>
                <w:b/>
                <w:bCs/>
              </w:rPr>
              <w:t xml:space="preserve">Friends</w:t>
            </w:r>
          </w:p>
        </w:tc>
        <w:tc>
          <w:tcPr/>
          <w:p>
            <w:pPr>
              <w:pStyle w:val="Compact"/>
              <w:jc w:val="left"/>
            </w:pPr>
            <w:r>
              <w:t xml:space="preserve">Someone you care about is struggling, and you’re absorbing it</w:t>
            </w:r>
          </w:p>
        </w:tc>
        <w:tc>
          <w:tcPr/>
          <w:p>
            <w:pPr>
              <w:pStyle w:val="Compact"/>
              <w:jc w:val="left"/>
            </w:pPr>
            <w:r>
              <w:t xml:space="preserve">📍 Prof. Support (Ch.7, §14.2) — learn to hold space without drowning</w:t>
            </w:r>
          </w:p>
        </w:tc>
      </w:tr>
      <w:tr>
        <w:tc>
          <w:tcPr/>
          <w:p>
            <w:pPr>
              <w:pStyle w:val="Compact"/>
              <w:jc w:val="left"/>
            </w:pPr>
            <w:r>
              <w:rPr>
                <w:b/>
                <w:bCs/>
              </w:rPr>
              <w:t xml:space="preserve">Yourself</w:t>
            </w:r>
          </w:p>
        </w:tc>
        <w:tc>
          <w:tcPr/>
          <w:p>
            <w:pPr>
              <w:pStyle w:val="Compact"/>
              <w:jc w:val="left"/>
            </w:pPr>
            <w:r>
              <w:t xml:space="preserve">Existential dread, self-doubt, the works</w:t>
            </w:r>
          </w:p>
        </w:tc>
        <w:tc>
          <w:tcPr/>
          <w:p>
            <w:pPr>
              <w:pStyle w:val="Compact"/>
              <w:jc w:val="left"/>
            </w:pPr>
            <w:r>
              <w:t xml:space="preserve">📍 Calm Guide (Ch.4) — start here, stabilize, then decide</w:t>
            </w:r>
          </w:p>
        </w:tc>
      </w:tr>
      <w:tr>
        <w:tc>
          <w:tcPr/>
          <w:p>
            <w:pPr>
              <w:pStyle w:val="Compact"/>
              <w:jc w:val="left"/>
            </w:pPr>
            <w:r>
              <w:rPr>
                <w:b/>
                <w:bCs/>
              </w:rPr>
              <w:t xml:space="preserve">The past</w:t>
            </w:r>
          </w:p>
        </w:tc>
        <w:tc>
          <w:tcPr/>
          <w:p>
            <w:pPr>
              <w:pStyle w:val="Compact"/>
              <w:jc w:val="left"/>
            </w:pPr>
            <w:r>
              <w:t xml:space="preserve">Replaying things you can’t change</w:t>
            </w:r>
          </w:p>
        </w:tc>
        <w:tc>
          <w:tcPr/>
          <w:p>
            <w:pPr>
              <w:pStyle w:val="Compact"/>
              <w:jc w:val="left"/>
            </w:pPr>
            <w:r>
              <w:t xml:space="preserve">📍 Calm Guide (Ch.4) — reframing exercises. The past is a sunk cost.</w:t>
            </w:r>
          </w:p>
        </w:tc>
      </w:tr>
      <w:tr>
        <w:tc>
          <w:tcPr/>
          <w:p>
            <w:pPr>
              <w:pStyle w:val="Compact"/>
              <w:jc w:val="left"/>
            </w:pPr>
            <w:r>
              <w:rPr>
                <w:b/>
                <w:bCs/>
              </w:rPr>
              <w:t xml:space="preserve">The future</w:t>
            </w:r>
          </w:p>
        </w:tc>
        <w:tc>
          <w:tcPr/>
          <w:p>
            <w:pPr>
              <w:pStyle w:val="Compact"/>
              <w:jc w:val="left"/>
            </w:pPr>
            <w:r>
              <w:t xml:space="preserve">All of it. Everything. The heat death of the universe.</w:t>
            </w:r>
          </w:p>
        </w:tc>
        <w:tc>
          <w:tcPr/>
          <w:p>
            <w:pPr>
              <w:pStyle w:val="Compact"/>
              <w:jc w:val="left"/>
            </w:pPr>
            <w:r>
              <w:t xml:space="preserve">📍 Calm Guide (Ch.4) + talk to host + curated study sources</w:t>
            </w:r>
          </w:p>
        </w:tc>
      </w:tr>
    </w:tbl>
    <w:bookmarkStart w:id="62" w:name="gad-7-severity-spectrum"/>
    <w:p>
      <w:pPr>
        <w:pStyle w:val="Heading3"/>
      </w:pPr>
      <w:r>
        <w:t xml:space="preserve">GAD-7 Severity Spectrum</w:t>
      </w:r>
    </w:p>
    <w:p>
      <w:pPr>
        <w:pStyle w:val="FirstParagraph"/>
      </w:pPr>
      <w:r>
        <w:t xml:space="preserve">If you want to quantify where you are (and sometimes seeing a number helps), the Generalized Anxiety Disorder 7-item scale (GAD-7) is a validated self-report instrument used clinically worldwide:</w:t>
      </w:r>
      <w:r>
        <w:rPr>
          <w:rStyle w:val="FootnoteReference"/>
        </w:rPr>
        <w:footnoteReference w:id="56"/>
      </w:r>
    </w:p>
    <w:p>
      <w:pPr>
        <w:pStyle w:val="BodyText"/>
      </w:pPr>
      <m:oMathPara>
        <m:oMathParaPr>
          <m:jc m:val="center"/>
        </m:oMathParaPr>
        <m:oMath>
          <m:r>
            <m:t>G</m:t>
          </m:r>
          <m:r>
            <m:t>A</m:t>
          </m:r>
          <m:r>
            <m:t>D</m:t>
          </m:r>
          <m:r>
            <m:rPr>
              <m:nor/>
              <m:sty m:val="p"/>
            </m:rPr>
            <m:t>-</m:t>
          </m:r>
          <m:r>
            <m:t>7</m:t>
          </m:r>
          <m:r>
            <m:rPr>
              <m:sty m:val="p"/>
            </m:rPr>
            <m:t>∈</m:t>
          </m:r>
          <m:d>
            <m:dPr>
              <m:begChr m:val="["/>
              <m:endChr m:val="]"/>
              <m:sepChr m:val=""/>
              <m:grow/>
            </m:dPr>
            <m:e>
              <m:r>
                <m:t>0</m:t>
              </m:r>
              <m:r>
                <m:rPr>
                  <m:sty m:val="p"/>
                </m:rPr>
                <m:t>,</m:t>
              </m:r>
              <m:r>
                <m:t>21</m:t>
              </m:r>
            </m:e>
          </m:d>
        </m:oMath>
      </m:oMathPara>
    </w:p>
    <w:tbl>
      <w:tblPr>
        <w:tblStyle w:val="Table"/>
        <w:tblW w:type="pct" w:w="5000"/>
        <w:jc w:val="left"/>
        <w:tblLayout w:type="fixed"/>
        <w:tblLook w:firstRow="1" w:lastRow="0" w:firstColumn="0" w:lastColumn="0" w:noHBand="0" w:noVBand="0" w:val="0020"/>
      </w:tblPr>
      <w:tblGrid>
        <w:gridCol w:w="1155"/>
        <w:gridCol w:w="1650"/>
        <w:gridCol w:w="5115"/>
      </w:tblGrid>
      <w:tr>
        <w:trPr>
          <w:tblHeader w:val="on"/>
        </w:trPr>
        <w:tc>
          <w:tcPr/>
          <w:p>
            <w:pPr>
              <w:pStyle w:val="Compact"/>
              <w:jc w:val="left"/>
            </w:pPr>
            <w:r>
              <w:t xml:space="preserve">Score</w:t>
            </w:r>
          </w:p>
        </w:tc>
        <w:tc>
          <w:tcPr/>
          <w:p>
            <w:pPr>
              <w:pStyle w:val="Compact"/>
              <w:jc w:val="left"/>
            </w:pPr>
            <w:r>
              <w:t xml:space="preserve">Severity</w:t>
            </w:r>
          </w:p>
        </w:tc>
        <w:tc>
          <w:tcPr/>
          <w:p>
            <w:pPr>
              <w:pStyle w:val="Compact"/>
              <w:jc w:val="left"/>
            </w:pPr>
            <w:r>
              <w:t xml:space="preserve">What it means for you right now</w:t>
            </w:r>
          </w:p>
        </w:tc>
      </w:tr>
      <w:tr>
        <w:tc>
          <w:tcPr/>
          <w:p>
            <w:pPr>
              <w:pStyle w:val="Compact"/>
              <w:jc w:val="left"/>
            </w:pPr>
            <w:r>
              <w:t xml:space="preserve">0–4</w:t>
            </w:r>
          </w:p>
        </w:tc>
        <w:tc>
          <w:tcPr/>
          <w:p>
            <w:pPr>
              <w:pStyle w:val="Compact"/>
              <w:jc w:val="left"/>
            </w:pPr>
            <w:r>
              <w:t xml:space="preserve">Minimal</w:t>
            </w:r>
          </w:p>
        </w:tc>
        <w:tc>
          <w:tcPr/>
          <w:p>
            <w:pPr>
              <w:pStyle w:val="Compact"/>
              <w:jc w:val="left"/>
            </w:pPr>
            <w:r>
              <w:t xml:space="preserve">You’re basically fine. The bathroom visit was precautionary.</w:t>
            </w:r>
          </w:p>
        </w:tc>
      </w:tr>
      <w:tr>
        <w:tc>
          <w:tcPr/>
          <w:p>
            <w:pPr>
              <w:pStyle w:val="Compact"/>
              <w:jc w:val="left"/>
            </w:pPr>
            <w:r>
              <w:t xml:space="preserve">5–9</w:t>
            </w:r>
          </w:p>
        </w:tc>
        <w:tc>
          <w:tcPr/>
          <w:p>
            <w:pPr>
              <w:pStyle w:val="Compact"/>
              <w:jc w:val="left"/>
            </w:pPr>
            <w:r>
              <w:t xml:space="preserve">Mild</w:t>
            </w:r>
          </w:p>
        </w:tc>
        <w:tc>
          <w:tcPr/>
          <w:p>
            <w:pPr>
              <w:pStyle w:val="Compact"/>
              <w:jc w:val="left"/>
            </w:pPr>
            <w:r>
              <w:t xml:space="preserve">Annoying but manageable. Calm Guide breathing will help. → 📍 Ch.4</w:t>
            </w:r>
          </w:p>
        </w:tc>
      </w:tr>
      <w:tr>
        <w:tc>
          <w:tcPr/>
          <w:p>
            <w:pPr>
              <w:pStyle w:val="Compact"/>
              <w:jc w:val="left"/>
            </w:pPr>
            <w:r>
              <w:t xml:space="preserve">10–14</w:t>
            </w:r>
          </w:p>
        </w:tc>
        <w:tc>
          <w:tcPr/>
          <w:p>
            <w:pPr>
              <w:pStyle w:val="Compact"/>
              <w:jc w:val="left"/>
            </w:pPr>
            <w:r>
              <w:t xml:space="preserve">Moderate</w:t>
            </w:r>
          </w:p>
        </w:tc>
        <w:tc>
          <w:tcPr/>
          <w:p>
            <w:pPr>
              <w:pStyle w:val="Compact"/>
              <w:jc w:val="left"/>
            </w:pPr>
            <w:r>
              <w:t xml:space="preserve">This is significant. Breathing first, then professional support. → 📍 Ch.4 + 📍 Ch.7</w:t>
            </w:r>
          </w:p>
        </w:tc>
      </w:tr>
      <w:tr>
        <w:tc>
          <w:tcPr/>
          <w:p>
            <w:pPr>
              <w:pStyle w:val="Compact"/>
              <w:jc w:val="left"/>
            </w:pPr>
            <w:r>
              <w:t xml:space="preserve">15–21</w:t>
            </w:r>
          </w:p>
        </w:tc>
        <w:tc>
          <w:tcPr/>
          <w:p>
            <w:pPr>
              <w:pStyle w:val="Compact"/>
              <w:jc w:val="left"/>
            </w:pPr>
            <w:r>
              <w:t xml:space="preserve">Severe</w:t>
            </w:r>
          </w:p>
        </w:tc>
        <w:tc>
          <w:tcPr/>
          <w:p>
            <w:pPr>
              <w:pStyle w:val="Compact"/>
              <w:jc w:val="left"/>
            </w:pPr>
            <w:r>
              <w:t xml:space="preserve">You need more than this guide can provide. → 📍 Professional Support (Ch.7) immediately</w:t>
            </w:r>
          </w:p>
        </w:tc>
      </w:tr>
    </w:tbl>
    <w:p>
      <w:pPr>
        <w:pStyle w:val="BodyText"/>
      </w:pPr>
      <w:r>
        <w:t xml:space="preserve">You don’t need a clinical diagnosis to use this scale — it’s a self-assessment tool. A score ≥ 10 has a sensitivity of 89% and specificity of 82% for detecting generalized anxiety disorder.</w:t>
      </w:r>
      <w:r>
        <w:rPr>
          <w:rStyle w:val="FootnoteReference"/>
        </w:rPr>
        <w:footnoteReference w:id="57"/>
      </w:r>
      <w:r>
        <w:t xml:space="preserve"> </w:t>
      </w:r>
      <w:r>
        <w:t xml:space="preserve">That said, a bathroom guide is not a clinician. Use the number to inform your next step, not to self-diagnose.</w:t>
      </w:r>
    </w:p>
    <w:p>
      <w:pPr>
        <w:pStyle w:val="CaptionedFigure"/>
      </w:pPr>
      <w:r>
        <w:drawing>
          <wp:inline>
            <wp:extent cx="5334000" cy="2208557"/>
            <wp:effectExtent b="0" l="0" r="0" t="0"/>
            <wp:docPr descr="Anxiety Severity Spectrum — GAD-7 scoring with recommended routing" title="" id="59" name="Picture"/>
            <a:graphic>
              <a:graphicData uri="http://schemas.openxmlformats.org/drawingml/2006/picture">
                <pic:pic>
                  <pic:nvPicPr>
                    <pic:cNvPr descr="../diagrams/anxiety_severity_spectrum.png" id="60" name="Picture"/>
                    <pic:cNvPicPr>
                      <a:picLocks noChangeArrowheads="1" noChangeAspect="1"/>
                    </pic:cNvPicPr>
                  </pic:nvPicPr>
                  <pic:blipFill>
                    <a:blip r:embed="rId58"/>
                    <a:stretch>
                      <a:fillRect/>
                    </a:stretch>
                  </pic:blipFill>
                  <pic:spPr bwMode="auto">
                    <a:xfrm>
                      <a:off x="0" y="0"/>
                      <a:ext cx="5334000" cy="2208557"/>
                    </a:xfrm>
                    <a:prstGeom prst="rect">
                      <a:avLst/>
                    </a:prstGeom>
                    <a:noFill/>
                    <a:ln w="9525">
                      <a:noFill/>
                      <a:headEnd/>
                      <a:tailEnd/>
                    </a:ln>
                  </pic:spPr>
                </pic:pic>
              </a:graphicData>
            </a:graphic>
          </wp:inline>
        </w:drawing>
      </w:r>
    </w:p>
    <w:p>
      <w:pPr>
        <w:pStyle w:val="ImageCaption"/>
      </w:pPr>
      <w:r>
        <w:t xml:space="preserve">Anxiety Severity Spectrum — GAD-7 scoring with recommended routing</w:t>
      </w:r>
    </w:p>
    <w:p>
      <w:pPr>
        <w:pStyle w:val="BodyText"/>
      </w:pPr>
      <w:r>
        <w:rPr>
          <w:b/>
          <w:bCs/>
        </w:rPr>
        <w:t xml:space="preserve">Step 3. Optional: Name it to tame it.</w:t>
      </w:r>
    </w:p>
    <w:p>
      <w:pPr>
        <w:pStyle w:val="BodyText"/>
      </w:pPr>
      <w:r>
        <w:t xml:space="preserve">There’s genuine psychological research behind this: verbally labeling an emotion reduces its intensity through a process called</w:t>
      </w:r>
      <w:r>
        <w:t xml:space="preserve"> </w:t>
      </w:r>
      <w:r>
        <w:t xml:space="preserve">“</w:t>
      </w:r>
      <w:r>
        <w:t xml:space="preserve">affect labeling,</w:t>
      </w:r>
      <w:r>
        <w:t xml:space="preserve">”</w:t>
      </w:r>
      <w:r>
        <w:t xml:space="preserve"> </w:t>
      </w:r>
      <w:r>
        <w:t xml:space="preserve">which engages the right ventrolateral prefrontal cortex and dampens amygdala activation.</w:t>
      </w:r>
      <w:r>
        <w:rPr>
          <w:rStyle w:val="FootnoteReference"/>
        </w:rPr>
        <w:footnoteReference w:id="61"/>
      </w:r>
      <w:r>
        <w:t xml:space="preserve"> </w:t>
      </w:r>
      <w:r>
        <w:t xml:space="preserve">So say it out loud. You’re in a bathroom. No one’s listening.</w:t>
      </w:r>
      <w:r>
        <w:t xml:space="preserve"> </w:t>
      </w:r>
      <w:r>
        <w:t xml:space="preserve">“</w:t>
      </w:r>
      <w:r>
        <w:t xml:space="preserve">I am anxious because [___________].</w:t>
      </w:r>
      <w:r>
        <w:t xml:space="preserve">”</w:t>
      </w:r>
      <w:r>
        <w:t xml:space="preserve"> </w:t>
      </w:r>
      <w:r>
        <w:t xml:space="preserve">There. Slightly smaller now, wasn’t it?</w:t>
      </w:r>
    </w:p>
    <w:p>
      <w:r>
        <w:pict>
          <v:rect style="width:0;height:1.5pt" o:hralign="center" o:hrstd="t" o:hr="t"/>
        </w:pict>
      </w:r>
    </w:p>
    <w:bookmarkEnd w:id="62"/>
    <w:bookmarkEnd w:id="63"/>
    <w:bookmarkStart w:id="69" w:name="situation-c-i-feel-pain"/>
    <w:p>
      <w:pPr>
        <w:pStyle w:val="Heading1"/>
      </w:pPr>
      <w:r>
        <w:t xml:space="preserve">Situation C —</w:t>
      </w:r>
      <w:r>
        <w:t xml:space="preserve"> </w:t>
      </w:r>
      <w:r>
        <w:t xml:space="preserve">“</w:t>
      </w:r>
      <w:r>
        <w:t xml:space="preserve">I Feel Pain</w:t>
      </w:r>
      <w:r>
        <w:t xml:space="preserve">”</w:t>
      </w:r>
    </w:p>
    <w:p>
      <w:pPr>
        <w:pStyle w:val="FirstParagraph"/>
      </w:pPr>
      <w:r>
        <w:t xml:space="preserve">The body (and mind) have a straightforward communication style: pain =</w:t>
      </w:r>
      <w:r>
        <w:t xml:space="preserve"> </w:t>
      </w:r>
      <w:r>
        <w:t xml:space="preserve">“</w:t>
      </w:r>
      <w:r>
        <w:t xml:space="preserve">something needs attention.</w:t>
      </w:r>
      <w:r>
        <w:t xml:space="preserve">”</w:t>
      </w:r>
      <w:r>
        <w:t xml:space="preserve"> </w:t>
      </w:r>
      <w:r>
        <w:t xml:space="preserve">Let’s figure out what kind of attention.</w:t>
      </w:r>
    </w:p>
    <w:p>
      <w:pPr>
        <w:pStyle w:val="SourceCode"/>
      </w:pPr>
      <w:r>
        <w:rPr>
          <w:rStyle w:val="VerbatimChar"/>
        </w:rPr>
        <w:t xml:space="preserve">◆ Physical or Psychological?</w:t>
      </w:r>
      <w:r>
        <w:br/>
      </w:r>
      <w:r>
        <w:br/>
      </w:r>
      <w:r>
        <w:rPr>
          <w:rStyle w:val="VerbatimChar"/>
        </w:rPr>
        <w:t xml:space="preserve">    ├─ Physical ──→ 📍 Self Ambulance Guide (Ch.5)</w:t>
      </w:r>
      <w:r>
        <w:br/>
      </w:r>
      <w:r>
        <w:rPr>
          <w:rStyle w:val="VerbatimChar"/>
        </w:rPr>
        <w:t xml:space="preserve">    │                 Assess severity. If life-threatening: 112 first,</w:t>
      </w:r>
      <w:r>
        <w:br/>
      </w:r>
      <w:r>
        <w:rPr>
          <w:rStyle w:val="VerbatimChar"/>
        </w:rPr>
        <w:t xml:space="preserve">    │                 guide second. Otherwise, follow Ch.5.</w:t>
      </w:r>
      <w:r>
        <w:br/>
      </w:r>
      <w:r>
        <w:rPr>
          <w:rStyle w:val="VerbatimChar"/>
        </w:rPr>
        <w:t xml:space="preserve">    │</w:t>
      </w:r>
      <w:r>
        <w:br/>
      </w:r>
      <w:r>
        <w:rPr>
          <w:rStyle w:val="VerbatimChar"/>
        </w:rPr>
        <w:t xml:space="preserve">    └─ Psychological ──→ 📍 Calm Guide (Ch.4)</w:t>
      </w:r>
      <w:r>
        <w:br/>
      </w:r>
      <w:r>
        <w:rPr>
          <w:rStyle w:val="VerbatimChar"/>
        </w:rPr>
        <w:t xml:space="preserve">                         Psychological pain is real pain. It just</w:t>
      </w:r>
      <w:r>
        <w:br/>
      </w:r>
      <w:r>
        <w:rPr>
          <w:rStyle w:val="VerbatimChar"/>
        </w:rPr>
        <w:t xml:space="preserve">                         responds to different first aid. Start with</w:t>
      </w:r>
      <w:r>
        <w:br/>
      </w:r>
      <w:r>
        <w:rPr>
          <w:rStyle w:val="VerbatimChar"/>
        </w:rPr>
        <w:t xml:space="preserve">                         the breathing, then assess whether you need</w:t>
      </w:r>
      <w:r>
        <w:br/>
      </w:r>
      <w:r>
        <w:rPr>
          <w:rStyle w:val="VerbatimChar"/>
        </w:rPr>
        <w:t xml:space="preserve">                         → 📍 Professional Support Directory (Ch.7)</w:t>
      </w:r>
    </w:p>
    <w:bookmarkStart w:id="68" w:name="X0a991226c38dbdd740247184ce1062dcb4d1c6d"/>
    <w:p>
      <w:pPr>
        <w:pStyle w:val="Heading3"/>
      </w:pPr>
      <w:r>
        <w:t xml:space="preserve">NRS Pain Scale with Physiological Correlates</w:t>
      </w:r>
    </w:p>
    <w:p>
      <w:pPr>
        <w:pStyle w:val="FirstParagraph"/>
      </w:pPr>
      <w:r>
        <w:t xml:space="preserve">The Numeric Rating Scale (NRS) is the most widely used pain assessment tool in clinical settings. It maps your subjective experience to a number, which then determines urgency:</w:t>
      </w:r>
      <w:r>
        <w:rPr>
          <w:rStyle w:val="FootnoteReference"/>
        </w:rPr>
        <w:footnoteReference w:id="64"/>
      </w:r>
    </w:p>
    <w:p>
      <w:pPr>
        <w:pStyle w:val="BodyText"/>
      </w:pPr>
      <m:oMathPara>
        <m:oMathParaPr>
          <m:jc m:val="center"/>
        </m:oMathParaPr>
        <m:oMath>
          <m:r>
            <m:t>N</m:t>
          </m:r>
          <m:r>
            <m:t>R</m:t>
          </m:r>
          <m:r>
            <m:t>S</m:t>
          </m:r>
          <m:r>
            <m:rPr>
              <m:sty m:val="p"/>
            </m:rPr>
            <m:t>∈</m:t>
          </m:r>
          <m:d>
            <m:dPr>
              <m:begChr m:val="["/>
              <m:endChr m:val="]"/>
              <m:sepChr m:val=""/>
              <m:grow/>
            </m:dPr>
            <m:e>
              <m:r>
                <m:t>0</m:t>
              </m:r>
              <m:r>
                <m:rPr>
                  <m:sty m:val="p"/>
                </m:rPr>
                <m:t>,</m:t>
              </m:r>
              <m:r>
                <m:t>10</m:t>
              </m:r>
            </m:e>
          </m:d>
        </m:oMath>
      </m:oMathPara>
    </w:p>
    <w:tbl>
      <w:tblPr>
        <w:tblStyle w:val="Table"/>
        <w:tblW w:type="pct" w:w="5000"/>
        <w:jc w:val="left"/>
        <w:tblLayout w:type="fixed"/>
        <w:tblLook w:firstRow="1" w:lastRow="0" w:firstColumn="0" w:lastColumn="0" w:noHBand="0" w:noVBand="0" w:val="0020"/>
      </w:tblPr>
      <w:tblGrid>
        <w:gridCol w:w="825"/>
        <w:gridCol w:w="1650"/>
        <w:gridCol w:w="4125"/>
        <w:gridCol w:w="1320"/>
      </w:tblGrid>
      <w:tr>
        <w:trPr>
          <w:tblHeader w:val="on"/>
        </w:trPr>
        <w:tc>
          <w:tcPr/>
          <w:p>
            <w:pPr>
              <w:pStyle w:val="Compact"/>
              <w:jc w:val="left"/>
            </w:pPr>
            <w:r>
              <w:t xml:space="preserve">NRS</w:t>
            </w:r>
          </w:p>
        </w:tc>
        <w:tc>
          <w:tcPr/>
          <w:p>
            <w:pPr>
              <w:pStyle w:val="Compact"/>
              <w:jc w:val="left"/>
            </w:pPr>
            <w:r>
              <w:t xml:space="preserve">Severity</w:t>
            </w:r>
          </w:p>
        </w:tc>
        <w:tc>
          <w:tcPr/>
          <w:p>
            <w:pPr>
              <w:pStyle w:val="Compact"/>
              <w:jc w:val="left"/>
            </w:pPr>
            <w:r>
              <w:t xml:space="preserve">Physiological correlates</w:t>
            </w:r>
          </w:p>
        </w:tc>
        <w:tc>
          <w:tcPr/>
          <w:p>
            <w:pPr>
              <w:pStyle w:val="Compact"/>
              <w:jc w:val="left"/>
            </w:pPr>
            <w:r>
              <w:t xml:space="preserve">Action</w:t>
            </w:r>
          </w:p>
        </w:tc>
      </w:tr>
      <w:tr>
        <w:tc>
          <w:tcPr/>
          <w:p>
            <w:pPr>
              <w:pStyle w:val="Compact"/>
              <w:jc w:val="left"/>
            </w:pPr>
            <w:r>
              <w:t xml:space="preserve">0</w:t>
            </w:r>
          </w:p>
        </w:tc>
        <w:tc>
          <w:tcPr/>
          <w:p>
            <w:pPr>
              <w:pStyle w:val="Compact"/>
              <w:jc w:val="left"/>
            </w:pPr>
            <w:r>
              <w:t xml:space="preserve">No pain</w:t>
            </w:r>
          </w:p>
        </w:tc>
        <w:tc>
          <w:tcPr/>
          <w:p>
            <w:pPr>
              <w:pStyle w:val="Compact"/>
              <w:jc w:val="left"/>
            </w:pPr>
            <w:r>
              <w:t xml:space="preserve">Baseline HR, normal RR</w:t>
            </w:r>
          </w:p>
        </w:tc>
        <w:tc>
          <w:tcPr/>
          <w:p>
            <w:pPr>
              <w:pStyle w:val="Compact"/>
              <w:jc w:val="left"/>
            </w:pPr>
            <w:r>
              <w:t xml:space="preserve">You’re fine. Why are you reading this section?</w:t>
            </w:r>
          </w:p>
        </w:tc>
      </w:tr>
      <w:tr>
        <w:tc>
          <w:tcPr/>
          <w:p>
            <w:pPr>
              <w:pStyle w:val="Compact"/>
              <w:jc w:val="left"/>
            </w:pPr>
            <w:r>
              <w:t xml:space="preserve">1–3</w:t>
            </w:r>
          </w:p>
        </w:tc>
        <w:tc>
          <w:tcPr/>
          <w:p>
            <w:pPr>
              <w:pStyle w:val="Compact"/>
              <w:jc w:val="left"/>
            </w:pPr>
            <w:r>
              <w:t xml:space="preserve">Mild</w:t>
            </w:r>
          </w:p>
        </w:tc>
        <w:tc>
          <w:tcPr/>
          <w:p>
            <w:pPr>
              <w:pStyle w:val="Compact"/>
              <w:jc w:val="left"/>
            </w:pPr>
            <w:r>
              <w:t xml:space="preserve">Slight HR elevation (</w:t>
            </w:r>
            <m:oMath>
              <m:r>
                <m:t>Δ</m:t>
              </m:r>
              <m:r>
                <m:t>H</m:t>
              </m:r>
              <m:r>
                <m:t>R</m:t>
              </m:r>
              <m:r>
                <m:rPr>
                  <m:sty m:val="p"/>
                </m:rPr>
                <m:t>&lt;</m:t>
              </m:r>
              <m:r>
                <m:t>10</m:t>
              </m:r>
            </m:oMath>
            <w:r>
              <w:t xml:space="preserve"> </w:t>
            </w:r>
            <w:r>
              <w:t xml:space="preserve">bpm), normal RR</w:t>
            </w:r>
          </w:p>
        </w:tc>
        <w:tc>
          <w:tcPr/>
          <w:p>
            <w:pPr>
              <w:pStyle w:val="Compact"/>
              <w:jc w:val="left"/>
            </w:pPr>
            <w:r>
              <w:t xml:space="preserve">Self-care, OTC pain relief if appropriate</w:t>
            </w:r>
          </w:p>
        </w:tc>
      </w:tr>
      <w:tr>
        <w:tc>
          <w:tcPr/>
          <w:p>
            <w:pPr>
              <w:pStyle w:val="Compact"/>
              <w:jc w:val="left"/>
            </w:pPr>
            <w:r>
              <w:t xml:space="preserve">4–6</w:t>
            </w:r>
          </w:p>
        </w:tc>
        <w:tc>
          <w:tcPr/>
          <w:p>
            <w:pPr>
              <w:pStyle w:val="Compact"/>
              <w:jc w:val="left"/>
            </w:pPr>
            <w:r>
              <w:t xml:space="preserve">Moderate</w:t>
            </w:r>
          </w:p>
        </w:tc>
        <w:tc>
          <w:tcPr/>
          <w:p>
            <w:pPr>
              <w:pStyle w:val="Compact"/>
              <w:jc w:val="left"/>
            </w:pPr>
            <w:r>
              <w:t xml:space="preserve">Noticeable HR elevation (</w:t>
            </w:r>
            <m:oMath>
              <m:r>
                <m:t>Δ</m:t>
              </m:r>
              <m:r>
                <m:t>H</m:t>
              </m:r>
              <m:r>
                <m:t>R</m:t>
              </m:r>
              <m:r>
                <m:t>10</m:t>
              </m:r>
              <m:r>
                <m:rPr>
                  <m:sty m:val="p"/>
                </m:rPr>
                <m:t>–</m:t>
              </m:r>
              <m:r>
                <m:t>20</m:t>
              </m:r>
            </m:oMath>
            <w:r>
              <w:t xml:space="preserve"> </w:t>
            </w:r>
            <w:r>
              <w:t xml:space="preserve">bpm), RR 16–22/min</w:t>
            </w:r>
          </w:p>
        </w:tc>
        <w:tc>
          <w:tcPr/>
          <w:p>
            <w:pPr>
              <w:pStyle w:val="Compact"/>
              <w:jc w:val="left"/>
            </w:pPr>
            <w:r>
              <w:t xml:space="preserve">Assess cause. 📍 Self Ambulance (Ch.5). Consider professional help.</w:t>
            </w:r>
          </w:p>
        </w:tc>
      </w:tr>
      <w:tr>
        <w:tc>
          <w:tcPr/>
          <w:p>
            <w:pPr>
              <w:pStyle w:val="Compact"/>
              <w:jc w:val="left"/>
            </w:pPr>
            <w:r>
              <w:t xml:space="preserve">7–9</w:t>
            </w:r>
          </w:p>
        </w:tc>
        <w:tc>
          <w:tcPr/>
          <w:p>
            <w:pPr>
              <w:pStyle w:val="Compact"/>
              <w:jc w:val="left"/>
            </w:pPr>
            <w:r>
              <w:t xml:space="preserve">Severe</w:t>
            </w:r>
          </w:p>
        </w:tc>
        <w:tc>
          <w:tcPr/>
          <w:p>
            <w:pPr>
              <w:pStyle w:val="Compact"/>
              <w:jc w:val="left"/>
            </w:pPr>
            <w:r>
              <w:t xml:space="preserve">Significant tachycardia (</w:t>
            </w:r>
            <m:oMath>
              <m:r>
                <m:t>H</m:t>
              </m:r>
              <m:r>
                <m:t>R</m:t>
              </m:r>
              <m:r>
                <m:rPr>
                  <m:sty m:val="p"/>
                </m:rPr>
                <m:t>&gt;</m:t>
              </m:r>
              <m:r>
                <m:t>100</m:t>
              </m:r>
            </m:oMath>
            <w:r>
              <w:t xml:space="preserve"> </w:t>
            </w:r>
            <w:r>
              <w:t xml:space="preserve">bpm), RR 22–30/min, diaphoresis</w:t>
            </w:r>
          </w:p>
        </w:tc>
        <w:tc>
          <w:tcPr/>
          <w:p>
            <w:pPr>
              <w:pStyle w:val="Compact"/>
              <w:jc w:val="left"/>
            </w:pPr>
            <w:r>
              <w:t xml:space="preserve">📍 Self Ambulance (Ch.5) immediately. Call 112 if acute onset.</w:t>
            </w:r>
          </w:p>
        </w:tc>
      </w:tr>
      <w:tr>
        <w:tc>
          <w:tcPr/>
          <w:p>
            <w:pPr>
              <w:pStyle w:val="Compact"/>
              <w:jc w:val="left"/>
            </w:pPr>
            <w:r>
              <w:t xml:space="preserve">10</w:t>
            </w:r>
          </w:p>
        </w:tc>
        <w:tc>
          <w:tcPr/>
          <w:p>
            <w:pPr>
              <w:pStyle w:val="Compact"/>
              <w:jc w:val="left"/>
            </w:pPr>
            <w:r>
              <w:t xml:space="preserve">Worst imaginable</w:t>
            </w:r>
          </w:p>
        </w:tc>
        <w:tc>
          <w:tcPr/>
          <w:p>
            <w:pPr>
              <w:pStyle w:val="Compact"/>
              <w:jc w:val="left"/>
            </w:pPr>
            <w:r>
              <w:t xml:space="preserve">Sympathetic storm:</w:t>
            </w:r>
            <w:r>
              <w:t xml:space="preserve"> </w:t>
            </w:r>
            <m:oMath>
              <m:r>
                <m:t>H</m:t>
              </m:r>
              <m:r>
                <m:t>R</m:t>
              </m:r>
              <m:r>
                <m:rPr>
                  <m:sty m:val="p"/>
                </m:rPr>
                <m:t>&gt;</m:t>
              </m:r>
              <m:r>
                <m:t>120</m:t>
              </m:r>
            </m:oMath>
            <w:r>
              <w:t xml:space="preserve">,</w:t>
            </w:r>
            <w:r>
              <w:t xml:space="preserve"> </w:t>
            </w:r>
            <m:oMath>
              <m:r>
                <m:t>R</m:t>
              </m:r>
              <m:r>
                <m:t>R</m:t>
              </m:r>
              <m:r>
                <m:rPr>
                  <m:sty m:val="p"/>
                </m:rPr>
                <m:t>&gt;</m:t>
              </m:r>
              <m:r>
                <m:t>30</m:t>
              </m:r>
            </m:oMath>
            <w:r>
              <w:t xml:space="preserve">, possible shock signs</w:t>
            </w:r>
          </w:p>
        </w:tc>
        <w:tc>
          <w:tcPr/>
          <w:p>
            <w:pPr>
              <w:pStyle w:val="Compact"/>
              <w:jc w:val="left"/>
            </w:pPr>
            <w:r>
              <w:rPr>
                <w:b/>
                <w:bCs/>
              </w:rPr>
              <w:t xml:space="preserve">Call 112. Now.</w:t>
            </w:r>
          </w:p>
        </w:tc>
      </w:tr>
    </w:tbl>
    <w:p>
      <w:pPr>
        <w:pStyle w:val="BodyText"/>
      </w:pPr>
      <w:r>
        <w:t xml:space="preserve">The NRS isn’t perfectly objective — pain is subjective by definition — but it correlates reliably with physiological markers at the moderate-to-severe end. At the mild end, your body is telling you something but isn’t in crisis. At the severe end, your autonomic nervous system is in open revolt. Listen to it.</w:t>
      </w:r>
    </w:p>
    <w:p>
      <w:pPr>
        <w:pStyle w:val="CaptionedFigure"/>
      </w:pPr>
      <w:r>
        <w:drawing>
          <wp:inline>
            <wp:extent cx="5334000" cy="2656961"/>
            <wp:effectExtent b="0" l="0" r="0" t="0"/>
            <wp:docPr descr="Pain NRS Correlates — pain scale with physiological markers" title="" id="66" name="Picture"/>
            <a:graphic>
              <a:graphicData uri="http://schemas.openxmlformats.org/drawingml/2006/picture">
                <pic:pic>
                  <pic:nvPicPr>
                    <pic:cNvPr descr="../diagrams/pain_nrs_correlates.png" id="67" name="Picture"/>
                    <pic:cNvPicPr>
                      <a:picLocks noChangeArrowheads="1" noChangeAspect="1"/>
                    </pic:cNvPicPr>
                  </pic:nvPicPr>
                  <pic:blipFill>
                    <a:blip r:embed="rId65"/>
                    <a:stretch>
                      <a:fillRect/>
                    </a:stretch>
                  </pic:blipFill>
                  <pic:spPr bwMode="auto">
                    <a:xfrm>
                      <a:off x="0" y="0"/>
                      <a:ext cx="5334000" cy="2656961"/>
                    </a:xfrm>
                    <a:prstGeom prst="rect">
                      <a:avLst/>
                    </a:prstGeom>
                    <a:noFill/>
                    <a:ln w="9525">
                      <a:noFill/>
                      <a:headEnd/>
                      <a:tailEnd/>
                    </a:ln>
                  </pic:spPr>
                </pic:pic>
              </a:graphicData>
            </a:graphic>
          </wp:inline>
        </w:drawing>
      </w:r>
    </w:p>
    <w:p>
      <w:pPr>
        <w:pStyle w:val="ImageCaption"/>
      </w:pPr>
      <w:r>
        <w:t xml:space="preserve">Pain NRS Correlates — pain scale with physiological markers</w:t>
      </w:r>
    </w:p>
    <w:p>
      <w:pPr>
        <w:pStyle w:val="BodyText"/>
      </w:pPr>
      <w:r>
        <w:rPr>
          <w:b/>
          <w:bCs/>
        </w:rPr>
        <w:t xml:space="preserve">The overlap zone.</w:t>
      </w:r>
      <w:r>
        <w:t xml:space="preserve"> </w:t>
      </w:r>
      <w:r>
        <w:t xml:space="preserve">Physical and psychological pain frequently co-occur (headaches from tension, nausea from anxiety, chest tightness that’s muscular</w:t>
      </w:r>
      <w:r>
        <w:t xml:space="preserve"> </w:t>
      </w:r>
      <w:r>
        <w:rPr>
          <w:i/>
          <w:iCs/>
        </w:rPr>
        <w:t xml:space="preserve">or</w:t>
      </w:r>
      <w:r>
        <w:t xml:space="preserve"> </w:t>
      </w:r>
      <w:r>
        <w:t xml:space="preserve">cardiac — when in doubt, treat it as physical first and get checked out). The Self Ambulance Guide covers this in its triage section.</w:t>
      </w:r>
    </w:p>
    <w:p>
      <w:pPr>
        <w:pStyle w:val="BlockText"/>
      </w:pPr>
      <w:r>
        <w:rPr>
          <w:b/>
          <w:bCs/>
        </w:rPr>
        <w:t xml:space="preserve">⚠ Important:</w:t>
      </w:r>
      <w:r>
        <w:t xml:space="preserve"> </w:t>
      </w:r>
      <w:r>
        <w:t xml:space="preserve">If pain is severe, sudden, or in the chest/jaw/left arm region, do not pass Go, do not consult flowcharts —</w:t>
      </w:r>
      <w:r>
        <w:t xml:space="preserve"> </w:t>
      </w:r>
      <w:r>
        <w:rPr>
          <w:b/>
          <w:bCs/>
        </w:rPr>
        <w:t xml:space="preserve">call 112</w:t>
      </w:r>
      <w:r>
        <w:t xml:space="preserve">.</w:t>
      </w:r>
    </w:p>
    <w:p>
      <w:r>
        <w:pict>
          <v:rect style="width:0;height:1.5pt" o:hralign="center" o:hrstd="t" o:hr="t"/>
        </w:pict>
      </w:r>
    </w:p>
    <w:bookmarkEnd w:id="68"/>
    <w:bookmarkEnd w:id="69"/>
    <w:bookmarkStart w:id="74" w:name="situation-d-i-feel-endangered"/>
    <w:p>
      <w:pPr>
        <w:pStyle w:val="Heading1"/>
      </w:pPr>
      <w:r>
        <w:t xml:space="preserve">Situation D —</w:t>
      </w:r>
      <w:r>
        <w:t xml:space="preserve"> </w:t>
      </w:r>
      <w:r>
        <w:t xml:space="preserve">“</w:t>
      </w:r>
      <w:r>
        <w:t xml:space="preserve">I Feel Endangered</w:t>
      </w:r>
      <w:r>
        <w:t xml:space="preserve">”</w:t>
      </w:r>
    </w:p>
    <w:p>
      <w:pPr>
        <w:pStyle w:val="FirstParagraph"/>
      </w:pPr>
      <w:r>
        <w:t xml:space="preserve">Something or someone is threatening your safety. This is the section where we get practical fast.</w:t>
      </w:r>
    </w:p>
    <w:p>
      <w:pPr>
        <w:pStyle w:val="BodyText"/>
      </w:pPr>
      <w:r>
        <w:rPr>
          <w:b/>
          <w:bCs/>
        </w:rPr>
        <w:t xml:space="preserve">Step 1. Immediate assessment.</w:t>
      </w:r>
    </w:p>
    <w:p>
      <w:pPr>
        <w:pStyle w:val="SourceCode"/>
      </w:pPr>
      <w:r>
        <w:rPr>
          <w:rStyle w:val="VerbatimChar"/>
        </w:rPr>
        <w:t xml:space="preserve">◆ Are you in immediate physical danger right now?</w:t>
      </w:r>
      <w:r>
        <w:br/>
      </w:r>
      <w:r>
        <w:br/>
      </w:r>
      <w:r>
        <w:rPr>
          <w:rStyle w:val="VerbatimChar"/>
        </w:rPr>
        <w:t xml:space="preserve">    ├─ Yes → Exit strategy first. Then:</w:t>
      </w:r>
      <w:r>
        <w:br/>
      </w:r>
      <w:r>
        <w:rPr>
          <w:rStyle w:val="VerbatimChar"/>
        </w:rPr>
        <w:t xml:space="preserve">    │        Call 110 (police) or 112 (emergency services).</w:t>
      </w:r>
      <w:r>
        <w:br/>
      </w:r>
      <w:r>
        <w:rPr>
          <w:rStyle w:val="VerbatimChar"/>
        </w:rPr>
        <w:t xml:space="preserve">    │        Do not stay in the bathroom if it's not safe.</w:t>
      </w:r>
      <w:r>
        <w:br/>
      </w:r>
      <w:r>
        <w:rPr>
          <w:rStyle w:val="VerbatimChar"/>
        </w:rPr>
        <w:t xml:space="preserve">    │        The bathroom has one door — that's a chokepoint.</w:t>
      </w:r>
      <w:r>
        <w:br/>
      </w:r>
      <w:r>
        <w:rPr>
          <w:rStyle w:val="VerbatimChar"/>
        </w:rPr>
        <w:t xml:space="preserve">    │        Consider whether leaving is safer than staying.</w:t>
      </w:r>
      <w:r>
        <w:br/>
      </w:r>
      <w:r>
        <w:rPr>
          <w:rStyle w:val="VerbatimChar"/>
        </w:rPr>
        <w:t xml:space="preserve">    │</w:t>
      </w:r>
      <w:r>
        <w:br/>
      </w:r>
      <w:r>
        <w:rPr>
          <w:rStyle w:val="VerbatimChar"/>
        </w:rPr>
        <w:t xml:space="preserve">    └─ No (or not right this second) → Continue below.</w:t>
      </w:r>
    </w:p>
    <w:bookmarkStart w:id="73" w:name="Xbb5be13f0a1c5aa1b6f532eac979847ac5250c1"/>
    <w:p>
      <w:pPr>
        <w:pStyle w:val="Heading3"/>
      </w:pPr>
      <w:r>
        <w:t xml:space="preserve">The Stress Response: What Your Body Is Doing</w:t>
      </w:r>
    </w:p>
    <w:p>
      <w:pPr>
        <w:pStyle w:val="FirstParagraph"/>
      </w:pPr>
      <w:r>
        <w:t xml:space="preserve">When you feel endangered, your sympathetic nervous system activates the fight-or-flight response. This isn’t a malfunction — it’s an ancient survival system. Understanding it helps you ride the wave instead of drowning in it:</w:t>
      </w:r>
    </w:p>
    <w:p>
      <w:pPr>
        <w:pStyle w:val="BodyText"/>
      </w:pPr>
      <m:oMathPara>
        <m:oMathParaPr>
          <m:jc m:val="center"/>
        </m:oMathParaPr>
        <m:oMath>
          <m:r>
            <m:t>S</m:t>
          </m:r>
          <m:d>
            <m:dPr>
              <m:begChr m:val="("/>
              <m:endChr m:val=")"/>
              <m:sepChr m:val=""/>
              <m:grow/>
            </m:dPr>
            <m:e>
              <m:r>
                <m:t>t</m:t>
              </m:r>
            </m:e>
          </m:d>
          <m:r>
            <m:rPr>
              <m:sty m:val="p"/>
            </m:rPr>
            <m:t>=</m:t>
          </m:r>
          <m:sSub>
            <m:e>
              <m:r>
                <m:t>S</m:t>
              </m:r>
            </m:e>
            <m:sub>
              <m:r>
                <m:t>0</m:t>
              </m:r>
            </m:sub>
          </m:sSub>
          <m:r>
            <m:rPr>
              <m:sty m:val="p"/>
            </m:rPr>
            <m:t>+</m:t>
          </m:r>
          <m:r>
            <m:t>A</m:t>
          </m:r>
          <m:r>
            <m:rPr>
              <m:sty m:val="p"/>
            </m:rPr>
            <m:t>⋅</m:t>
          </m:r>
          <m:d>
            <m:dPr>
              <m:begChr m:val="("/>
              <m:endChr m:val=")"/>
              <m:sepChr m:val=""/>
              <m:grow/>
            </m:dPr>
            <m:e>
              <m:r>
                <m:t>1</m:t>
              </m:r>
              <m:r>
                <m:rPr>
                  <m:sty m:val="p"/>
                </m:rPr>
                <m:t>−</m:t>
              </m:r>
              <m:sSup>
                <m:e>
                  <m:r>
                    <m:t>e</m:t>
                  </m:r>
                </m:e>
                <m:sup>
                  <m:r>
                    <m:rPr>
                      <m:sty m:val="p"/>
                    </m:rPr>
                    <m:t>−</m:t>
                  </m:r>
                  <m:r>
                    <m:t>α</m:t>
                  </m:r>
                  <m:r>
                    <m:t>t</m:t>
                  </m:r>
                </m:sup>
              </m:sSup>
            </m:e>
          </m:d>
        </m:oMath>
      </m:oMathPara>
    </w:p>
    <w:p>
      <w:pPr>
        <w:pStyle w:val="FirstParagraph"/>
      </w:pPr>
      <w:r>
        <w:t xml:space="preserve">Where</w:t>
      </w:r>
      <w:r>
        <w:t xml:space="preserve"> </w:t>
      </w:r>
      <m:oMath>
        <m:r>
          <m:t>S</m:t>
        </m:r>
        <m:d>
          <m:dPr>
            <m:begChr m:val="("/>
            <m:endChr m:val=")"/>
            <m:sepChr m:val=""/>
            <m:grow/>
          </m:dPr>
          <m:e>
            <m:r>
              <m:t>t</m:t>
            </m:r>
          </m:e>
        </m:d>
      </m:oMath>
      <w:r>
        <w:t xml:space="preserve"> </w:t>
      </w:r>
      <w:r>
        <w:t xml:space="preserve">is your sympathetic activation level at time</w:t>
      </w:r>
      <w:r>
        <w:t xml:space="preserve"> </w:t>
      </w:r>
      <m:oMath>
        <m:r>
          <m:t>t</m:t>
        </m:r>
      </m:oMath>
      <w:r>
        <w:t xml:space="preserve">,</w:t>
      </w:r>
      <w:r>
        <w:t xml:space="preserve"> </w:t>
      </w:r>
      <m:oMath>
        <m:sSub>
          <m:e>
            <m:r>
              <m:t>S</m:t>
            </m:r>
          </m:e>
          <m:sub>
            <m:r>
              <m:t>0</m:t>
            </m:r>
          </m:sub>
        </m:sSub>
      </m:oMath>
      <w:r>
        <w:t xml:space="preserve"> </w:t>
      </w:r>
      <w:r>
        <w:t xml:space="preserve">is baseline,</w:t>
      </w:r>
      <w:r>
        <w:t xml:space="preserve"> </w:t>
      </w:r>
      <m:oMath>
        <m:r>
          <m:t>A</m:t>
        </m:r>
      </m:oMath>
      <w:r>
        <w:t xml:space="preserve"> </w:t>
      </w:r>
      <w:r>
        <w:t xml:space="preserve">is the amplitude of the threat response, and</w:t>
      </w:r>
      <w:r>
        <w:t xml:space="preserve"> </w:t>
      </w:r>
      <m:oMath>
        <m:r>
          <m:t>α</m:t>
        </m:r>
      </m:oMath>
      <w:r>
        <w:t xml:space="preserve"> </w:t>
      </w:r>
      <w:r>
        <w:t xml:space="preserve">is the activation rate. The key insight: this curve rises fast but decays slowly. Your adrenaline spikes in seconds, but cortisol — the stress hormone that keeps you on high alert — has a half-life of 60–90 minutes.</w:t>
      </w:r>
      <w:r>
        <w:rPr>
          <w:rStyle w:val="FootnoteReference"/>
        </w:rPr>
        <w:footnoteReference w:id="70"/>
      </w:r>
      <w:r>
        <w:t xml:space="preserve"> </w:t>
      </w:r>
      <w:r>
        <w:t xml:space="preserve">Social-evaluative threats and uncontrollable stressors produce the largest cortisol responses,</w:t>
      </w:r>
      <w:r>
        <w:rPr>
          <w:rStyle w:val="FootnoteReference"/>
        </w:rPr>
        <w:footnoteReference w:id="71"/>
      </w:r>
      <w:r>
        <w:t xml:space="preserve"> </w:t>
      </w:r>
      <w:r>
        <w:t xml:space="preserve">which is unfortunately exactly what being trapped in a bathroom with no exit strategy feels like. This is why you’ll feel shaky and hypervigilant long after the danger passes. That’s not weakness; that’s biochemistry.</w:t>
      </w:r>
    </w:p>
    <w:p>
      <w:pPr>
        <w:pStyle w:val="BodyText"/>
      </w:pPr>
      <w:r>
        <w:rPr>
          <w:b/>
          <w:bCs/>
        </w:rPr>
        <w:t xml:space="preserve">Step 2. Resource scan.</w:t>
      </w:r>
    </w:p>
    <w:p>
      <w:pPr>
        <w:pStyle w:val="Compact"/>
        <w:numPr>
          <w:ilvl w:val="0"/>
          <w:numId w:val="1011"/>
        </w:numPr>
      </w:pPr>
      <w:r>
        <w:rPr>
          <w:b/>
          <w:bCs/>
        </w:rPr>
        <w:t xml:space="preserve">Talk to the host.</w:t>
      </w:r>
      <w:r>
        <w:t xml:space="preserve"> </w:t>
      </w:r>
      <w:r>
        <w:t xml:space="preserve">If you’re in someone else’s space, the host is your ally. They know the environment, the exits, and the social dynamics. Ask for help — it’s not weakness, it’s tactical intelligence gathering.</w:t>
      </w:r>
    </w:p>
    <w:p>
      <w:pPr>
        <w:pStyle w:val="Compact"/>
        <w:numPr>
          <w:ilvl w:val="0"/>
          <w:numId w:val="1011"/>
        </w:numPr>
      </w:pPr>
      <w:r>
        <w:rPr>
          <w:b/>
          <w:bCs/>
        </w:rPr>
        <w:t xml:space="preserve">Self-defense: know the law before you need it.</w:t>
      </w:r>
      <w:r>
        <w:t xml:space="preserve"> </w:t>
      </w:r>
      <w:r>
        <w:t xml:space="preserve">In Germany, §32 StGB (Notwehr) covers self-defense: you may defend yourself against an unlawful attack, using force proportionate to the threat. The four legal elements are: (1) present attack, (2) unlawfulness, (3) defensive action, (4) proportionality.</w:t>
      </w:r>
      <w:r>
        <w:rPr>
          <w:rStyle w:val="FootnoteReference"/>
        </w:rPr>
        <w:footnoteReference w:id="72"/>
      </w:r>
      <w:r>
        <w:t xml:space="preserve"> </w:t>
      </w:r>
      <w:r>
        <w:t xml:space="preserve">Know this</w:t>
      </w:r>
      <w:r>
        <w:t xml:space="preserve"> </w:t>
      </w:r>
      <w:r>
        <w:rPr>
          <w:i/>
          <w:iCs/>
        </w:rPr>
        <w:t xml:space="preserve">before</w:t>
      </w:r>
      <w:r>
        <w:t xml:space="preserve"> </w:t>
      </w:r>
      <w:r>
        <w:t xml:space="preserve">you need it → 📍 Professional Support Directory (Ch.7, §14.3).</w:t>
      </w:r>
    </w:p>
    <w:p>
      <w:pPr>
        <w:pStyle w:val="Compact"/>
        <w:numPr>
          <w:ilvl w:val="0"/>
          <w:numId w:val="1011"/>
        </w:numPr>
      </w:pPr>
      <w:r>
        <w:rPr>
          <w:b/>
          <w:bCs/>
        </w:rPr>
        <w:t xml:space="preserve">Local items scan.</w:t>
      </w:r>
      <w:r>
        <w:t xml:space="preserve"> </w:t>
      </w:r>
      <w:r>
        <w:t xml:space="preserve">Take 30 seconds to look around. What’s available? Keys (pointy), phone (communication + flashlight), aerosol cans (improvised deterrent), heavy objects (strategic, not recreational). You’re not MacGyver — you’re just aware.</w:t>
      </w:r>
    </w:p>
    <w:p>
      <w:pPr>
        <w:pStyle w:val="FirstParagraph"/>
      </w:pPr>
      <w:r>
        <w:rPr>
          <w:b/>
          <w:bCs/>
        </w:rPr>
        <w:t xml:space="preserve">Step 3. Once safe.</w:t>
      </w:r>
    </w:p>
    <w:p>
      <w:pPr>
        <w:pStyle w:val="BodyText"/>
      </w:pPr>
      <w:r>
        <w:t xml:space="preserve">→ 📍 Calm Guide (Ch.4) — adrenaline takes time to metabolize. Let the shaking happen. It’s normal.</w:t>
      </w:r>
      <w:r>
        <w:t xml:space="preserve"> </w:t>
      </w:r>
      <w:r>
        <w:t xml:space="preserve">→ 📍 Professional Support Directory (Ch.7) — for legal, psychological, and practical follow-up.</w:t>
      </w:r>
    </w:p>
    <w:p>
      <w:r>
        <w:pict>
          <v:rect style="width:0;height:1.5pt" o:hralign="center" o:hrstd="t" o:hr="t"/>
        </w:pict>
      </w:r>
    </w:p>
    <w:bookmarkEnd w:id="73"/>
    <w:bookmarkEnd w:id="74"/>
    <w:bookmarkStart w:id="78" w:name="situation-e-things-are-congesting"/>
    <w:p>
      <w:pPr>
        <w:pStyle w:val="Heading1"/>
      </w:pPr>
      <w:r>
        <w:t xml:space="preserve">Situation E —</w:t>
      </w:r>
      <w:r>
        <w:t xml:space="preserve"> </w:t>
      </w:r>
      <w:r>
        <w:t xml:space="preserve">“</w:t>
      </w:r>
      <w:r>
        <w:t xml:space="preserve">Things Are Congesting</w:t>
      </w:r>
      <w:r>
        <w:t xml:space="preserve">”</w:t>
      </w:r>
    </w:p>
    <w:p>
      <w:pPr>
        <w:pStyle w:val="FirstParagraph"/>
      </w:pPr>
      <w:r>
        <w:t xml:space="preserve">Everything at once. Too many inputs, too many demands, too many tabs open in your brain. The mental browser has crashed.</w:t>
      </w:r>
    </w:p>
    <w:p>
      <w:pPr>
        <w:pStyle w:val="Compact"/>
        <w:numPr>
          <w:ilvl w:val="0"/>
          <w:numId w:val="1012"/>
        </w:numPr>
      </w:pPr>
      <w:r>
        <w:rPr>
          <w:b/>
          <w:bCs/>
        </w:rPr>
        <w:t xml:space="preserve">Close some tabs.</w:t>
      </w:r>
      <w:r>
        <w:t xml:space="preserve"> </w:t>
      </w:r>
      <w:r>
        <w:t xml:space="preserve">Not literally (unless your phone has 47 browser tabs, in which case — yes, literally). Identify the top 3 things that actually need your attention in the next hour. Write them down. Everything else goes on a</w:t>
      </w:r>
      <w:r>
        <w:t xml:space="preserve"> </w:t>
      </w:r>
      <w:r>
        <w:t xml:space="preserve">“</w:t>
      </w:r>
      <w:r>
        <w:t xml:space="preserve">later</w:t>
      </w:r>
      <w:r>
        <w:t xml:space="preserve">”</w:t>
      </w:r>
      <w:r>
        <w:t xml:space="preserve"> </w:t>
      </w:r>
      <w:r>
        <w:t xml:space="preserve">list that you’ll forget about and that’s fine.</w:t>
      </w:r>
    </w:p>
    <w:p>
      <w:pPr>
        <w:pStyle w:val="Compact"/>
        <w:numPr>
          <w:ilvl w:val="0"/>
          <w:numId w:val="1012"/>
        </w:numPr>
      </w:pPr>
      <w:r>
        <w:rPr>
          <w:b/>
          <w:bCs/>
        </w:rPr>
        <w:t xml:space="preserve">Physical first.</w:t>
      </w:r>
      <w:r>
        <w:t xml:space="preserve"> </w:t>
      </w:r>
      <w:r>
        <w:t xml:space="preserve">Congestion often manifests physically — shallow breathing, tight shoulders, jaw clenched like you’re biting through steel. → 📍 Self Ambulance Guide (Ch.5) for body-first triage.</w:t>
      </w:r>
    </w:p>
    <w:p>
      <w:pPr>
        <w:pStyle w:val="Compact"/>
        <w:numPr>
          <w:ilvl w:val="0"/>
          <w:numId w:val="1012"/>
        </w:numPr>
      </w:pPr>
      <w:r>
        <w:rPr>
          <w:b/>
          <w:bCs/>
        </w:rPr>
        <w:t xml:space="preserve">Mental next.</w:t>
      </w:r>
      <w:r>
        <w:t xml:space="preserve"> </w:t>
      </w:r>
      <w:r>
        <w:t xml:space="preserve">Once the body is somewhat regulated → 📍 Calm Guide (Ch.4) for the full decompression sequence.</w:t>
      </w:r>
    </w:p>
    <w:p>
      <w:pPr>
        <w:pStyle w:val="Compact"/>
        <w:numPr>
          <w:ilvl w:val="0"/>
          <w:numId w:val="1012"/>
        </w:numPr>
      </w:pPr>
      <w:r>
        <w:rPr>
          <w:b/>
          <w:bCs/>
        </w:rPr>
        <w:t xml:space="preserve">If congestion is chronic</w:t>
      </w:r>
      <w:r>
        <w:t xml:space="preserve"> </w:t>
      </w:r>
      <w:r>
        <w:t xml:space="preserve">(this keeps happening), that’s not a bathroom-fix — that’s a life-structure problem → 📍 Professional Support Directory (Ch.7). Therapists and coaches exist for exactly this.</w:t>
      </w:r>
    </w:p>
    <w:bookmarkStart w:id="77" w:name="Xf55ec57cec7787c2667928c305412d4c7d2043c"/>
    <w:p>
      <w:pPr>
        <w:pStyle w:val="Heading3"/>
      </w:pPr>
      <w:r>
        <w:t xml:space="preserve">Cognitive Load Theory — Why Your Brain Is Crashing</w:t>
      </w:r>
    </w:p>
    <w:p>
      <w:pPr>
        <w:pStyle w:val="FirstParagraph"/>
      </w:pPr>
      <w:r>
        <w:t xml:space="preserve">George Miller’s famous 1956 paper proposed that working memory can hold approximately</w:t>
      </w:r>
      <w:r>
        <w:t xml:space="preserve"> </w:t>
      </w:r>
      <m:oMath>
        <m:r>
          <m:t>7</m:t>
        </m:r>
        <m:r>
          <m:rPr>
            <m:sty m:val="p"/>
          </m:rPr>
          <m:t>±</m:t>
        </m:r>
        <m:r>
          <m:t>2</m:t>
        </m:r>
      </m:oMath>
      <w:r>
        <w:t xml:space="preserve"> </w:t>
      </w:r>
      <w:r>
        <w:t xml:space="preserve">items simultaneously.</w:t>
      </w:r>
      <w:r>
        <w:rPr>
          <w:rStyle w:val="FootnoteReference"/>
        </w:rPr>
        <w:footnoteReference w:id="75"/>
      </w:r>
      <w:r>
        <w:t xml:space="preserve"> </w:t>
      </w:r>
      <w:r>
        <w:t xml:space="preserve">More recent research by Cowan (2001) refines this to approximately</w:t>
      </w:r>
      <w:r>
        <w:t xml:space="preserve"> </w:t>
      </w:r>
      <m:oMath>
        <m:r>
          <m:t>4</m:t>
        </m:r>
        <m:r>
          <m:rPr>
            <m:sty m:val="p"/>
          </m:rPr>
          <m:t>±</m:t>
        </m:r>
        <m:r>
          <m:t>1</m:t>
        </m:r>
      </m:oMath>
      <w:r>
        <w:t xml:space="preserve"> </w:t>
      </w:r>
      <w:r>
        <w:t xml:space="preserve">chunks of information.</w:t>
      </w:r>
      <w:r>
        <w:rPr>
          <w:rStyle w:val="FootnoteReference"/>
        </w:rPr>
        <w:footnoteReference w:id="76"/>
      </w:r>
      <w:r>
        <w:t xml:space="preserve"> </w:t>
      </w:r>
      <w:r>
        <w:t xml:space="preserve">When you’re</w:t>
      </w:r>
      <w:r>
        <w:t xml:space="preserve"> </w:t>
      </w:r>
      <w:r>
        <w:t xml:space="preserve">“</w:t>
      </w:r>
      <w:r>
        <w:t xml:space="preserve">congesting,</w:t>
      </w:r>
      <w:r>
        <w:t xml:space="preserve">”</w:t>
      </w:r>
      <w:r>
        <w:t xml:space="preserve"> </w:t>
      </w:r>
      <w:r>
        <w:t xml:space="preserve">you’re exceeding this capacity — your cognitive buffer is overflowing.</w:t>
      </w:r>
    </w:p>
    <w:p>
      <w:pPr>
        <w:pStyle w:val="BodyText"/>
      </w:pPr>
      <m:oMathPara>
        <m:oMathParaPr>
          <m:jc m:val="center"/>
        </m:oMathParaPr>
        <m:oMath>
          <m:r>
            <m:rPr>
              <m:nor/>
              <m:sty m:val="p"/>
            </m:rPr>
            <m:t>Cognitive Load</m:t>
          </m:r>
          <m:r>
            <m:rPr>
              <m:sty m:val="p"/>
            </m:rPr>
            <m:t>=</m:t>
          </m:r>
          <m:r>
            <m:rPr>
              <m:nor/>
              <m:sty m:val="p"/>
            </m:rPr>
            <m:t>Intrinsic</m:t>
          </m:r>
          <m:r>
            <m:rPr>
              <m:sty m:val="p"/>
            </m:rPr>
            <m:t>+</m:t>
          </m:r>
          <m:r>
            <m:rPr>
              <m:nor/>
              <m:sty m:val="p"/>
            </m:rPr>
            <m:t>Extraneous</m:t>
          </m:r>
          <m:r>
            <m:rPr>
              <m:sty m:val="p"/>
            </m:rPr>
            <m:t>+</m:t>
          </m:r>
          <m:r>
            <m:rPr>
              <m:nor/>
              <m:sty m:val="p"/>
            </m:rPr>
            <m:t>Germane</m:t>
          </m:r>
        </m:oMath>
      </m:oMathPara>
    </w:p>
    <w:p>
      <w:pPr>
        <w:pStyle w:val="FirstParagraph"/>
      </w:pPr>
      <w:r>
        <w:t xml:space="preserve">Where intrinsic load comes from the task itself, extraneous load comes from poor presentation or unnecessary information, and germane load is the productive effort of learning/processing. Congestion happens when the total exceeds your working memory capacity. The fix: reduce extraneous load (turn off notifications, close tabs, delegate) and process intrinsic load one chunk at a time. This is literally what the</w:t>
      </w:r>
      <w:r>
        <w:t xml:space="preserve"> </w:t>
      </w:r>
      <w:r>
        <w:t xml:space="preserve">“</w:t>
      </w:r>
      <w:r>
        <w:t xml:space="preserve">top 3 things</w:t>
      </w:r>
      <w:r>
        <w:t xml:space="preserve">”</w:t>
      </w:r>
      <w:r>
        <w:t xml:space="preserve"> </w:t>
      </w:r>
      <w:r>
        <w:t xml:space="preserve">exercise does — it moves items from working memory to external storage (paper/phone), freeing up cognitive bandwidth.</w:t>
      </w:r>
    </w:p>
    <w:p>
      <w:r>
        <w:pict>
          <v:rect style="width:0;height:1.5pt" o:hralign="center" o:hrstd="t" o:hr="t"/>
        </w:pict>
      </w:r>
    </w:p>
    <w:bookmarkEnd w:id="77"/>
    <w:bookmarkEnd w:id="78"/>
    <w:bookmarkStart w:id="81" w:name="situation-f-bad-smell"/>
    <w:p>
      <w:pPr>
        <w:pStyle w:val="Heading1"/>
      </w:pPr>
      <w:r>
        <w:t xml:space="preserve">Situation F —</w:t>
      </w:r>
      <w:r>
        <w:t xml:space="preserve"> </w:t>
      </w:r>
      <w:r>
        <w:t xml:space="preserve">“</w:t>
      </w:r>
      <w:r>
        <w:t xml:space="preserve">Bad Smell</w:t>
      </w:r>
      <w:r>
        <w:t xml:space="preserve">”</w:t>
      </w:r>
    </w:p>
    <w:p>
      <w:pPr>
        <w:pStyle w:val="FirstParagraph"/>
      </w:pPr>
      <w:r>
        <w:t xml:space="preserve">The most bathroom-native emergency. Respect its simplicity.</w:t>
      </w:r>
    </w:p>
    <w:p>
      <w:pPr>
        <w:pStyle w:val="Compact"/>
        <w:numPr>
          <w:ilvl w:val="0"/>
          <w:numId w:val="1013"/>
        </w:numPr>
      </w:pPr>
      <w:r>
        <w:rPr>
          <w:b/>
          <w:bCs/>
        </w:rPr>
        <w:t xml:space="preserve">Step 1.</w:t>
      </w:r>
      <w:r>
        <w:t xml:space="preserve"> </w:t>
      </w:r>
      <w:r>
        <w:t xml:space="preserve">Strike a match (Streichhölzer). The sulfur dioxide actually neutralizes odor molecules. Science! (If no matches: skip to Step 2.)</w:t>
      </w:r>
    </w:p>
    <w:p>
      <w:pPr>
        <w:pStyle w:val="Compact"/>
        <w:numPr>
          <w:ilvl w:val="0"/>
          <w:numId w:val="1013"/>
        </w:numPr>
      </w:pPr>
      <w:r>
        <w:rPr>
          <w:b/>
          <w:bCs/>
        </w:rPr>
        <w:t xml:space="preserve">Step 2.</w:t>
      </w:r>
      <w:r>
        <w:t xml:space="preserve"> </w:t>
      </w:r>
      <w:r>
        <w:t xml:space="preserve">Ventilate. Window? Open it. Fan? Turn it on. No ventilation? Time is your friend. Wait.</w:t>
      </w:r>
    </w:p>
    <w:p>
      <w:pPr>
        <w:pStyle w:val="Compact"/>
        <w:numPr>
          <w:ilvl w:val="0"/>
          <w:numId w:val="1013"/>
        </w:numPr>
      </w:pPr>
      <w:r>
        <w:rPr>
          <w:b/>
          <w:bCs/>
        </w:rPr>
        <w:t xml:space="preserve">Step 3.</w:t>
      </w:r>
      <w:r>
        <w:t xml:space="preserve"> </w:t>
      </w:r>
      <w:r>
        <w:t xml:space="preserve">Deploy scent. Candle, spray, essential oil, strategically placed coffee grounds — whatever’s available. Masking &gt; suffering.</w:t>
      </w:r>
    </w:p>
    <w:p>
      <w:pPr>
        <w:pStyle w:val="Compact"/>
        <w:numPr>
          <w:ilvl w:val="0"/>
          <w:numId w:val="1013"/>
        </w:numPr>
      </w:pPr>
      <w:r>
        <w:rPr>
          <w:b/>
          <w:bCs/>
        </w:rPr>
        <w:t xml:space="preserve">Step 4.</w:t>
      </w:r>
      <w:r>
        <w:t xml:space="preserve"> </w:t>
      </w:r>
      <w:r>
        <w:t xml:space="preserve">If the smell is YOU → that’s what showers are for. You’re literally in the right room.</w:t>
      </w:r>
    </w:p>
    <w:p>
      <w:pPr>
        <w:pStyle w:val="Compact"/>
        <w:numPr>
          <w:ilvl w:val="0"/>
          <w:numId w:val="1013"/>
        </w:numPr>
      </w:pPr>
      <w:r>
        <w:rPr>
          <w:b/>
          <w:bCs/>
        </w:rPr>
        <w:t xml:space="preserve">Step 5.</w:t>
      </w:r>
      <w:r>
        <w:t xml:space="preserve"> </w:t>
      </w:r>
      <w:r>
        <w:t xml:space="preserve">If the smell is EMOTIONAL → 📍 Calm Guide (Ch.4). (Metaphorical bad smells respond to the same treatment: ventilate, mask with something nicer, give it time.)</w:t>
      </w:r>
    </w:p>
    <w:bookmarkStart w:id="80" w:name="X7987e10cb6b1b0678b94215c40ebf1623bd765a"/>
    <w:p>
      <w:pPr>
        <w:pStyle w:val="Heading3"/>
      </w:pPr>
      <w:r>
        <w:t xml:space="preserve">The Chemistry of Match-Based Odor Neutralization</w:t>
      </w:r>
    </w:p>
    <w:p>
      <w:pPr>
        <w:pStyle w:val="FirstParagraph"/>
      </w:pPr>
      <w:r>
        <w:t xml:space="preserve">The SO₂ mechanism is real and surprisingly elegant. When a match is struck, the combustion of sulfur in the match head produces sulfur dioxide (</w:t>
      </w:r>
      <m:oMath>
        <m:r>
          <m:t>S</m:t>
        </m:r>
        <m:sSub>
          <m:e>
            <m:r>
              <m:t>O</m:t>
            </m:r>
          </m:e>
          <m:sub>
            <m:r>
              <m:t>2</m:t>
            </m:r>
          </m:sub>
        </m:sSub>
      </m:oMath>
      <w:r>
        <w:t xml:space="preserve">), which is a strong electrophile. Many malodorous compounds — particularly volatile organic compounds (VOCs) and hydrogen sulfide (</w:t>
      </w:r>
      <m:oMath>
        <m:sSub>
          <m:e>
            <m:r>
              <m:t>H</m:t>
            </m:r>
          </m:e>
          <m:sub>
            <m:r>
              <m:t>2</m:t>
            </m:r>
          </m:sub>
        </m:sSub>
        <m:r>
          <m:t>S</m:t>
        </m:r>
      </m:oMath>
      <w:r>
        <w:t xml:space="preserve">) — are nucleophilic. The</w:t>
      </w:r>
      <w:r>
        <w:t xml:space="preserve"> </w:t>
      </w:r>
      <m:oMath>
        <m:r>
          <m:t>S</m:t>
        </m:r>
        <m:sSub>
          <m:e>
            <m:r>
              <m:t>O</m:t>
            </m:r>
          </m:e>
          <m:sub>
            <m:r>
              <m:t>2</m:t>
            </m:r>
          </m:sub>
        </m:sSub>
      </m:oMath>
      <w:r>
        <w:t xml:space="preserve"> </w:t>
      </w:r>
      <w:r>
        <w:t xml:space="preserve">reacts with these molecules, altering their molecular structure and thereby changing (or eliminating) their odor profile.</w:t>
      </w:r>
      <w:r>
        <w:rPr>
          <w:rStyle w:val="FootnoteReference"/>
        </w:rPr>
        <w:footnoteReference w:id="79"/>
      </w:r>
      <w:r>
        <w:t xml:space="preserve"> </w:t>
      </w:r>
      <w:r>
        <w:t xml:space="preserve">The effect is chemical neutralization, not mere masking — which is why matches work better than perfume for bathroom odors. The concentration of</w:t>
      </w:r>
      <w:r>
        <w:t xml:space="preserve"> </w:t>
      </w:r>
      <m:oMath>
        <m:r>
          <m:t>S</m:t>
        </m:r>
        <m:sSub>
          <m:e>
            <m:r>
              <m:t>O</m:t>
            </m:r>
          </m:e>
          <m:sub>
            <m:r>
              <m:t>2</m:t>
            </m:r>
          </m:sub>
        </m:sSub>
      </m:oMath>
      <w:r>
        <w:t xml:space="preserve"> </w:t>
      </w:r>
      <w:r>
        <w:t xml:space="preserve">from a single match is tiny and safe in ventilated spaces, though we don’t recommend huffing match heads. Everything in moderation, including chemistry.</w:t>
      </w:r>
    </w:p>
    <w:p>
      <w:pPr>
        <w:pStyle w:val="BodyText"/>
      </w:pPr>
      <w:r>
        <w:t xml:space="preserve">This is the only entry point where the solution might genuinely be</w:t>
      </w:r>
      <w:r>
        <w:t xml:space="preserve"> </w:t>
      </w:r>
      <w:r>
        <w:t xml:space="preserve">“</w:t>
      </w:r>
      <w:r>
        <w:t xml:space="preserve">light a match and move on.</w:t>
      </w:r>
      <w:r>
        <w:t xml:space="preserve">”</w:t>
      </w:r>
      <w:r>
        <w:t xml:space="preserve"> </w:t>
      </w:r>
      <w:r>
        <w:t xml:space="preserve">Enjoy it. The other sections are heavier.</w:t>
      </w:r>
    </w:p>
    <w:p>
      <w:r>
        <w:pict>
          <v:rect style="width:0;height:1.5pt" o:hralign="center" o:hrstd="t" o:hr="t"/>
        </w:pict>
      </w:r>
    </w:p>
    <w:bookmarkEnd w:id="80"/>
    <w:bookmarkEnd w:id="81"/>
    <w:bookmarkStart w:id="83" w:name="situation-g-no-place-to-go"/>
    <w:p>
      <w:pPr>
        <w:pStyle w:val="Heading1"/>
      </w:pPr>
      <w:r>
        <w:t xml:space="preserve">Situation G —</w:t>
      </w:r>
      <w:r>
        <w:t xml:space="preserve"> </w:t>
      </w:r>
      <w:r>
        <w:t xml:space="preserve">“</w:t>
      </w:r>
      <w:r>
        <w:t xml:space="preserve">No Place to Go</w:t>
      </w:r>
      <w:r>
        <w:t xml:space="preserve">”</w:t>
      </w:r>
    </w:p>
    <w:p>
      <w:pPr>
        <w:pStyle w:val="FirstParagraph"/>
      </w:pPr>
      <w:r>
        <w:t xml:space="preserve">Not just physically — existentially. You feel like you don’t belong anywhere, or that there’s nowhere that’s truly yours. The bathroom is temporary. You need something more structural.</w:t>
      </w:r>
    </w:p>
    <w:p>
      <w:pPr>
        <w:pStyle w:val="BodyText"/>
      </w:pPr>
      <w:r>
        <w:rPr>
          <w:b/>
          <w:bCs/>
        </w:rPr>
        <w:t xml:space="preserve">Step 1. Immediate: You’re here. That’s somewhere.</w:t>
      </w:r>
    </w:p>
    <w:p>
      <w:pPr>
        <w:pStyle w:val="BodyText"/>
      </w:pPr>
      <w:r>
        <w:t xml:space="preserve">This is not flip. Being in a space, even a borrowed one, is a starting point. You haven’t evaporated. You exist in coordinates. That’s data.</w:t>
      </w:r>
    </w:p>
    <w:p>
      <w:pPr>
        <w:pStyle w:val="BodyText"/>
      </w:pPr>
      <w:r>
        <w:rPr>
          <w:b/>
          <w:bCs/>
        </w:rPr>
        <w:t xml:space="preserve">Step 2. Support hotlines — they work at 3am when nothing else does.</w:t>
      </w:r>
    </w:p>
    <w:p>
      <w:pPr>
        <w:pStyle w:val="BodyText"/>
      </w:pPr>
      <w:r>
        <w:t xml:space="preserve">→ 📍 Professional Support Directory (Ch.7, §14.5) for the full list. Key numbers: Telefonseelsorge (0800/111 0 111 or 0800/111 0 222 — free, 24/7, anonymous), and local crisis lines.</w:t>
      </w:r>
    </w:p>
    <w:p>
      <w:pPr>
        <w:pStyle w:val="BodyText"/>
      </w:pPr>
      <w:r>
        <w:rPr>
          <w:b/>
          <w:bCs/>
        </w:rPr>
        <w:t xml:space="preserve">Step 3. Local initiatives.</w:t>
      </w:r>
    </w:p>
    <w:p>
      <w:pPr>
        <w:pStyle w:val="BodyText"/>
      </w:pPr>
      <w:r>
        <w:t xml:space="preserve">Every city has communities, shelters, co-ops, meetups, and weird little groups that would love another person. Finding them is the hard part → 📍 Professional Support Directory (Ch.7, §14.5) includes starting points for local search.</w:t>
      </w:r>
    </w:p>
    <w:p>
      <w:pPr>
        <w:pStyle w:val="BodyText"/>
      </w:pPr>
      <w:r>
        <w:rPr>
          <w:b/>
          <w:bCs/>
        </w:rPr>
        <w:t xml:space="preserve">Step 4. Emotional processing.</w:t>
      </w:r>
    </w:p>
    <w:p>
      <w:pPr>
        <w:pStyle w:val="BodyText"/>
      </w:pPr>
      <w:r>
        <w:t xml:space="preserve">→ 📍 Calm Guide (Ch.4) — the</w:t>
      </w:r>
      <w:r>
        <w:t xml:space="preserve"> </w:t>
      </w:r>
      <w:r>
        <w:t xml:space="preserve">“</w:t>
      </w:r>
      <w:r>
        <w:t xml:space="preserve">Eventually: Leaving the Bathroom</w:t>
      </w:r>
      <w:r>
        <w:t xml:space="preserve">”</w:t>
      </w:r>
      <w:r>
        <w:t xml:space="preserve"> </w:t>
      </w:r>
      <w:r>
        <w:t xml:space="preserve">subsection is specifically designed for moments when you have to re-enter a world that doesn’t feel like it has a place for you. It does. You just might not see it from in here.</w:t>
      </w:r>
    </w:p>
    <w:p>
      <w:r>
        <w:pict>
          <v:rect style="width:0;height:1.5pt" o:hralign="center" o:hrstd="t" o:hr="t"/>
        </w:pict>
      </w:r>
    </w:p>
    <w:bookmarkStart w:id="82" w:name="situations-bg-consolidated-routing-map"/>
    <w:p>
      <w:pPr>
        <w:pStyle w:val="Heading2"/>
      </w:pPr>
      <w:r>
        <w:t xml:space="preserve">Situations B–G — Consolidated Routing Map</w:t>
      </w:r>
    </w:p>
    <w:p>
      <w:pPr>
        <w:pStyle w:val="SourceCode"/>
      </w:pPr>
      <w:r>
        <w:rPr>
          <w:rStyle w:val="VerbatimChar"/>
        </w:rPr>
        <w:t xml:space="preserve">  B: Anxious ────────◆ Acute? ──→ 📍Calm</w:t>
      </w:r>
      <w:r>
        <w:br/>
      </w:r>
      <w:r>
        <w:rPr>
          <w:rStyle w:val="VerbatimChar"/>
        </w:rPr>
        <w:t xml:space="preserve">                      ◆ General? ─→ 📍Prof. Support</w:t>
      </w:r>
      <w:r>
        <w:br/>
      </w:r>
      <w:r>
        <w:rPr>
          <w:rStyle w:val="VerbatimChar"/>
        </w:rPr>
        <w:t xml:space="preserve">                      ◆ GAD-7 ≥10? → 📍Prof. Support + 📍Calm</w:t>
      </w:r>
      <w:r>
        <w:br/>
      </w:r>
      <w:r>
        <w:rPr>
          <w:rStyle w:val="VerbatimChar"/>
        </w:rPr>
        <w:t xml:space="preserve">                      ◆ About X? ─→ (see table)</w:t>
      </w:r>
      <w:r>
        <w:br/>
      </w:r>
      <w:r>
        <w:br/>
      </w:r>
      <w:r>
        <w:rPr>
          <w:rStyle w:val="VerbatimChar"/>
        </w:rPr>
        <w:t xml:space="preserve">  C: Pain ───────────◆ Physical? ─→ 📍Self Ambulance</w:t>
      </w:r>
      <w:r>
        <w:br/>
      </w:r>
      <w:r>
        <w:rPr>
          <w:rStyle w:val="VerbatimChar"/>
        </w:rPr>
        <w:t xml:space="preserve">                      ◆ NRS ≥7? ──→ 112 + 📍Self Ambulance</w:t>
      </w:r>
      <w:r>
        <w:br/>
      </w:r>
      <w:r>
        <w:rPr>
          <w:rStyle w:val="VerbatimChar"/>
        </w:rPr>
        <w:t xml:space="preserve">                      ◆ Psych? ───→ 📍Calm (+ 📍Prof. Support)</w:t>
      </w:r>
      <w:r>
        <w:br/>
      </w:r>
      <w:r>
        <w:br/>
      </w:r>
      <w:r>
        <w:rPr>
          <w:rStyle w:val="VerbatimChar"/>
        </w:rPr>
        <w:t xml:space="preserve">  D: Endangered ─────◆ Imminent? ─→ 110/112 FIRST</w:t>
      </w:r>
      <w:r>
        <w:br/>
      </w:r>
      <w:r>
        <w:rPr>
          <w:rStyle w:val="VerbatimChar"/>
        </w:rPr>
        <w:t xml:space="preserve">                      ◆ Stabilized? → 📍Calm + 📍Prof. Support</w:t>
      </w:r>
      <w:r>
        <w:br/>
      </w:r>
      <w:r>
        <w:rPr>
          <w:rStyle w:val="VerbatimChar"/>
        </w:rPr>
        <w:t xml:space="preserve">                      ◆ Cortisol falling? → Processing allowed</w:t>
      </w:r>
      <w:r>
        <w:br/>
      </w:r>
      <w:r>
        <w:br/>
      </w:r>
      <w:r>
        <w:rPr>
          <w:rStyle w:val="VerbatimChar"/>
        </w:rPr>
        <w:t xml:space="preserve">  E: Congesting ─────→ 📍Self Ambulance → 📍Calm → (maybe 📍Prof. Support)</w:t>
      </w:r>
      <w:r>
        <w:br/>
      </w:r>
      <w:r>
        <w:rPr>
          <w:rStyle w:val="VerbatimChar"/>
        </w:rPr>
        <w:t xml:space="preserve">                      Cognitive load &gt; 7±2? → Externalize now.</w:t>
      </w:r>
      <w:r>
        <w:br/>
      </w:r>
      <w:r>
        <w:br/>
      </w:r>
      <w:r>
        <w:rPr>
          <w:rStyle w:val="VerbatimChar"/>
        </w:rPr>
        <w:t xml:space="preserve">  F: Bad Smell ──────→ SO₂ (matches) → Scent → Ventilate → (maybe 📍Calm)</w:t>
      </w:r>
      <w:r>
        <w:br/>
      </w:r>
      <w:r>
        <w:br/>
      </w:r>
      <w:r>
        <w:rPr>
          <w:rStyle w:val="VerbatimChar"/>
        </w:rPr>
        <w:t xml:space="preserve">  G: No Place ───────→ Hotlines → Local initiatives → 📍Calm</w:t>
      </w:r>
    </w:p>
    <w:p>
      <w:pPr>
        <w:pStyle w:val="FirstParagraph"/>
      </w:pPr>
      <w:r>
        <w:t xml:space="preserve">title:</w:t>
      </w:r>
      <w:r>
        <w:t xml:space="preserve"> </w:t>
      </w:r>
      <w:r>
        <w:t xml:space="preserve">“</w:t>
      </w:r>
      <w:r>
        <w:t xml:space="preserve">Calm Guide</w:t>
      </w:r>
      <w:r>
        <w:t xml:space="preserve">”</w:t>
      </w:r>
      <w:r>
        <w:t xml:space="preserve"> </w:t>
      </w:r>
      <w:r>
        <w:t xml:space="preserve">chapter: 4</w:t>
      </w:r>
      <w:r>
        <w:t xml:space="preserve"> </w:t>
      </w:r>
      <w:r>
        <w:t xml:space="preserve">revision:</w:t>
      </w:r>
      <w:r>
        <w:t xml:space="preserve"> </w:t>
      </w:r>
      <w:r>
        <w:t xml:space="preserve">“</w:t>
      </w:r>
      <w:r>
        <w:t xml:space="preserve">3.2.0</w:t>
      </w:r>
      <w:r>
        <w:t xml:space="preserve">”</w:t>
      </w:r>
      <w:r>
        <w:t xml:space="preserve"> </w:t>
      </w:r>
      <w:r>
        <w:t xml:space="preserve">last_updated:</w:t>
      </w:r>
      <w:r>
        <w:t xml:space="preserve"> </w:t>
      </w:r>
      <w:r>
        <w:t xml:space="preserve">“</w:t>
      </w:r>
      <w:r>
        <w:t xml:space="preserve">2026-05-03</w:t>
      </w:r>
      <w:r>
        <w:t xml:space="preserve">”</w:t>
      </w:r>
      <w:r>
        <w:t xml:space="preserve"> </w:t>
      </w:r>
      <w:r>
        <w:t xml:space="preserve">dependencies:</w:t>
      </w:r>
      <w:r>
        <w:t xml:space="preserve"> </w:t>
      </w:r>
      <w:r>
        <w:t xml:space="preserve">- ../diagrams/breathing_techniques.png</w:t>
      </w:r>
      <w:r>
        <w:t xml:space="preserve"> </w:t>
      </w:r>
      <w:r>
        <w:t xml:space="preserve">- ../diagrams/stress_decay_curve.png</w:t>
      </w:r>
      <w:r>
        <w:t xml:space="preserve"> </w:t>
      </w:r>
      <w:r>
        <w:t xml:space="preserve">—</w:t>
      </w:r>
    </w:p>
    <w:bookmarkEnd w:id="82"/>
    <w:bookmarkEnd w:id="83"/>
    <w:bookmarkStart w:id="117" w:name="X28e9f1f027c40ad5135c85c5346c21b274ea9cf"/>
    <w:p>
      <w:pPr>
        <w:pStyle w:val="Heading1"/>
      </w:pPr>
      <w:r>
        <w:t xml:space="preserve">🧘 Calm Guide — You Made It Here. That Counts.</w:t>
      </w:r>
    </w:p>
    <w:p>
      <w:pPr>
        <w:pStyle w:val="FirstParagraph"/>
      </w:pPr>
      <w:r>
        <w:t xml:space="preserve">This guide is referenced by almost every path in this document. That’s not because it solves everything — it’s because calm is a prerequisite for solving anything. You can’t navigate a decision tree while your nervous system is running kernel panic. Let’s get you to a stable state first, then figure out what’s next.</w:t>
      </w:r>
    </w:p>
    <w:bookmarkStart w:id="85" w:name="youre-allowed-to-be-here"/>
    <w:p>
      <w:pPr>
        <w:pStyle w:val="Heading2"/>
      </w:pPr>
      <w:r>
        <w:t xml:space="preserve">You’re Allowed to Be Here</w:t>
      </w:r>
    </w:p>
    <w:p>
      <w:pPr>
        <w:pStyle w:val="FirstParagraph"/>
      </w:pPr>
      <w:r>
        <w:rPr>
          <w:b/>
          <w:bCs/>
        </w:rPr>
        <w:t xml:space="preserve">Permission statement.</w:t>
      </w:r>
      <w:r>
        <w:t xml:space="preserve"> </w:t>
      </w:r>
      <w:r>
        <w:t xml:space="preserve">Lock the door. Sit down. You are in a bathroom, which means you are in a room designed specifically for private bodily maintenance. Your brain is a body part. You are maintaining it. This is not avoidance — this is triage.</w:t>
      </w:r>
    </w:p>
    <w:p>
      <w:pPr>
        <w:pStyle w:val="BodyText"/>
      </w:pPr>
      <w:r>
        <w:rPr>
          <w:b/>
          <w:bCs/>
        </w:rPr>
        <w:t xml:space="preserve">The 10-minute rule.</w:t>
      </w:r>
      <w:r>
        <w:t xml:space="preserve"> </w:t>
      </w:r>
      <w:r>
        <w:t xml:space="preserve">The next 10 minutes are officially</w:t>
      </w:r>
      <w:r>
        <w:t xml:space="preserve"> </w:t>
      </w:r>
      <w:r>
        <w:rPr>
          <w:b/>
          <w:bCs/>
        </w:rPr>
        <w:t xml:space="preserve">Me Time™</w:t>
      </w:r>
      <w:r>
        <w:t xml:space="preserve">. Not because your problems aren’t real, but because your nervous system needs a reset window before it can process anything useful. Think of it as rebooting in safe mode. Nothing dramatic happens in safe mode. That’s the point.</w:t>
      </w:r>
    </w:p>
    <w:p>
      <w:pPr>
        <w:pStyle w:val="BodyText"/>
      </w:pPr>
      <w:r>
        <w:t xml:space="preserve">We can formalize this. The sympathetic-parasympathetic transition — the shift from</w:t>
      </w:r>
      <w:r>
        <w:t xml:space="preserve"> </w:t>
      </w:r>
      <w:r>
        <w:t xml:space="preserve">“</w:t>
      </w:r>
      <w:r>
        <w:t xml:space="preserve">fight-or-flight</w:t>
      </w:r>
      <w:r>
        <w:t xml:space="preserve">”</w:t>
      </w:r>
      <w:r>
        <w:t xml:space="preserve"> </w:t>
      </w:r>
      <w:r>
        <w:t xml:space="preserve">to</w:t>
      </w:r>
      <w:r>
        <w:t xml:space="preserve"> </w:t>
      </w:r>
      <w:r>
        <w:t xml:space="preserve">“</w:t>
      </w:r>
      <w:r>
        <w:t xml:space="preserve">rest-and-digest</w:t>
      </w:r>
      <w:r>
        <w:t xml:space="preserve">”</w:t>
      </w:r>
      <w:r>
        <w:t xml:space="preserve"> </w:t>
      </w:r>
      <w:r>
        <w:t xml:space="preserve">— has a characteristic time constant. Research on autonomic recovery shows that parasympathetic re-engagement begins within approximately 10 minutes of stressor removal:</w:t>
      </w:r>
      <w:r>
        <w:rPr>
          <w:rStyle w:val="FootnoteReference"/>
        </w:rPr>
        <w:footnoteReference w:id="84"/>
      </w:r>
    </w:p>
    <w:p>
      <w:pPr>
        <w:pStyle w:val="BodyText"/>
      </w:pPr>
      <m:oMathPara>
        <m:oMathParaPr>
          <m:jc m:val="center"/>
        </m:oMathParaPr>
        <m:oMath>
          <m:sSub>
            <m:e>
              <m:r>
                <m:t>t</m:t>
              </m:r>
            </m:e>
            <m:sub>
              <m:r>
                <m:t>r</m:t>
              </m:r>
              <m:r>
                <m:t>e</m:t>
              </m:r>
              <m:r>
                <m:t>s</m:t>
              </m:r>
              <m:r>
                <m:t>e</m:t>
              </m:r>
              <m:r>
                <m:t>t</m:t>
              </m:r>
            </m:sub>
          </m:sSub>
          <m:r>
            <m:rPr>
              <m:sty m:val="p"/>
            </m:rPr>
            <m:t>≈</m:t>
          </m:r>
          <m:r>
            <m:t>10</m:t>
          </m:r>
          <m:r>
            <m:rPr>
              <m:nor/>
              <m:sty m:val="p"/>
            </m:rPr>
            <m:t>min</m:t>
          </m:r>
        </m:oMath>
      </m:oMathPara>
    </w:p>
    <w:p>
      <w:pPr>
        <w:pStyle w:val="FirstParagraph"/>
      </w:pPr>
      <w:r>
        <w:t xml:space="preserve">This isn’t arbitrary. It reflects the time required for vagal tone to reassert dominance over sympathetic activation. Your heart rate variability (HRV) — a key marker of parasympathetic activity — begins to recover within this window. The 10-minute rule isn’t self-indulgence; it’s neurology.</w:t>
      </w:r>
    </w:p>
    <w:p>
      <w:pPr>
        <w:pStyle w:val="BodyText"/>
      </w:pPr>
      <w:r>
        <w:rPr>
          <w:b/>
          <w:bCs/>
        </w:rPr>
        <w:t xml:space="preserve">Where you are, factually:</w:t>
      </w:r>
    </w:p>
    <w:p>
      <w:pPr>
        <w:pStyle w:val="Compact"/>
        <w:numPr>
          <w:ilvl w:val="0"/>
          <w:numId w:val="1014"/>
        </w:numPr>
      </w:pPr>
      <w:r>
        <w:t xml:space="preserve">Indoors ✓ (weather is not your problem right now)</w:t>
      </w:r>
    </w:p>
    <w:p>
      <w:pPr>
        <w:pStyle w:val="Compact"/>
        <w:numPr>
          <w:ilvl w:val="0"/>
          <w:numId w:val="1014"/>
        </w:numPr>
      </w:pPr>
      <w:r>
        <w:t xml:space="preserve">Seated or can sit ✓ (gravity: manageable)</w:t>
      </w:r>
    </w:p>
    <w:p>
      <w:pPr>
        <w:pStyle w:val="Compact"/>
        <w:numPr>
          <w:ilvl w:val="0"/>
          <w:numId w:val="1014"/>
        </w:numPr>
      </w:pPr>
      <w:r>
        <w:t xml:space="preserve">Door locks ✓ (privacy: available)</w:t>
      </w:r>
    </w:p>
    <w:p>
      <w:pPr>
        <w:pStyle w:val="Compact"/>
        <w:numPr>
          <w:ilvl w:val="0"/>
          <w:numId w:val="1014"/>
        </w:numPr>
      </w:pPr>
      <w:r>
        <w:t xml:space="preserve">Running water ✓ (hydration + hygiene: accessible)</w:t>
      </w:r>
    </w:p>
    <w:p>
      <w:pPr>
        <w:pStyle w:val="Compact"/>
        <w:numPr>
          <w:ilvl w:val="0"/>
          <w:numId w:val="1014"/>
        </w:numPr>
      </w:pPr>
      <w:r>
        <w:t xml:space="preserve">Reading this ✓ (cognitive function: operational, even if barely)</w:t>
      </w:r>
    </w:p>
    <w:p>
      <w:pPr>
        <w:pStyle w:val="FirstParagraph"/>
      </w:pPr>
      <w:r>
        <w:t xml:space="preserve">You have more resources than your anxiety is letting you see. That’s what anxiety does — it narrows the aperture. We’re widening it back up.</w:t>
      </w:r>
    </w:p>
    <w:bookmarkEnd w:id="85"/>
    <w:bookmarkStart w:id="90" w:name="stress-decay-curve"/>
    <w:p>
      <w:pPr>
        <w:pStyle w:val="Heading2"/>
      </w:pPr>
      <w:r>
        <w:t xml:space="preserve">Stress Decay Curve</w:t>
      </w:r>
    </w:p>
    <w:p>
      <w:pPr>
        <w:pStyle w:val="FirstParagraph"/>
      </w:pPr>
      <w:r>
        <w:t xml:space="preserve">Your stress level isn’t static — it follows a decay function once the stressor is removed or you begin active calming. The cortisol decay model describes this elegantly:</w:t>
      </w:r>
    </w:p>
    <w:p>
      <w:pPr>
        <w:pStyle w:val="BodyText"/>
      </w:pPr>
      <m:oMathPara>
        <m:oMathParaPr>
          <m:jc m:val="center"/>
        </m:oMathParaPr>
        <m:oMath>
          <m:r>
            <m:t>C</m:t>
          </m:r>
          <m:d>
            <m:dPr>
              <m:begChr m:val="("/>
              <m:endChr m:val=")"/>
              <m:sepChr m:val=""/>
              <m:grow/>
            </m:dPr>
            <m:e>
              <m:r>
                <m:t>t</m:t>
              </m:r>
            </m:e>
          </m:d>
          <m:r>
            <m:rPr>
              <m:sty m:val="p"/>
            </m:rPr>
            <m:t>=</m:t>
          </m:r>
          <m:sSub>
            <m:e>
              <m:r>
                <m:t>C</m:t>
              </m:r>
            </m:e>
            <m:sub>
              <m:r>
                <m:t>0</m:t>
              </m:r>
            </m:sub>
          </m:sSub>
          <m:r>
            <m:rPr>
              <m:sty m:val="p"/>
            </m:rPr>
            <m:t>⋅</m:t>
          </m:r>
          <m:sSup>
            <m:e>
              <m:r>
                <m:t>e</m:t>
              </m:r>
            </m:e>
            <m:sup>
              <m:r>
                <m:rPr>
                  <m:sty m:val="p"/>
                </m:rPr>
                <m:t>−</m:t>
              </m:r>
              <m:r>
                <m:t>λ</m:t>
              </m:r>
              <m:r>
                <m:t>t</m:t>
              </m:r>
            </m:sup>
          </m:sSup>
        </m:oMath>
      </m:oMathPara>
    </w:p>
    <w:p>
      <w:pPr>
        <w:pStyle w:val="FirstParagraph"/>
      </w:pPr>
      <w:r>
        <w:t xml:space="preserve">Where</w:t>
      </w:r>
      <w:r>
        <w:t xml:space="preserve"> </w:t>
      </w:r>
      <m:oMath>
        <m:r>
          <m:t>C</m:t>
        </m:r>
        <m:d>
          <m:dPr>
            <m:begChr m:val="("/>
            <m:endChr m:val=")"/>
            <m:sepChr m:val=""/>
            <m:grow/>
          </m:dPr>
          <m:e>
            <m:r>
              <m:t>t</m:t>
            </m:r>
          </m:e>
        </m:d>
      </m:oMath>
      <w:r>
        <w:t xml:space="preserve"> </w:t>
      </w:r>
      <w:r>
        <w:t xml:space="preserve">is your cortisol level at time</w:t>
      </w:r>
      <w:r>
        <w:t xml:space="preserve"> </w:t>
      </w:r>
      <m:oMath>
        <m:r>
          <m:t>t</m:t>
        </m:r>
      </m:oMath>
      <w:r>
        <w:t xml:space="preserve">,</w:t>
      </w:r>
      <w:r>
        <w:t xml:space="preserve"> </w:t>
      </w:r>
      <m:oMath>
        <m:sSub>
          <m:e>
            <m:r>
              <m:t>C</m:t>
            </m:r>
          </m:e>
          <m:sub>
            <m:r>
              <m:t>0</m:t>
            </m:r>
          </m:sub>
        </m:sSub>
      </m:oMath>
      <w:r>
        <w:t xml:space="preserve"> </w:t>
      </w:r>
      <w:r>
        <w:t xml:space="preserve">is the peak cortisol level, and</w:t>
      </w:r>
      <w:r>
        <w:t xml:space="preserve"> </w:t>
      </w:r>
      <m:oMath>
        <m:r>
          <m:t>λ</m:t>
        </m:r>
        <m:r>
          <m:rPr>
            <m:sty m:val="p"/>
          </m:rPr>
          <m:t>=</m:t>
        </m:r>
        <m:f>
          <m:fPr>
            <m:type m:val="bar"/>
          </m:fPr>
          <m:num>
            <m:r>
              <m:rPr>
                <m:sty m:val="p"/>
              </m:rPr>
              <m:t>ln</m:t>
            </m:r>
            <m:r>
              <m:t>2</m:t>
            </m:r>
          </m:num>
          <m:den>
            <m:sSub>
              <m:e>
                <m:r>
                  <m:t>t</m:t>
                </m:r>
              </m:e>
              <m:sub>
                <m:r>
                  <m:t>1</m:t>
                </m:r>
                <m:r>
                  <m:rPr>
                    <m:sty m:val="p"/>
                  </m:rPr>
                  <m:t>/</m:t>
                </m:r>
                <m:r>
                  <m:t>2</m:t>
                </m:r>
              </m:sub>
            </m:sSub>
          </m:den>
        </m:f>
      </m:oMath>
      <w:r>
        <w:t xml:space="preserve"> </w:t>
      </w:r>
      <w:r>
        <w:t xml:space="preserve">is the decay constant. With a cortisol half-life of approximately 60–90 minutes:</w:t>
      </w:r>
      <w:r>
        <w:rPr>
          <w:rStyle w:val="FootnoteReference"/>
        </w:rPr>
        <w:footnoteReference w:id="86"/>
      </w:r>
    </w:p>
    <w:p>
      <w:pPr>
        <w:pStyle w:val="BodyText"/>
      </w:pPr>
      <m:oMathPara>
        <m:oMathParaPr>
          <m:jc m:val="center"/>
        </m:oMathParaPr>
        <m:oMath>
          <m:r>
            <m:t>λ</m:t>
          </m:r>
          <m:r>
            <m:rPr>
              <m:sty m:val="p"/>
            </m:rPr>
            <m:t>=</m:t>
          </m:r>
          <m:f>
            <m:fPr>
              <m:type m:val="bar"/>
            </m:fPr>
            <m:num>
              <m:r>
                <m:rPr>
                  <m:sty m:val="p"/>
                </m:rPr>
                <m:t>ln</m:t>
              </m:r>
              <m:r>
                <m:t>2</m:t>
              </m:r>
            </m:num>
            <m:den>
              <m:r>
                <m:t>75</m:t>
              </m:r>
              <m:r>
                <m:rPr>
                  <m:nor/>
                  <m:sty m:val="p"/>
                </m:rPr>
                <m:t>min</m:t>
              </m:r>
            </m:den>
          </m:f>
          <m:r>
            <m:rPr>
              <m:sty m:val="p"/>
            </m:rPr>
            <m:t>≈</m:t>
          </m:r>
          <m:r>
            <m:t>0.0092</m:t>
          </m:r>
          <m:sSup>
            <m:e>
              <m:r>
                <m:rPr>
                  <m:nor/>
                  <m:sty m:val="p"/>
                </m:rPr>
                <m:t> min</m:t>
              </m:r>
            </m:e>
            <m:sup>
              <m:r>
                <m:rPr>
                  <m:sty m:val="p"/>
                </m:rPr>
                <m:t>−</m:t>
              </m:r>
              <m:r>
                <m:t>1</m:t>
              </m:r>
            </m:sup>
          </m:sSup>
        </m:oMath>
      </m:oMathPara>
    </w:p>
    <w:p>
      <w:pPr>
        <w:pStyle w:val="FirstParagraph"/>
      </w:pPr>
      <w:r>
        <w:t xml:space="preserve">This means: after 75 minutes, your cortisol has dropped by half. After 150 minutes, it’s at 25%. The curve is exponential — fast initial drop, then gradual return to baseline. Active calming (breathing, grounding) accelerates this process by boosting parasympathetic activity, effectively increasing</w:t>
      </w:r>
      <w:r>
        <w:t xml:space="preserve"> </w:t>
      </w:r>
      <m:oMath>
        <m:r>
          <m:t>λ</m:t>
        </m:r>
      </m:oMath>
      <w:r>
        <w:t xml:space="preserve">. You can’t wish cortisol away, but you can help your body clear it faster.</w:t>
      </w:r>
    </w:p>
    <w:p>
      <w:pPr>
        <w:pStyle w:val="CaptionedFigure"/>
      </w:pPr>
      <w:r>
        <w:drawing>
          <wp:inline>
            <wp:extent cx="5334000" cy="3189153"/>
            <wp:effectExtent b="0" l="0" r="0" t="0"/>
            <wp:docPr descr="Stress Decay Curve — cortisol decay with and without active calming" title="" id="88" name="Picture"/>
            <a:graphic>
              <a:graphicData uri="http://schemas.openxmlformats.org/drawingml/2006/picture">
                <pic:pic>
                  <pic:nvPicPr>
                    <pic:cNvPr descr="../diagrams/stress_decay_curve.png" id="89" name="Picture"/>
                    <pic:cNvPicPr>
                      <a:picLocks noChangeArrowheads="1" noChangeAspect="1"/>
                    </pic:cNvPicPr>
                  </pic:nvPicPr>
                  <pic:blipFill>
                    <a:blip r:embed="rId87"/>
                    <a:stretch>
                      <a:fillRect/>
                    </a:stretch>
                  </pic:blipFill>
                  <pic:spPr bwMode="auto">
                    <a:xfrm>
                      <a:off x="0" y="0"/>
                      <a:ext cx="5334000" cy="3189153"/>
                    </a:xfrm>
                    <a:prstGeom prst="rect">
                      <a:avLst/>
                    </a:prstGeom>
                    <a:noFill/>
                    <a:ln w="9525">
                      <a:noFill/>
                      <a:headEnd/>
                      <a:tailEnd/>
                    </a:ln>
                  </pic:spPr>
                </pic:pic>
              </a:graphicData>
            </a:graphic>
          </wp:inline>
        </w:drawing>
      </w:r>
    </w:p>
    <w:p>
      <w:pPr>
        <w:pStyle w:val="ImageCaption"/>
      </w:pPr>
      <w:r>
        <w:t xml:space="preserve">Stress Decay Curve — cortisol decay with and without active calming</w:t>
      </w:r>
    </w:p>
    <w:bookmarkEnd w:id="90"/>
    <w:bookmarkStart w:id="101" w:name="breathing-exercises"/>
    <w:p>
      <w:pPr>
        <w:pStyle w:val="Heading2"/>
      </w:pPr>
      <w:r>
        <w:t xml:space="preserve">Breathing Exercises</w:t>
      </w:r>
    </w:p>
    <w:p>
      <w:pPr>
        <w:pStyle w:val="FirstParagraph"/>
      </w:pPr>
      <w:r>
        <w:t xml:space="preserve">Your breath is the one autonomic function you can also control manually. It’s the backdoor into your own nervous system. Use it.</w:t>
      </w:r>
    </w:p>
    <w:p>
      <w:pPr>
        <w:pStyle w:val="CaptionedFigure"/>
      </w:pPr>
      <w:r>
        <w:drawing>
          <wp:inline>
            <wp:extent cx="5334000" cy="1905144"/>
            <wp:effectExtent b="0" l="0" r="0" t="0"/>
            <wp:docPr descr="Breathing Techniques — Box Breathing, 4-7-8, Physiological Sigh" title="" id="92" name="Picture"/>
            <a:graphic>
              <a:graphicData uri="http://schemas.openxmlformats.org/drawingml/2006/picture">
                <pic:pic>
                  <pic:nvPicPr>
                    <pic:cNvPr descr="../diagrams/breathing_techniques.png" id="93" name="Picture"/>
                    <pic:cNvPicPr>
                      <a:picLocks noChangeArrowheads="1" noChangeAspect="1"/>
                    </pic:cNvPicPr>
                  </pic:nvPicPr>
                  <pic:blipFill>
                    <a:blip r:embed="rId91"/>
                    <a:stretch>
                      <a:fillRect/>
                    </a:stretch>
                  </pic:blipFill>
                  <pic:spPr bwMode="auto">
                    <a:xfrm>
                      <a:off x="0" y="0"/>
                      <a:ext cx="5334000" cy="1905144"/>
                    </a:xfrm>
                    <a:prstGeom prst="rect">
                      <a:avLst/>
                    </a:prstGeom>
                    <a:noFill/>
                    <a:ln w="9525">
                      <a:noFill/>
                      <a:headEnd/>
                      <a:tailEnd/>
                    </a:ln>
                  </pic:spPr>
                </pic:pic>
              </a:graphicData>
            </a:graphic>
          </wp:inline>
        </w:drawing>
      </w:r>
    </w:p>
    <w:p>
      <w:pPr>
        <w:pStyle w:val="ImageCaption"/>
      </w:pPr>
      <w:r>
        <w:t xml:space="preserve">Breathing Techniques — Box Breathing, 4-7-8, Physiological Sigh</w:t>
      </w:r>
    </w:p>
    <w:bookmarkStart w:id="95" w:name="technique-1-box-breathing-4-4-4-4"/>
    <w:p>
      <w:pPr>
        <w:pStyle w:val="Heading3"/>
      </w:pPr>
      <w:r>
        <w:t xml:space="preserve">Technique 1: Box Breathing (4-4-4-4)</w:t>
      </w:r>
    </w:p>
    <w:p>
      <w:pPr>
        <w:pStyle w:val="FirstParagraph"/>
      </w:pPr>
      <w:r>
        <w:t xml:space="preserve">Used by Navy SEALs, which means it works under conditions significantly worse than</w:t>
      </w:r>
      <w:r>
        <w:t xml:space="preserve"> </w:t>
      </w:r>
      <w:r>
        <w:t xml:space="preserve">“</w:t>
      </w:r>
      <w:r>
        <w:t xml:space="preserve">sitting in a bathroom.</w:t>
      </w:r>
      <w:r>
        <w:t xml:space="preserve">”</w:t>
      </w:r>
      <w:r>
        <w:t xml:space="preserve"> </w:t>
      </w:r>
      <w:r>
        <w:t xml:space="preserve">The geometry is simple:</w:t>
      </w:r>
    </w:p>
    <w:p>
      <w:pPr>
        <w:pStyle w:val="SourceCode"/>
      </w:pPr>
      <w:r>
        <w:rPr>
          <w:rStyle w:val="VerbatimChar"/>
        </w:rPr>
        <w:t xml:space="preserve">        4 seconds</w:t>
      </w:r>
      <w:r>
        <w:br/>
      </w:r>
      <w:r>
        <w:rPr>
          <w:rStyle w:val="VerbatimChar"/>
        </w:rPr>
        <w:t xml:space="preserve">    ┌──────────────┐</w:t>
      </w:r>
      <w:r>
        <w:br/>
      </w:r>
      <w:r>
        <w:rPr>
          <w:rStyle w:val="VerbatimChar"/>
        </w:rPr>
        <w:t xml:space="preserve">    │              │</w:t>
      </w:r>
      <w:r>
        <w:br/>
      </w:r>
      <w:r>
        <w:rPr>
          <w:rStyle w:val="VerbatimChar"/>
        </w:rPr>
        <w:t xml:space="preserve">    │   INHALE     │ HOLD</w:t>
      </w:r>
      <w:r>
        <w:br/>
      </w:r>
      <w:r>
        <w:rPr>
          <w:rStyle w:val="VerbatimChar"/>
        </w:rPr>
        <w:t xml:space="preserve">    │              │</w:t>
      </w:r>
      <w:r>
        <w:br/>
      </w:r>
      <w:r>
        <w:rPr>
          <w:rStyle w:val="VerbatimChar"/>
        </w:rPr>
        <w:t xml:space="preserve">4   │              │   4</w:t>
      </w:r>
      <w:r>
        <w:br/>
      </w:r>
      <w:r>
        <w:rPr>
          <w:rStyle w:val="VerbatimChar"/>
        </w:rPr>
        <w:t xml:space="preserve">sec │              │ sec</w:t>
      </w:r>
      <w:r>
        <w:br/>
      </w:r>
      <w:r>
        <w:rPr>
          <w:rStyle w:val="VerbatimChar"/>
        </w:rPr>
        <w:t xml:space="preserve">    │              │</w:t>
      </w:r>
      <w:r>
        <w:br/>
      </w:r>
      <w:r>
        <w:rPr>
          <w:rStyle w:val="VerbatimChar"/>
        </w:rPr>
        <w:t xml:space="preserve">    │  EXHALE      │ HOLD</w:t>
      </w:r>
      <w:r>
        <w:br/>
      </w:r>
      <w:r>
        <w:rPr>
          <w:rStyle w:val="VerbatimChar"/>
        </w:rPr>
        <w:t xml:space="preserve">    │              │</w:t>
      </w:r>
      <w:r>
        <w:br/>
      </w:r>
      <w:r>
        <w:rPr>
          <w:rStyle w:val="VerbatimChar"/>
        </w:rPr>
        <w:t xml:space="preserve">    └──────────────┘</w:t>
      </w:r>
      <w:r>
        <w:br/>
      </w:r>
      <w:r>
        <w:rPr>
          <w:rStyle w:val="VerbatimChar"/>
        </w:rPr>
        <w:t xml:space="preserve">        4 seconds</w:t>
      </w:r>
    </w:p>
    <w:p>
      <w:pPr>
        <w:pStyle w:val="Compact"/>
        <w:numPr>
          <w:ilvl w:val="0"/>
          <w:numId w:val="1015"/>
        </w:numPr>
      </w:pPr>
      <w:r>
        <w:t xml:space="preserve">Inhale through the nose for 4 counts.</w:t>
      </w:r>
    </w:p>
    <w:p>
      <w:pPr>
        <w:pStyle w:val="Compact"/>
        <w:numPr>
          <w:ilvl w:val="0"/>
          <w:numId w:val="1015"/>
        </w:numPr>
      </w:pPr>
      <w:r>
        <w:t xml:space="preserve">Hold for 4 counts.</w:t>
      </w:r>
    </w:p>
    <w:p>
      <w:pPr>
        <w:pStyle w:val="Compact"/>
        <w:numPr>
          <w:ilvl w:val="0"/>
          <w:numId w:val="1015"/>
        </w:numPr>
      </w:pPr>
      <w:r>
        <w:t xml:space="preserve">Exhale through the mouth for 4 counts.</w:t>
      </w:r>
    </w:p>
    <w:p>
      <w:pPr>
        <w:pStyle w:val="Compact"/>
        <w:numPr>
          <w:ilvl w:val="0"/>
          <w:numId w:val="1015"/>
        </w:numPr>
      </w:pPr>
      <w:r>
        <w:t xml:space="preserve">Hold for 4 counts.</w:t>
      </w:r>
    </w:p>
    <w:p>
      <w:pPr>
        <w:pStyle w:val="Compact"/>
        <w:numPr>
          <w:ilvl w:val="0"/>
          <w:numId w:val="1015"/>
        </w:numPr>
      </w:pPr>
      <w:r>
        <w:t xml:space="preserve">Repeat 4 cycles (total: ~64 seconds). Don’t rush the counts. If 4 is too long, use 3. If 4 is too easy, use 5. The box shape matters more than the number.</w:t>
      </w:r>
    </w:p>
    <w:p>
      <w:pPr>
        <w:pStyle w:val="FirstParagraph"/>
      </w:pPr>
      <w:r>
        <w:rPr>
          <w:b/>
          <w:bCs/>
        </w:rPr>
        <w:t xml:space="preserve">Efficacy data:</w:t>
      </w:r>
      <w:r>
        <w:t xml:space="preserve"> </w:t>
      </w:r>
      <w:r>
        <w:t xml:space="preserve">Box breathing increases HRV by approximately 15–25% within 5 minutes of practice, indicating a measurable shift toward parasympathetic dominance.</w:t>
      </w:r>
      <w:r>
        <w:rPr>
          <w:rStyle w:val="FootnoteReference"/>
        </w:rPr>
        <w:footnoteReference w:id="94"/>
      </w:r>
      <w:r>
        <w:t xml:space="preserve"> </w:t>
      </w:r>
      <w:r>
        <w:t xml:space="preserve">HRV — heart rate variability — is the gold-standard non-invasive marker of autonomic balance, defined as:</w:t>
      </w:r>
    </w:p>
    <w:p>
      <w:pPr>
        <w:pStyle w:val="BodyText"/>
      </w:pPr>
      <m:oMathPara>
        <m:oMathParaPr>
          <m:jc m:val="center"/>
        </m:oMathParaPr>
        <m:oMath>
          <m:r>
            <m:t>H</m:t>
          </m:r>
          <m:r>
            <m:t>R</m:t>
          </m:r>
          <m:r>
            <m:t>V</m:t>
          </m:r>
          <m:r>
            <m:rPr>
              <m:sty m:val="p"/>
            </m:rPr>
            <m:t>=</m:t>
          </m:r>
          <m:f>
            <m:fPr>
              <m:type m:val="bar"/>
            </m:fPr>
            <m:num>
              <m:r>
                <m:t>S</m:t>
              </m:r>
              <m:sSub>
                <m:e>
                  <m:r>
                    <m:t>D</m:t>
                  </m:r>
                </m:e>
                <m:sub>
                  <m:r>
                    <m:t>R</m:t>
                  </m:r>
                  <m:r>
                    <m:t>R</m:t>
                  </m:r>
                </m:sub>
              </m:sSub>
            </m:num>
            <m:den>
              <m:bar>
                <m:barPr>
                  <m:pos m:val="top"/>
                </m:barPr>
                <m:e>
                  <m:r>
                    <m:t>R</m:t>
                  </m:r>
                  <m:r>
                    <m:t>R</m:t>
                  </m:r>
                </m:e>
              </m:bar>
            </m:den>
          </m:f>
        </m:oMath>
      </m:oMathPara>
    </w:p>
    <w:p>
      <w:pPr>
        <w:pStyle w:val="FirstParagraph"/>
      </w:pPr>
      <w:r>
        <w:t xml:space="preserve">Where</w:t>
      </w:r>
      <w:r>
        <w:t xml:space="preserve"> </w:t>
      </w:r>
      <m:oMath>
        <m:r>
          <m:t>S</m:t>
        </m:r>
        <m:sSub>
          <m:e>
            <m:r>
              <m:t>D</m:t>
            </m:r>
          </m:e>
          <m:sub>
            <m:r>
              <m:t>R</m:t>
            </m:r>
            <m:r>
              <m:t>R</m:t>
            </m:r>
          </m:sub>
        </m:sSub>
      </m:oMath>
      <w:r>
        <w:t xml:space="preserve"> </w:t>
      </w:r>
      <w:r>
        <w:t xml:space="preserve">is the standard deviation of RR intervals (beat-to-beat distances) and</w:t>
      </w:r>
      <w:r>
        <w:t xml:space="preserve"> </w:t>
      </w:r>
      <m:oMath>
        <m:bar>
          <m:barPr>
            <m:pos m:val="top"/>
          </m:barPr>
          <m:e>
            <m:r>
              <m:t>R</m:t>
            </m:r>
            <m:r>
              <m:t>R</m:t>
            </m:r>
          </m:e>
        </m:bar>
      </m:oMath>
      <w:r>
        <w:t xml:space="preserve"> </w:t>
      </w:r>
      <w:r>
        <w:t xml:space="preserve">is the mean interval. Higher HRV = more parasympathetic activity = calmer nervous system. When you breathe slowly and rhythmically, you’re literally increasing the mathematical variability of your heartbeat, which paradoxically means your heart is</w:t>
      </w:r>
      <w:r>
        <w:t xml:space="preserve"> </w:t>
      </w:r>
      <w:r>
        <w:rPr>
          <w:i/>
          <w:iCs/>
        </w:rPr>
        <w:t xml:space="preserve">more</w:t>
      </w:r>
      <w:r>
        <w:t xml:space="preserve"> </w:t>
      </w:r>
      <w:r>
        <w:t xml:space="preserve">adaptable and resilient.</w:t>
      </w:r>
    </w:p>
    <w:bookmarkEnd w:id="95"/>
    <w:bookmarkStart w:id="97" w:name="technique-2-4-7-8-breathing"/>
    <w:p>
      <w:pPr>
        <w:pStyle w:val="Heading3"/>
      </w:pPr>
      <w:r>
        <w:t xml:space="preserve">Technique 2: 4-7-8 Breathing</w:t>
      </w:r>
    </w:p>
    <w:p>
      <w:pPr>
        <w:pStyle w:val="FirstParagraph"/>
      </w:pPr>
      <w:r>
        <w:t xml:space="preserve">A slightly more aggressive calming technique. Good for when box breathing feels too structured and you just need to slow down.</w:t>
      </w:r>
    </w:p>
    <w:p>
      <w:pPr>
        <w:pStyle w:val="Compact"/>
        <w:numPr>
          <w:ilvl w:val="0"/>
          <w:numId w:val="1016"/>
        </w:numPr>
      </w:pPr>
      <w:r>
        <w:t xml:space="preserve">Inhale through the nose for 4 counts.</w:t>
      </w:r>
    </w:p>
    <w:p>
      <w:pPr>
        <w:pStyle w:val="Compact"/>
        <w:numPr>
          <w:ilvl w:val="0"/>
          <w:numId w:val="1016"/>
        </w:numPr>
      </w:pPr>
      <w:r>
        <w:t xml:space="preserve">Hold for 7 counts.</w:t>
      </w:r>
    </w:p>
    <w:p>
      <w:pPr>
        <w:pStyle w:val="Compact"/>
        <w:numPr>
          <w:ilvl w:val="0"/>
          <w:numId w:val="1016"/>
        </w:numPr>
      </w:pPr>
      <w:r>
        <w:t xml:space="preserve">Exhale through the mouth (audibly) for 8 counts.</w:t>
      </w:r>
    </w:p>
    <w:p>
      <w:pPr>
        <w:pStyle w:val="Compact"/>
        <w:numPr>
          <w:ilvl w:val="0"/>
          <w:numId w:val="1016"/>
        </w:numPr>
      </w:pPr>
      <w:r>
        <w:t xml:space="preserve">Repeat 3 cycles. If you feel lightheaded, return to normal breathing — you’ve done enough.</w:t>
      </w:r>
    </w:p>
    <w:p>
      <w:pPr>
        <w:pStyle w:val="FirstParagraph"/>
      </w:pPr>
      <w:r>
        <w:t xml:space="preserve">The extended exhale is the key mechanism. Exhalation activates the vagus nerve (your parasympathetic superhighway), which is why longer exhale-than-inhale patterns are reliably calming. The 7-count hold allows CO₂ to build slightly, which paradoxically improves oxygen delivery to tissues via the Bohr effect — your hemoglobin releases O₂ more readily in slightly more acidic (higher CO₂) environments.</w:t>
      </w:r>
      <w:r>
        <w:rPr>
          <w:rStyle w:val="FootnoteReference"/>
        </w:rPr>
        <w:footnoteReference w:id="96"/>
      </w:r>
    </w:p>
    <w:bookmarkEnd w:id="97"/>
    <w:bookmarkStart w:id="100" w:name="X46b35f0899914ec99078b8151c99d8198847356"/>
    <w:p>
      <w:pPr>
        <w:pStyle w:val="Heading3"/>
      </w:pPr>
      <w:r>
        <w:t xml:space="preserve">Technique 3: Physiological Sigh (Emergency Use)</w:t>
      </w:r>
    </w:p>
    <w:p>
      <w:pPr>
        <w:pStyle w:val="FirstParagraph"/>
      </w:pPr>
      <w:r>
        <w:t xml:space="preserve">Discovered by Dr. Andrew Huberman’s lab at Stanford, this is the fastest known way to reduce real-time physiological arousal — and the only breathing technique with a peer-reviewed RCT demonstrating real-time stress reduction.</w:t>
      </w:r>
      <w:r>
        <w:rPr>
          <w:rStyle w:val="FootnoteReference"/>
        </w:rPr>
        <w:footnoteReference w:id="98"/>
      </w:r>
    </w:p>
    <w:p>
      <w:pPr>
        <w:pStyle w:val="SourceCode"/>
      </w:pPr>
      <w:r>
        <w:rPr>
          <w:rStyle w:val="VerbatimChar"/>
        </w:rPr>
        <w:t xml:space="preserve">    Inhale  →  Inhale  →  Exhale</w:t>
      </w:r>
      <w:r>
        <w:br/>
      </w:r>
      <w:r>
        <w:rPr>
          <w:rStyle w:val="VerbatimChar"/>
        </w:rPr>
        <w:t xml:space="preserve">    (short)    (top-up)    (long)</w:t>
      </w:r>
      <w:r>
        <w:br/>
      </w:r>
      <w:r>
        <w:rPr>
          <w:rStyle w:val="VerbatimChar"/>
        </w:rPr>
        <w:t xml:space="preserve">    ···→       ·→          ←←←←←←</w:t>
      </w:r>
    </w:p>
    <w:p>
      <w:pPr>
        <w:pStyle w:val="FirstParagraph"/>
      </w:pPr>
      <w:r>
        <w:t xml:space="preserve">Two quick inhales through the nose, one long exhale through the mouth. Even one round works. Do 2–3 if you can.</w:t>
      </w:r>
    </w:p>
    <w:p>
      <w:pPr>
        <w:pStyle w:val="BodyText"/>
      </w:pPr>
      <w:r>
        <w:rPr>
          <w:b/>
          <w:bCs/>
        </w:rPr>
        <w:t xml:space="preserve">The mechanism:</w:t>
      </w:r>
      <w:r>
        <w:t xml:space="preserve"> </w:t>
      </w:r>
      <w:r>
        <w:t xml:space="preserve">The double inhale reinflates collapsed alveoli (the tiny air sacs in your lungs), dramatically increasing the surface area available for CO₂ exchange. On the long exhale, you offload CO₂ at an accelerated rate:</w:t>
      </w:r>
    </w:p>
    <w:p>
      <w:pPr>
        <w:pStyle w:val="BodyText"/>
      </w:pPr>
      <m:oMathPara>
        <m:oMathParaPr>
          <m:jc m:val="center"/>
        </m:oMathParaPr>
        <m:oMath>
          <m:sSub>
            <m:e>
              <m:r>
                <m:rPr>
                  <m:nor/>
                  <m:sty m:val="p"/>
                </m:rPr>
                <m:t>CO</m:t>
              </m:r>
            </m:e>
            <m:sub>
              <m:r>
                <m:t>2</m:t>
              </m:r>
            </m:sub>
          </m:sSub>
          <m:r>
            <m:rPr>
              <m:nor/>
              <m:sty m:val="p"/>
            </m:rPr>
            <m:t> offload rate</m:t>
          </m:r>
          <m:r>
            <m:rPr>
              <m:sty m:val="p"/>
            </m:rPr>
            <m:t>∝</m:t>
          </m:r>
          <m:f>
            <m:fPr>
              <m:type m:val="bar"/>
            </m:fPr>
            <m:num>
              <m:sSub>
                <m:e>
                  <m:r>
                    <m:t>A</m:t>
                  </m:r>
                </m:e>
                <m:sub>
                  <m:r>
                    <m:t>a</m:t>
                  </m:r>
                  <m:r>
                    <m:t>l</m:t>
                  </m:r>
                  <m:r>
                    <m:t>v</m:t>
                  </m:r>
                  <m:r>
                    <m:t>e</m:t>
                  </m:r>
                  <m:r>
                    <m:t>o</m:t>
                  </m:r>
                  <m:r>
                    <m:t>l</m:t>
                  </m:r>
                  <m:r>
                    <m:t>i</m:t>
                  </m:r>
                </m:sub>
              </m:sSub>
              <m:r>
                <m:rPr>
                  <m:sty m:val="p"/>
                </m:rPr>
                <m:t>⋅</m:t>
              </m:r>
              <m:r>
                <m:t>Δ</m:t>
              </m:r>
              <m:sSub>
                <m:e>
                  <m:r>
                    <m:t>P</m:t>
                  </m:r>
                </m:e>
                <m:sub>
                  <m:r>
                    <m:t>C</m:t>
                  </m:r>
                  <m:sSub>
                    <m:e>
                      <m:r>
                        <m:t>O</m:t>
                      </m:r>
                    </m:e>
                    <m:sub>
                      <m:r>
                        <m:t>2</m:t>
                      </m:r>
                    </m:sub>
                  </m:sSub>
                </m:sub>
              </m:sSub>
            </m:num>
            <m:den>
              <m:sSub>
                <m:e>
                  <m:r>
                    <m:t>d</m:t>
                  </m:r>
                </m:e>
                <m:sub>
                  <m:r>
                    <m:t>m</m:t>
                  </m:r>
                  <m:r>
                    <m:t>e</m:t>
                  </m:r>
                  <m:r>
                    <m:t>m</m:t>
                  </m:r>
                  <m:r>
                    <m:t>b</m:t>
                  </m:r>
                  <m:r>
                    <m:t>r</m:t>
                  </m:r>
                  <m:r>
                    <m:t>a</m:t>
                  </m:r>
                  <m:r>
                    <m:t>n</m:t>
                  </m:r>
                  <m:r>
                    <m:t>e</m:t>
                  </m:r>
                </m:sub>
              </m:sSub>
            </m:den>
          </m:f>
        </m:oMath>
      </m:oMathPara>
    </w:p>
    <w:p>
      <w:pPr>
        <w:pStyle w:val="FirstParagraph"/>
      </w:pPr>
      <w:r>
        <w:t xml:space="preserve">Where</w:t>
      </w:r>
      <w:r>
        <w:t xml:space="preserve"> </w:t>
      </w:r>
      <m:oMath>
        <m:sSub>
          <m:e>
            <m:r>
              <m:t>A</m:t>
            </m:r>
          </m:e>
          <m:sub>
            <m:r>
              <m:t>a</m:t>
            </m:r>
            <m:r>
              <m:t>l</m:t>
            </m:r>
            <m:r>
              <m:t>v</m:t>
            </m:r>
            <m:r>
              <m:t>e</m:t>
            </m:r>
            <m:r>
              <m:t>o</m:t>
            </m:r>
            <m:r>
              <m:t>l</m:t>
            </m:r>
            <m:r>
              <m:t>i</m:t>
            </m:r>
          </m:sub>
        </m:sSub>
      </m:oMath>
      <w:r>
        <w:t xml:space="preserve"> </w:t>
      </w:r>
      <w:r>
        <w:t xml:space="preserve">is the total alveolar surface area (doubled by the second inhale),</w:t>
      </w:r>
      <w:r>
        <w:t xml:space="preserve"> </w:t>
      </w:r>
      <m:oMath>
        <m:r>
          <m:t>Δ</m:t>
        </m:r>
        <m:sSub>
          <m:e>
            <m:r>
              <m:t>P</m:t>
            </m:r>
          </m:e>
          <m:sub>
            <m:r>
              <m:t>C</m:t>
            </m:r>
            <m:sSub>
              <m:e>
                <m:r>
                  <m:t>O</m:t>
                </m:r>
              </m:e>
              <m:sub>
                <m:r>
                  <m:t>2</m:t>
                </m:r>
              </m:sub>
            </m:sSub>
          </m:sub>
        </m:sSub>
      </m:oMath>
      <w:r>
        <w:t xml:space="preserve"> </w:t>
      </w:r>
      <w:r>
        <w:t xml:space="preserve">is the CO₂ partial pressure gradient, and</w:t>
      </w:r>
      <w:r>
        <w:t xml:space="preserve"> </w:t>
      </w:r>
      <m:oMath>
        <m:sSub>
          <m:e>
            <m:r>
              <m:t>d</m:t>
            </m:r>
          </m:e>
          <m:sub>
            <m:r>
              <m:t>m</m:t>
            </m:r>
            <m:r>
              <m:t>e</m:t>
            </m:r>
            <m:r>
              <m:t>m</m:t>
            </m:r>
            <m:r>
              <m:t>b</m:t>
            </m:r>
            <m:r>
              <m:t>r</m:t>
            </m:r>
            <m:r>
              <m:t>a</m:t>
            </m:r>
            <m:r>
              <m:t>n</m:t>
            </m:r>
            <m:r>
              <m:t>e</m:t>
            </m:r>
          </m:sub>
        </m:sSub>
      </m:oMath>
      <w:r>
        <w:t xml:space="preserve"> </w:t>
      </w:r>
      <w:r>
        <w:t xml:space="preserve">is the diffusion distance across the alveolar-capillary membrane. More surface area + maintained gradient = faster CO₂ clearance = faster heart rate reduction = faster calm. Your heart rate drops. It’s biology, not magic — but it works like magic.</w:t>
      </w:r>
    </w:p>
    <w:p>
      <w:pPr>
        <w:pStyle w:val="BodyText"/>
      </w:pPr>
      <w:r>
        <w:t xml:space="preserve">The Huberman Lab study showed that just 5 minutes of cyclic physiological sighing produced greater reductions in physiological arousal than 5 minutes of mindfulness meditation, making it the most efficient single technique for acute stress.</w:t>
      </w:r>
      <w:r>
        <w:rPr>
          <w:rStyle w:val="FootnoteReference"/>
        </w:rPr>
        <w:footnoteReference w:id="99"/>
      </w:r>
    </w:p>
    <w:bookmarkEnd w:id="100"/>
    <w:bookmarkEnd w:id="101"/>
    <w:bookmarkStart w:id="108" w:name="comfort-inventory"/>
    <w:p>
      <w:pPr>
        <w:pStyle w:val="Heading2"/>
      </w:pPr>
      <w:r>
        <w:t xml:space="preserve">Comfort Inventory</w:t>
      </w:r>
    </w:p>
    <w:p>
      <w:pPr>
        <w:pStyle w:val="FirstParagraph"/>
      </w:pPr>
      <w:r>
        <w:t xml:space="preserve">Once breathing is somewhat regulated, scan your environment for comfort resources. Check what applies:</w:t>
      </w:r>
    </w:p>
    <w:tbl>
      <w:tblPr>
        <w:tblStyle w:val="Table"/>
        <w:tblW w:type="pct" w:w="5000"/>
        <w:jc w:val="left"/>
        <w:tblLayout w:type="fixed"/>
        <w:tblLook w:firstRow="1" w:lastRow="0" w:firstColumn="0" w:lastColumn="0" w:noHBand="0" w:noVBand="0" w:val="0020"/>
      </w:tblPr>
      <w:tblGrid>
        <w:gridCol w:w="1466"/>
        <w:gridCol w:w="1613"/>
        <w:gridCol w:w="1320"/>
        <w:gridCol w:w="3520"/>
      </w:tblGrid>
      <w:tr>
        <w:trPr>
          <w:tblHeader w:val="on"/>
        </w:trPr>
        <w:tc>
          <w:tcPr/>
          <w:p>
            <w:pPr>
              <w:pStyle w:val="Compact"/>
              <w:jc w:val="left"/>
            </w:pPr>
            <w:r>
              <w:t xml:space="preserve">Resource</w:t>
            </w:r>
          </w:p>
        </w:tc>
        <w:tc>
          <w:tcPr/>
          <w:p>
            <w:pPr>
              <w:pStyle w:val="Compact"/>
              <w:jc w:val="left"/>
            </w:pPr>
            <w:r>
              <w:t xml:space="preserve">Available?</w:t>
            </w:r>
          </w:p>
        </w:tc>
        <w:tc>
          <w:tcPr/>
          <w:p>
            <w:pPr>
              <w:pStyle w:val="Compact"/>
              <w:jc w:val="left"/>
            </w:pPr>
            <w:r>
              <w:t xml:space="preserve">Details</w:t>
            </w:r>
          </w:p>
        </w:tc>
        <w:tc>
          <w:tcPr/>
          <w:p>
            <w:pPr>
              <w:pStyle w:val="Compact"/>
              <w:jc w:val="left"/>
            </w:pPr>
            <w:r>
              <w:t xml:space="preserve">Neurochemical mechanism</w:t>
            </w:r>
          </w:p>
        </w:tc>
      </w:tr>
      <w:tr>
        <w:tc>
          <w:tcPr/>
          <w:p>
            <w:pPr>
              <w:pStyle w:val="Compact"/>
              <w:jc w:val="left"/>
            </w:pPr>
            <w:r>
              <w:t xml:space="preserve">Phone charger / power</w:t>
            </w:r>
          </w:p>
        </w:tc>
        <w:tc>
          <w:tcPr/>
          <w:p>
            <w:pPr>
              <w:pStyle w:val="Compact"/>
              <w:jc w:val="left"/>
            </w:pPr>
            <w:r>
              <w:t xml:space="preserve">☐</w:t>
            </w:r>
          </w:p>
        </w:tc>
        <w:tc>
          <w:tcPr/>
          <w:p>
            <w:pPr>
              <w:pStyle w:val="Compact"/>
              <w:jc w:val="left"/>
            </w:pPr>
            <w:r>
              <w:t xml:space="preserve">Find it. A dead phone is a dead lifeline.</w:t>
            </w:r>
          </w:p>
        </w:tc>
        <w:tc>
          <w:tcPr/>
          <w:p>
            <w:pPr>
              <w:pStyle w:val="Compact"/>
              <w:jc w:val="left"/>
            </w:pPr>
            <w:r>
              <w:t xml:space="preserve">—</w:t>
            </w:r>
          </w:p>
        </w:tc>
      </w:tr>
      <w:tr>
        <w:tc>
          <w:tcPr/>
          <w:p>
            <w:pPr>
              <w:pStyle w:val="Compact"/>
              <w:jc w:val="left"/>
            </w:pPr>
            <w:r>
              <w:t xml:space="preserve">WiFi password</w:t>
            </w:r>
          </w:p>
        </w:tc>
        <w:tc>
          <w:tcPr/>
          <w:p>
            <w:pPr>
              <w:pStyle w:val="Compact"/>
              <w:jc w:val="left"/>
            </w:pPr>
            <w:r>
              <w:t xml:space="preserve">☐</w:t>
            </w:r>
          </w:p>
        </w:tc>
        <w:tc>
          <w:tcPr/>
          <w:p>
            <w:pPr>
              <w:pStyle w:val="Compact"/>
              <w:jc w:val="left"/>
            </w:pPr>
            <w:r>
              <w:t xml:space="preserve">Write it here:</w:t>
            </w:r>
            <w:r>
              <w:t xml:space="preserve"> </w:t>
            </w:r>
            <w:r>
              <w:rPr>
                <w:rStyle w:val="VerbatimChar"/>
              </w:rPr>
              <w:t xml:space="preserve">____________________</w:t>
            </w:r>
          </w:p>
        </w:tc>
        <w:tc>
          <w:tcPr/>
          <w:p>
            <w:pPr>
              <w:pStyle w:val="Compact"/>
              <w:jc w:val="left"/>
            </w:pPr>
            <w:r>
              <w:t xml:space="preserve">—</w:t>
            </w:r>
          </w:p>
        </w:tc>
      </w:tr>
      <w:tr>
        <w:tc>
          <w:tcPr/>
          <w:p>
            <w:pPr>
              <w:pStyle w:val="Compact"/>
              <w:jc w:val="left"/>
            </w:pPr>
            <w:r>
              <w:t xml:space="preserve">Comics / graphic novels</w:t>
            </w:r>
          </w:p>
        </w:tc>
        <w:tc>
          <w:tcPr/>
          <w:p>
            <w:pPr>
              <w:pStyle w:val="Compact"/>
              <w:jc w:val="left"/>
            </w:pPr>
            <w:r>
              <w:t xml:space="preserve">☐</w:t>
            </w:r>
          </w:p>
        </w:tc>
        <w:tc>
          <w:tcPr/>
          <w:p>
            <w:pPr>
              <w:pStyle w:val="Compact"/>
              <w:jc w:val="left"/>
            </w:pPr>
            <w:r>
              <w:t xml:space="preserve">Visual stories require less cognitive load than text. Ideal for reboot mode.</w:t>
            </w:r>
          </w:p>
        </w:tc>
        <w:tc>
          <w:tcPr/>
          <w:p>
            <w:pPr>
              <w:pStyle w:val="Compact"/>
              <w:jc w:val="left"/>
            </w:pPr>
            <w:r>
              <w:t xml:space="preserve">Dopamine release from narrative engagement</w:t>
            </w:r>
            <w:r>
              <w:rPr>
                <w:rStyle w:val="FootnoteReference"/>
              </w:rPr>
              <w:footnoteReference w:id="102"/>
            </w:r>
          </w:p>
        </w:tc>
      </w:tr>
      <w:tr>
        <w:tc>
          <w:tcPr/>
          <w:p>
            <w:pPr>
              <w:pStyle w:val="Compact"/>
              <w:jc w:val="left"/>
            </w:pPr>
            <w:r>
              <w:t xml:space="preserve">Books</w:t>
            </w:r>
          </w:p>
        </w:tc>
        <w:tc>
          <w:tcPr/>
          <w:p>
            <w:pPr>
              <w:pStyle w:val="Compact"/>
              <w:jc w:val="left"/>
            </w:pPr>
            <w:r>
              <w:t xml:space="preserve">☐</w:t>
            </w:r>
          </w:p>
        </w:tc>
        <w:tc>
          <w:tcPr/>
          <w:p>
            <w:pPr>
              <w:pStyle w:val="Compact"/>
              <w:jc w:val="left"/>
            </w:pPr>
            <w:r>
              <w:t xml:space="preserve">Fiction &gt; nonfiction right now. Escapism is a feature, not a bug.</w:t>
            </w:r>
          </w:p>
        </w:tc>
        <w:tc>
          <w:tcPr/>
          <w:p>
            <w:pPr>
              <w:pStyle w:val="Compact"/>
              <w:jc w:val="left"/>
            </w:pPr>
            <w:r>
              <w:t xml:space="preserve">Same — plus reduced cortisol from absorption</w:t>
            </w:r>
            <w:r>
              <w:rPr>
                <w:rStyle w:val="FootnoteReference"/>
              </w:rPr>
              <w:footnoteReference w:id="103"/>
            </w:r>
          </w:p>
        </w:tc>
      </w:tr>
      <w:tr>
        <w:tc>
          <w:tcPr/>
          <w:p>
            <w:pPr>
              <w:pStyle w:val="Compact"/>
              <w:jc w:val="left"/>
            </w:pPr>
            <w:r>
              <w:t xml:space="preserve">Seneca + Tao Te Ching</w:t>
            </w:r>
          </w:p>
        </w:tc>
        <w:tc>
          <w:tcPr/>
          <w:p>
            <w:pPr>
              <w:pStyle w:val="Compact"/>
              <w:jc w:val="left"/>
            </w:pPr>
            <w:r>
              <w:t xml:space="preserve">☐</w:t>
            </w:r>
          </w:p>
        </w:tc>
        <w:tc>
          <w:tcPr/>
          <w:p>
            <w:pPr>
              <w:pStyle w:val="Compact"/>
              <w:jc w:val="left"/>
            </w:pPr>
            <w:r>
              <w:t xml:space="preserve">Stoicism and Taoism: the two philosophical traditions that basically invented</w:t>
            </w:r>
            <w:r>
              <w:t xml:space="preserve"> </w:t>
            </w:r>
            <w:r>
              <w:t xml:space="preserve">“</w:t>
            </w:r>
            <w:r>
              <w:t xml:space="preserve">it is what it is, and that’s okay.</w:t>
            </w:r>
            <w:r>
              <w:t xml:space="preserve">”</w:t>
            </w:r>
            <w:r>
              <w:t xml:space="preserve"> </w:t>
            </w:r>
            <w:r>
              <w:t xml:space="preserve">Open either to a random passage. It will be relevant.</w:t>
            </w:r>
          </w:p>
        </w:tc>
        <w:tc>
          <w:tcPr/>
          <w:p>
            <w:pPr>
              <w:pStyle w:val="Compact"/>
              <w:jc w:val="left"/>
            </w:pPr>
            <w:r>
              <w:t xml:space="preserve">Cognitive reframing → reduced amygdala activation</w:t>
            </w:r>
          </w:p>
        </w:tc>
      </w:tr>
      <w:tr>
        <w:tc>
          <w:tcPr/>
          <w:p>
            <w:pPr>
              <w:pStyle w:val="Compact"/>
              <w:jc w:val="left"/>
            </w:pPr>
            <w:r>
              <w:t xml:space="preserve">Local-server resources</w:t>
            </w:r>
          </w:p>
        </w:tc>
        <w:tc>
          <w:tcPr/>
          <w:p>
            <w:pPr>
              <w:pStyle w:val="Compact"/>
              <w:jc w:val="left"/>
            </w:pPr>
            <w:r>
              <w:t xml:space="preserve">☐</w:t>
            </w:r>
          </w:p>
        </w:tc>
        <w:tc>
          <w:tcPr/>
          <w:p>
            <w:pPr>
              <w:pStyle w:val="Compact"/>
              <w:jc w:val="left"/>
            </w:pPr>
            <w:r>
              <w:t xml:space="preserve">If this flat has a NAS, media server, or local wiki — now is the time to remember it exists.</w:t>
            </w:r>
          </w:p>
        </w:tc>
        <w:tc>
          <w:tcPr/>
          <w:p>
            <w:pPr>
              <w:pStyle w:val="Compact"/>
              <w:jc w:val="left"/>
            </w:pPr>
            <w:r>
              <w:t xml:space="preserve">—</w:t>
            </w:r>
          </w:p>
        </w:tc>
      </w:tr>
      <w:tr>
        <w:tc>
          <w:tcPr/>
          <w:p>
            <w:pPr>
              <w:pStyle w:val="Compact"/>
              <w:jc w:val="left"/>
            </w:pPr>
            <w:r>
              <w:t xml:space="preserve">Scent candle</w:t>
            </w:r>
          </w:p>
        </w:tc>
        <w:tc>
          <w:tcPr/>
          <w:p>
            <w:pPr>
              <w:pStyle w:val="Compact"/>
              <w:jc w:val="left"/>
            </w:pPr>
            <w:r>
              <w:t xml:space="preserve">☐</w:t>
            </w:r>
          </w:p>
        </w:tc>
        <w:tc>
          <w:tcPr/>
          <w:p>
            <w:pPr>
              <w:pStyle w:val="Compact"/>
              <w:jc w:val="left"/>
            </w:pPr>
            <w:r>
              <w:t xml:space="preserve">Olfactory stimulation directly affects the limbic system. Light it. Smell it. Neuroscience is on your side.</w:t>
            </w:r>
          </w:p>
        </w:tc>
        <w:tc>
          <w:tcPr/>
          <w:p>
            <w:pPr>
              <w:pStyle w:val="Compact"/>
              <w:jc w:val="left"/>
            </w:pPr>
            <w:r>
              <w:t xml:space="preserve">Olfactory bulb → amygdala → hippocampus (direct pathway, no thalamic relay)</w:t>
            </w:r>
            <w:r>
              <w:rPr>
                <w:rStyle w:val="FootnoteReference"/>
              </w:rPr>
              <w:footnoteReference w:id="104"/>
            </w:r>
          </w:p>
        </w:tc>
      </w:tr>
      <w:tr>
        <w:tc>
          <w:tcPr/>
          <w:p>
            <w:pPr>
              <w:pStyle w:val="Compact"/>
              <w:jc w:val="left"/>
            </w:pPr>
            <w:r>
              <w:t xml:space="preserve">Water (drinking)</w:t>
            </w:r>
          </w:p>
        </w:tc>
        <w:tc>
          <w:tcPr/>
          <w:p>
            <w:pPr>
              <w:pStyle w:val="Compact"/>
              <w:jc w:val="left"/>
            </w:pPr>
            <w:r>
              <w:t xml:space="preserve">☐</w:t>
            </w:r>
          </w:p>
        </w:tc>
        <w:tc>
          <w:tcPr/>
          <w:p>
            <w:pPr>
              <w:pStyle w:val="Compact"/>
              <w:jc w:val="left"/>
            </w:pPr>
            <w:r>
              <w:t xml:space="preserve">Dehydration worsens anxiety. Glass of water &gt; spiral of dread.</w:t>
            </w:r>
          </w:p>
        </w:tc>
        <w:tc>
          <w:tcPr/>
          <w:p>
            <w:pPr>
              <w:pStyle w:val="Compact"/>
              <w:jc w:val="left"/>
            </w:pPr>
            <w:r>
              <w:t xml:space="preserve">Even mild dehydration (1–2% body weight) impairs mood and cognition</w:t>
            </w:r>
            <w:r>
              <w:rPr>
                <w:rStyle w:val="FootnoteReference"/>
              </w:rPr>
              <w:footnoteReference w:id="105"/>
            </w:r>
          </w:p>
        </w:tc>
      </w:tr>
      <w:tr>
        <w:tc>
          <w:tcPr/>
          <w:p>
            <w:pPr>
              <w:pStyle w:val="Compact"/>
              <w:jc w:val="left"/>
            </w:pPr>
            <w:r>
              <w:t xml:space="preserve">Blanket / warm thing</w:t>
            </w:r>
          </w:p>
        </w:tc>
        <w:tc>
          <w:tcPr/>
          <w:p>
            <w:pPr>
              <w:pStyle w:val="Compact"/>
              <w:jc w:val="left"/>
            </w:pPr>
            <w:r>
              <w:t xml:space="preserve">☐</w:t>
            </w:r>
          </w:p>
        </w:tc>
        <w:tc>
          <w:tcPr/>
          <w:p>
            <w:pPr>
              <w:pStyle w:val="Compact"/>
              <w:jc w:val="left"/>
            </w:pPr>
            <w:r>
              <w:t xml:space="preserve">Warmth signals safety to the mammalian brain. Wrap yourself like the burrito you deserve to be.</w:t>
            </w:r>
          </w:p>
        </w:tc>
        <w:tc>
          <w:tcPr/>
          <w:p>
            <w:pPr>
              <w:pStyle w:val="Compact"/>
              <w:jc w:val="left"/>
            </w:pPr>
            <w:r>
              <w:t xml:space="preserve">Oxytocin release from thermal comfort + deep pressure stimulation</w:t>
            </w:r>
            <w:r>
              <w:rPr>
                <w:rStyle w:val="FootnoteReference"/>
              </w:rPr>
              <w:footnoteReference w:id="106"/>
            </w:r>
          </w:p>
        </w:tc>
      </w:tr>
      <w:tr>
        <w:tc>
          <w:tcPr/>
          <w:p>
            <w:pPr>
              <w:pStyle w:val="Compact"/>
              <w:jc w:val="left"/>
            </w:pPr>
            <w:r>
              <w:t xml:space="preserve">Physical touch (pet, person)</w:t>
            </w:r>
          </w:p>
        </w:tc>
        <w:tc>
          <w:tcPr/>
          <w:p>
            <w:pPr>
              <w:pStyle w:val="Compact"/>
              <w:jc w:val="left"/>
            </w:pPr>
            <w:r>
              <w:t xml:space="preserve">☐</w:t>
            </w:r>
          </w:p>
        </w:tc>
        <w:tc>
          <w:tcPr/>
          <w:p>
            <w:pPr>
              <w:pStyle w:val="Compact"/>
              <w:jc w:val="left"/>
            </w:pPr>
            <w:r>
              <w:t xml:space="preserve">If available. Touch releases oxytocin and reduces cortisol.</w:t>
            </w:r>
          </w:p>
        </w:tc>
        <w:tc>
          <w:tcPr/>
          <w:p>
            <w:pPr>
              <w:pStyle w:val="Compact"/>
              <w:jc w:val="left"/>
            </w:pPr>
            <w:r>
              <w:t xml:space="preserve">Oxytocin ↑, Cortisol ↓, C-tactile afferent activation</w:t>
            </w:r>
            <w:r>
              <w:rPr>
                <w:rStyle w:val="FootnoteReference"/>
              </w:rPr>
              <w:footnoteReference w:id="107"/>
            </w:r>
          </w:p>
        </w:tc>
      </w:tr>
    </w:tbl>
    <w:p>
      <w:pPr>
        <w:pStyle w:val="BodyText"/>
      </w:pPr>
      <w:r>
        <w:rPr>
          <w:b/>
          <w:bCs/>
        </w:rPr>
        <w:t xml:space="preserve">Running total:</w:t>
      </w:r>
      <w:r>
        <w:t xml:space="preserve"> </w:t>
      </w:r>
      <w:r>
        <w:t xml:space="preserve">If you checked 3+, you’re above the comfort threshold. If less, the bathroom has walls and a lock — that’s already 2. You’re fine.</w:t>
      </w:r>
    </w:p>
    <w:p>
      <w:pPr>
        <w:pStyle w:val="BodyText"/>
      </w:pPr>
      <w:r>
        <w:rPr>
          <w:b/>
          <w:bCs/>
        </w:rPr>
        <w:t xml:space="preserve">The dopamine-oxytocin axis:</w:t>
      </w:r>
      <w:r>
        <w:t xml:space="preserve"> </w:t>
      </w:r>
      <w:r>
        <w:t xml:space="preserve">Comfort isn’t just</w:t>
      </w:r>
      <w:r>
        <w:t xml:space="preserve"> </w:t>
      </w:r>
      <w:r>
        <w:t xml:space="preserve">“</w:t>
      </w:r>
      <w:r>
        <w:t xml:space="preserve">feeling nice</w:t>
      </w:r>
      <w:r>
        <w:t xml:space="preserve">”</w:t>
      </w:r>
      <w:r>
        <w:t xml:space="preserve"> </w:t>
      </w:r>
      <w:r>
        <w:t xml:space="preserve">— it’s neurochemically mediated. Dopamine provides the motivation and reward signal (</w:t>
      </w:r>
      <w:r>
        <w:t xml:space="preserve">“</w:t>
      </w:r>
      <w:r>
        <w:t xml:space="preserve">this is good, seek more of this</w:t>
      </w:r>
      <w:r>
        <w:t xml:space="preserve">”</w:t>
      </w:r>
      <w:r>
        <w:t xml:space="preserve">), while oxytocin provides the safety and bonding signal (</w:t>
      </w:r>
      <w:r>
        <w:t xml:space="preserve">“</w:t>
      </w:r>
      <w:r>
        <w:t xml:space="preserve">you are connected and protected</w:t>
      </w:r>
      <w:r>
        <w:t xml:space="preserve">”</w:t>
      </w:r>
      <w:r>
        <w:t xml:space="preserve">). Together, they directly counteract the cortisol-adrenaline axis of the stress response. When we say</w:t>
      </w:r>
      <w:r>
        <w:t xml:space="preserve"> </w:t>
      </w:r>
      <w:r>
        <w:t xml:space="preserve">“</w:t>
      </w:r>
      <w:r>
        <w:t xml:space="preserve">comfort yourself,</w:t>
      </w:r>
      <w:r>
        <w:t xml:space="preserve">”</w:t>
      </w:r>
      <w:r>
        <w:t xml:space="preserve"> </w:t>
      </w:r>
      <w:r>
        <w:t xml:space="preserve">we mean</w:t>
      </w:r>
      <w:r>
        <w:t xml:space="preserve"> </w:t>
      </w:r>
      <w:r>
        <w:t xml:space="preserve">“</w:t>
      </w:r>
      <w:r>
        <w:t xml:space="preserve">activate the neurochemical systems that evolved specifically to counteract distress.</w:t>
      </w:r>
      <w:r>
        <w:t xml:space="preserve">”</w:t>
      </w:r>
      <w:r>
        <w:t xml:space="preserve"> </w:t>
      </w:r>
      <w:r>
        <w:t xml:space="preserve">It’s not self-indulgence; it’s pharmacology you can do without a prescription.</w:t>
      </w:r>
    </w:p>
    <w:bookmarkEnd w:id="108"/>
    <w:bookmarkStart w:id="115" w:name="eventually-leaving-the-bathroom"/>
    <w:p>
      <w:pPr>
        <w:pStyle w:val="Heading2"/>
      </w:pPr>
      <w:r>
        <w:t xml:space="preserve">Eventually: Leaving the Bathroom</w:t>
      </w:r>
    </w:p>
    <w:p>
      <w:pPr>
        <w:pStyle w:val="FirstParagraph"/>
      </w:pPr>
      <w:r>
        <w:t xml:space="preserve">You can’t live in here. (You could try, but the logistics deteriorate after hour 3.) At some point, you’ll need to re-enter the world. Here’s how to make that transition survivable.</w:t>
      </w:r>
    </w:p>
    <w:bookmarkStart w:id="109" w:name="conversation-strategies"/>
    <w:p>
      <w:pPr>
        <w:pStyle w:val="Heading3"/>
      </w:pPr>
      <w:r>
        <w:t xml:space="preserve">Conversation Strategies</w:t>
      </w:r>
    </w:p>
    <w:p>
      <w:pPr>
        <w:pStyle w:val="Compact"/>
        <w:numPr>
          <w:ilvl w:val="0"/>
          <w:numId w:val="1017"/>
        </w:numPr>
      </w:pPr>
      <w:r>
        <w:rPr>
          <w:b/>
          <w:bCs/>
        </w:rPr>
        <w:t xml:space="preserve">The deflection:</w:t>
      </w:r>
      <w:r>
        <w:t xml:space="preserve"> </w:t>
      </w:r>
      <w:r>
        <w:t xml:space="preserve">“</w:t>
      </w:r>
      <w:r>
        <w:t xml:space="preserve">Just needed a minute.</w:t>
      </w:r>
      <w:r>
        <w:t xml:space="preserve">”</w:t>
      </w:r>
      <w:r>
        <w:t xml:space="preserve"> </w:t>
      </w:r>
      <w:r>
        <w:t xml:space="preserve">(True, complete, and nobody’s business.)</w:t>
      </w:r>
    </w:p>
    <w:p>
      <w:pPr>
        <w:pStyle w:val="Compact"/>
        <w:numPr>
          <w:ilvl w:val="0"/>
          <w:numId w:val="1017"/>
        </w:numPr>
      </w:pPr>
      <w:r>
        <w:rPr>
          <w:b/>
          <w:bCs/>
        </w:rPr>
        <w:t xml:space="preserve">The redirect:</w:t>
      </w:r>
      <w:r>
        <w:t xml:space="preserve"> </w:t>
      </w:r>
      <w:r>
        <w:t xml:space="preserve">Ask them a question. People love talking about themselves. Your problem is now their monologue.</w:t>
      </w:r>
    </w:p>
    <w:p>
      <w:pPr>
        <w:pStyle w:val="Compact"/>
        <w:numPr>
          <w:ilvl w:val="0"/>
          <w:numId w:val="1017"/>
        </w:numPr>
      </w:pPr>
      <w:r>
        <w:rPr>
          <w:b/>
          <w:bCs/>
        </w:rPr>
        <w:t xml:space="preserve">The honest-lite:</w:t>
      </w:r>
      <w:r>
        <w:t xml:space="preserve"> </w:t>
      </w:r>
      <w:r>
        <w:t xml:space="preserve">“</w:t>
      </w:r>
      <w:r>
        <w:t xml:space="preserve">I’m a bit overwhelmed, but I’m okay.</w:t>
      </w:r>
      <w:r>
        <w:t xml:space="preserve">”</w:t>
      </w:r>
      <w:r>
        <w:t xml:space="preserve"> </w:t>
      </w:r>
      <w:r>
        <w:t xml:space="preserve">(Vulnerable enough to be real, bounded enough to be safe.)</w:t>
      </w:r>
    </w:p>
    <w:bookmarkEnd w:id="109"/>
    <w:bookmarkStart w:id="110" w:name="the-option-of-leaving"/>
    <w:p>
      <w:pPr>
        <w:pStyle w:val="Heading3"/>
      </w:pPr>
      <w:r>
        <w:t xml:space="preserve">The Option of Leaving</w:t>
      </w:r>
    </w:p>
    <w:p>
      <w:pPr>
        <w:pStyle w:val="FirstParagraph"/>
      </w:pPr>
      <w:r>
        <w:t xml:space="preserve">Leaving a social situation is allowed. You are not trapped. You can say:</w:t>
      </w:r>
      <w:r>
        <w:t xml:space="preserve"> </w:t>
      </w:r>
      <w:r>
        <w:t xml:space="preserve">“</w:t>
      </w:r>
      <w:r>
        <w:t xml:space="preserve">I’m going to head out</w:t>
      </w:r>
      <w:r>
        <w:t xml:space="preserve">”</w:t>
      </w:r>
      <w:r>
        <w:t xml:space="preserve"> </w:t>
      </w:r>
      <w:r>
        <w:t xml:space="preserve">or</w:t>
      </w:r>
      <w:r>
        <w:t xml:space="preserve"> </w:t>
      </w:r>
      <w:r>
        <w:t xml:space="preserve">“</w:t>
      </w:r>
      <w:r>
        <w:t xml:space="preserve">I think I’m done for today</w:t>
      </w:r>
      <w:r>
        <w:t xml:space="preserve">”</w:t>
      </w:r>
      <w:r>
        <w:t xml:space="preserve"> </w:t>
      </w:r>
      <w:r>
        <w:t xml:space="preserve">or simply leave.</w:t>
      </w:r>
      <w:r>
        <w:t xml:space="preserve"> </w:t>
      </w:r>
      <w:r>
        <w:t xml:space="preserve">“</w:t>
      </w:r>
      <w:r>
        <w:t xml:space="preserve">Irish goodbye</w:t>
      </w:r>
      <w:r>
        <w:t xml:space="preserve">”</w:t>
      </w:r>
      <w:r>
        <w:t xml:space="preserve"> </w:t>
      </w:r>
      <w:r>
        <w:t xml:space="preserve">is a time-honored tradition with a surprisingly low regret rate.</w:t>
      </w:r>
    </w:p>
    <w:bookmarkEnd w:id="110"/>
    <w:bookmarkStart w:id="111" w:name="seeking-help-how-to-ask"/>
    <w:p>
      <w:pPr>
        <w:pStyle w:val="Heading3"/>
      </w:pPr>
      <w:r>
        <w:t xml:space="preserve">Seeking Help: How to Ask</w:t>
      </w:r>
    </w:p>
    <w:p>
      <w:pPr>
        <w:pStyle w:val="FirstParagraph"/>
      </w:pPr>
      <w:r>
        <w:t xml:space="preserve">Asking for help is a skill, not a character trait. Script:</w:t>
      </w:r>
    </w:p>
    <w:p>
      <w:pPr>
        <w:pStyle w:val="BlockText"/>
      </w:pPr>
      <w:r>
        <w:t xml:space="preserve">“</w:t>
      </w:r>
      <w:r>
        <w:t xml:space="preserve">Hey, I’m going through something right now. I don’t need advice — I just need [someone to listen / a distraction / to not be alone for a bit]. Can you [specific request]?</w:t>
      </w:r>
      <w:r>
        <w:t xml:space="preserve">”</w:t>
      </w:r>
    </w:p>
    <w:p>
      <w:pPr>
        <w:pStyle w:val="FirstParagraph"/>
      </w:pPr>
      <w:r>
        <w:t xml:space="preserve">The specificity is key.</w:t>
      </w:r>
      <w:r>
        <w:t xml:space="preserve"> </w:t>
      </w:r>
      <w:r>
        <w:t xml:space="preserve">“</w:t>
      </w:r>
      <w:r>
        <w:t xml:space="preserve">I need help</w:t>
      </w:r>
      <w:r>
        <w:t xml:space="preserve">”</w:t>
      </w:r>
      <w:r>
        <w:t xml:space="preserve"> </w:t>
      </w:r>
      <w:r>
        <w:t xml:space="preserve">is hard to respond to.</w:t>
      </w:r>
      <w:r>
        <w:t xml:space="preserve"> </w:t>
      </w:r>
      <w:r>
        <w:t xml:space="preserve">“</w:t>
      </w:r>
      <w:r>
        <w:t xml:space="preserve">Can you sit with me for 10 minutes</w:t>
      </w:r>
      <w:r>
        <w:t xml:space="preserve">”</w:t>
      </w:r>
      <w:r>
        <w:t xml:space="preserve"> </w:t>
      </w:r>
      <w:r>
        <w:t xml:space="preserve">is easy.</w:t>
      </w:r>
    </w:p>
    <w:bookmarkEnd w:id="111"/>
    <w:bookmarkStart w:id="112" w:name="being-yourself-is-allowed"/>
    <w:p>
      <w:pPr>
        <w:pStyle w:val="Heading3"/>
      </w:pPr>
      <w:r>
        <w:t xml:space="preserve">Being Yourself Is Allowed</w:t>
      </w:r>
    </w:p>
    <w:p>
      <w:pPr>
        <w:pStyle w:val="FirstParagraph"/>
      </w:pPr>
      <w:r>
        <w:t xml:space="preserve">You are not required to perform okay-ness. Awkwardness is a universal human experience. The person you’re worried about judging you? They once locked themselves in a bathroom too. Everyone has. It’s the great unspoken universal. Welcome to the club.</w:t>
      </w:r>
    </w:p>
    <w:bookmarkEnd w:id="112"/>
    <w:bookmarkStart w:id="113" w:name="smalltalk-toolkit"/>
    <w:p>
      <w:pPr>
        <w:pStyle w:val="Heading3"/>
      </w:pPr>
      <w:r>
        <w:t xml:space="preserve">Smalltalk Toolkit</w:t>
      </w:r>
    </w:p>
    <w:p>
      <w:pPr>
        <w:pStyle w:val="FirstParagraph"/>
      </w:pPr>
      <w:r>
        <w:t xml:space="preserve">Smalltalk is a skill, not a personality trait. It can be learned. Here are three low-effort conversation fuel sources:</w:t>
      </w:r>
    </w:p>
    <w:p>
      <w:pPr>
        <w:pStyle w:val="Compact"/>
        <w:numPr>
          <w:ilvl w:val="0"/>
          <w:numId w:val="1018"/>
        </w:numPr>
      </w:pPr>
      <w:r>
        <w:rPr>
          <w:b/>
          <w:bCs/>
        </w:rPr>
        <w:t xml:space="preserve">This guide.</w:t>
      </w:r>
      <w:r>
        <w:t xml:space="preserve"> </w:t>
      </w:r>
      <w:r>
        <w:t xml:space="preserve">“</w:t>
      </w:r>
      <w:r>
        <w:t xml:space="preserve">I was just reading this emergency guide in the bathroom — yes, really — and it turns out there’s a whole flowchart for anxiety.</w:t>
      </w:r>
      <w:r>
        <w:t xml:space="preserve">”</w:t>
      </w:r>
      <w:r>
        <w:t xml:space="preserve"> </w:t>
      </w:r>
      <w:r>
        <w:t xml:space="preserve">Conversation started. You’re welcome.</w:t>
      </w:r>
    </w:p>
    <w:p>
      <w:pPr>
        <w:pStyle w:val="Compact"/>
        <w:numPr>
          <w:ilvl w:val="0"/>
          <w:numId w:val="1018"/>
        </w:numPr>
      </w:pPr>
      <w:r>
        <w:rPr>
          <w:b/>
          <w:bCs/>
        </w:rPr>
        <w:t xml:space="preserve">Compressed news.</w:t>
      </w:r>
      <w:r>
        <w:t xml:space="preserve"> </w:t>
      </w:r>
      <w:r>
        <w:t xml:space="preserve">Pick one news source you trust, skim the headlines. Knowing three current events gives you 15 minutes of social fuel minimum.</w:t>
      </w:r>
    </w:p>
    <w:p>
      <w:pPr>
        <w:pStyle w:val="Compact"/>
        <w:numPr>
          <w:ilvl w:val="0"/>
          <w:numId w:val="1018"/>
        </w:numPr>
      </w:pPr>
      <w:r>
        <w:rPr>
          <w:b/>
          <w:bCs/>
        </w:rPr>
        <w:t xml:space="preserve">Three safe topics:</w:t>
      </w:r>
      <w:r>
        <w:t xml:space="preserve"> </w:t>
      </w:r>
      <w:r>
        <w:t xml:space="preserve">(a) Food — everyone eats, everyone has opinions. (b) Pets — people will talk about their pets unsolicited. Let them. (c) Media —</w:t>
      </w:r>
      <w:r>
        <w:t xml:space="preserve"> </w:t>
      </w:r>
      <w:r>
        <w:t xml:space="preserve">“</w:t>
      </w:r>
      <w:r>
        <w:t xml:space="preserve">Have you seen anything good lately?</w:t>
      </w:r>
      <w:r>
        <w:t xml:space="preserve">”</w:t>
      </w:r>
      <w:r>
        <w:t xml:space="preserve"> </w:t>
      </w:r>
      <w:r>
        <w:t xml:space="preserve">is a question that works in every timezone.</w:t>
      </w:r>
    </w:p>
    <w:bookmarkEnd w:id="113"/>
    <w:bookmarkStart w:id="114" w:name="nice-places-activities-in-this-flat"/>
    <w:p>
      <w:pPr>
        <w:pStyle w:val="Heading3"/>
      </w:pPr>
      <w:r>
        <w:t xml:space="preserve">Nice Places / Activities in This Flat</w:t>
      </w:r>
    </w:p>
    <w:p>
      <w:pPr>
        <w:pStyle w:val="Compact"/>
        <w:numPr>
          <w:ilvl w:val="0"/>
          <w:numId w:val="1019"/>
        </w:numPr>
      </w:pPr>
      <w:r>
        <w:rPr>
          <w:b/>
          <w:bCs/>
        </w:rPr>
        <w:t xml:space="preserve">Art-consuming:</w:t>
      </w:r>
      <w:r>
        <w:t xml:space="preserve"> </w:t>
      </w:r>
      <w:r>
        <w:t xml:space="preserve">Coffee-table books exist for exactly this purpose. Pick one up. Have opinions about it.</w:t>
      </w:r>
      <w:r>
        <w:t xml:space="preserve"> </w:t>
      </w:r>
      <w:r>
        <w:t xml:space="preserve">“</w:t>
      </w:r>
      <w:r>
        <w:t xml:space="preserve">That’s pretty</w:t>
      </w:r>
      <w:r>
        <w:t xml:space="preserve">”</w:t>
      </w:r>
      <w:r>
        <w:t xml:space="preserve"> </w:t>
      </w:r>
      <w:r>
        <w:t xml:space="preserve">and</w:t>
      </w:r>
      <w:r>
        <w:t xml:space="preserve"> </w:t>
      </w:r>
      <w:r>
        <w:t xml:space="preserve">“</w:t>
      </w:r>
      <w:r>
        <w:t xml:space="preserve">what even is that</w:t>
      </w:r>
      <w:r>
        <w:t xml:space="preserve">”</w:t>
      </w:r>
      <w:r>
        <w:t xml:space="preserve"> </w:t>
      </w:r>
      <w:r>
        <w:t xml:space="preserve">are both valid critical frameworks.</w:t>
      </w:r>
    </w:p>
    <w:p>
      <w:pPr>
        <w:pStyle w:val="Compact"/>
        <w:numPr>
          <w:ilvl w:val="0"/>
          <w:numId w:val="1019"/>
        </w:numPr>
      </w:pPr>
      <w:r>
        <w:rPr>
          <w:b/>
          <w:bCs/>
        </w:rPr>
        <w:t xml:space="preserve">Art-making:</w:t>
      </w:r>
      <w:r>
        <w:t xml:space="preserve"> </w:t>
      </w:r>
      <w:r>
        <w:t xml:space="preserve">If there are drawing materials, a notebook, or even a pen and a receipt — make something. It doesn’t need to be good. It needs to be physical evidence that you exist and made a choice.</w:t>
      </w:r>
    </w:p>
    <w:p>
      <w:pPr>
        <w:pStyle w:val="Compact"/>
        <w:numPr>
          <w:ilvl w:val="0"/>
          <w:numId w:val="1019"/>
        </w:numPr>
      </w:pPr>
      <w:r>
        <w:rPr>
          <w:b/>
          <w:bCs/>
        </w:rPr>
        <w:t xml:space="preserve">Comfy places:</w:t>
      </w:r>
      <w:r>
        <w:t xml:space="preserve"> </w:t>
      </w:r>
      <w:r>
        <w:t xml:space="preserve">Find the best chair, the softest cushion, the warmest corner. Claim it. You’ve earned spatial comfort.</w:t>
      </w:r>
    </w:p>
    <w:p>
      <w:pPr>
        <w:pStyle w:val="Compact"/>
        <w:numPr>
          <w:ilvl w:val="0"/>
          <w:numId w:val="1019"/>
        </w:numPr>
      </w:pPr>
      <w:r>
        <w:rPr>
          <w:b/>
          <w:bCs/>
        </w:rPr>
        <w:t xml:space="preserve">Short rhetorics guide:</w:t>
      </w:r>
      <w:r>
        <w:t xml:space="preserve"> </w:t>
      </w:r>
      <w:r>
        <w:t xml:space="preserve">Listen → Reflect → Respond. That’s it. Don’t prepare your response while they’re talking. Listen. Say back what you heard. Then add your piece. This three-step loop will carry you through 90% of conversations.</w:t>
      </w:r>
    </w:p>
    <w:bookmarkEnd w:id="114"/>
    <w:bookmarkEnd w:id="115"/>
    <w:bookmarkStart w:id="116" w:name="seek-help-now-or-afterwards"/>
    <w:p>
      <w:pPr>
        <w:pStyle w:val="Heading2"/>
      </w:pPr>
      <w:r>
        <w:t xml:space="preserve">Seek Help: Now or Afterwards</w:t>
      </w:r>
    </w:p>
    <w:p>
      <w:pPr>
        <w:pStyle w:val="SourceCode"/>
      </w:pPr>
      <w:r>
        <w:rPr>
          <w:rStyle w:val="VerbatimChar"/>
        </w:rPr>
        <w:t xml:space="preserve">◆ Can this wait?</w:t>
      </w:r>
      <w:r>
        <w:br/>
      </w:r>
      <w:r>
        <w:br/>
      </w:r>
      <w:r>
        <w:rPr>
          <w:rStyle w:val="VerbatimChar"/>
        </w:rPr>
        <w:t xml:space="preserve">    ├─ Someone is in danger right now → Don't wait.</w:t>
      </w:r>
      <w:r>
        <w:br/>
      </w:r>
      <w:r>
        <w:rPr>
          <w:rStyle w:val="VerbatimChar"/>
        </w:rPr>
        <w:t xml:space="preserve">    │                                   Call 112 / 110.</w:t>
      </w:r>
      <w:r>
        <w:br/>
      </w:r>
      <w:r>
        <w:rPr>
          <w:rStyle w:val="VerbatimChar"/>
        </w:rPr>
        <w:t xml:space="preserve">    │                                   → 📍 Self Ambulance Guide (Ch.5)</w:t>
      </w:r>
      <w:r>
        <w:br/>
      </w:r>
      <w:r>
        <w:rPr>
          <w:rStyle w:val="VerbatimChar"/>
        </w:rPr>
        <w:t xml:space="preserve">    │</w:t>
      </w:r>
      <w:r>
        <w:br/>
      </w:r>
      <w:r>
        <w:rPr>
          <w:rStyle w:val="VerbatimChar"/>
        </w:rPr>
        <w:t xml:space="preserve">    ├─ You're in crisis but not in danger → 📍 Professional Support</w:t>
      </w:r>
      <w:r>
        <w:br/>
      </w:r>
      <w:r>
        <w:rPr>
          <w:rStyle w:val="VerbatimChar"/>
        </w:rPr>
        <w:t xml:space="preserve">    │                                       Directory (Ch.7, §14.2)</w:t>
      </w:r>
      <w:r>
        <w:br/>
      </w:r>
      <w:r>
        <w:rPr>
          <w:rStyle w:val="VerbatimChar"/>
        </w:rPr>
        <w:t xml:space="preserve">    │                                       Crisis lines are 24/7.</w:t>
      </w:r>
      <w:r>
        <w:br/>
      </w:r>
      <w:r>
        <w:rPr>
          <w:rStyle w:val="VerbatimChar"/>
        </w:rPr>
        <w:t xml:space="preserve">    │</w:t>
      </w:r>
      <w:r>
        <w:br/>
      </w:r>
      <w:r>
        <w:rPr>
          <w:rStyle w:val="VerbatimChar"/>
        </w:rPr>
        <w:t xml:space="preserve">    └─ It can wait, but it shouldn't wait forever → Make an appointment</w:t>
      </w:r>
      <w:r>
        <w:br/>
      </w:r>
      <w:r>
        <w:rPr>
          <w:rStyle w:val="VerbatimChar"/>
        </w:rPr>
        <w:t xml:space="preserve">                                                    this week. Not next</w:t>
      </w:r>
      <w:r>
        <w:br/>
      </w:r>
      <w:r>
        <w:rPr>
          <w:rStyle w:val="VerbatimChar"/>
        </w:rPr>
        <w:t xml:space="preserve">                                                    week. This week.</w:t>
      </w:r>
      <w:r>
        <w:br/>
      </w:r>
      <w:r>
        <w:rPr>
          <w:rStyle w:val="VerbatimChar"/>
        </w:rPr>
        <w:t xml:space="preserve">                                                    → 📍 Professional Support</w:t>
      </w:r>
      <w:r>
        <w:br/>
      </w:r>
      <w:r>
        <w:rPr>
          <w:rStyle w:val="VerbatimChar"/>
        </w:rPr>
        <w:t xml:space="preserve">                                                      Directory (Ch.7)</w:t>
      </w:r>
    </w:p>
    <w:p>
      <w:pPr>
        <w:pStyle w:val="FirstParagraph"/>
      </w:pPr>
      <w:r>
        <w:rPr>
          <w:b/>
          <w:bCs/>
        </w:rPr>
        <w:t xml:space="preserve">How to reach out (scripts for different situations):</w:t>
      </w:r>
    </w:p>
    <w:p>
      <w:pPr>
        <w:pStyle w:val="Compact"/>
        <w:numPr>
          <w:ilvl w:val="0"/>
          <w:numId w:val="1020"/>
        </w:numPr>
      </w:pPr>
      <w:r>
        <w:rPr>
          <w:b/>
          <w:bCs/>
        </w:rPr>
        <w:t xml:space="preserve">To a friend:</w:t>
      </w:r>
      <w:r>
        <w:t xml:space="preserve"> </w:t>
      </w:r>
      <w:r>
        <w:t xml:space="preserve">“</w:t>
      </w:r>
      <w:r>
        <w:t xml:space="preserve">Hey, I’ve been going through some stuff. Can we talk? No rush, but soon would be good.</w:t>
      </w:r>
      <w:r>
        <w:t xml:space="preserve">”</w:t>
      </w:r>
    </w:p>
    <w:p>
      <w:pPr>
        <w:pStyle w:val="Compact"/>
        <w:numPr>
          <w:ilvl w:val="0"/>
          <w:numId w:val="1020"/>
        </w:numPr>
      </w:pPr>
      <w:r>
        <w:rPr>
          <w:b/>
          <w:bCs/>
        </w:rPr>
        <w:t xml:space="preserve">To a professional:</w:t>
      </w:r>
      <w:r>
        <w:t xml:space="preserve"> </w:t>
      </w:r>
      <w:r>
        <w:t xml:space="preserve">“</w:t>
      </w:r>
      <w:r>
        <w:t xml:space="preserve">I’d like to make an appointment. I’m dealing with [anxiety / a difficult situation / something I’d like to talk through].</w:t>
      </w:r>
      <w:r>
        <w:t xml:space="preserve">”</w:t>
      </w:r>
      <w:r>
        <w:t xml:space="preserve"> </w:t>
      </w:r>
      <w:r>
        <w:t xml:space="preserve">You don’t need the perfect words — they’ve heard worse.</w:t>
      </w:r>
    </w:p>
    <w:p>
      <w:pPr>
        <w:pStyle w:val="Compact"/>
        <w:numPr>
          <w:ilvl w:val="0"/>
          <w:numId w:val="1020"/>
        </w:numPr>
      </w:pPr>
      <w:r>
        <w:rPr>
          <w:b/>
          <w:bCs/>
        </w:rPr>
        <w:t xml:space="preserve">To a crisis line:</w:t>
      </w:r>
      <w:r>
        <w:t xml:space="preserve"> </w:t>
      </w:r>
      <w:r>
        <w:t xml:space="preserve">Just call. They’ll guide the conversation. You literally just need to dial.</w:t>
      </w:r>
    </w:p>
    <w:p>
      <w:pPr>
        <w:pStyle w:val="FirstParagraph"/>
      </w:pPr>
      <w:r>
        <w:t xml:space="preserve">title:</w:t>
      </w:r>
      <w:r>
        <w:t xml:space="preserve"> </w:t>
      </w:r>
      <w:r>
        <w:t xml:space="preserve">“</w:t>
      </w:r>
      <w:r>
        <w:t xml:space="preserve">Self Ambulance Guide</w:t>
      </w:r>
      <w:r>
        <w:t xml:space="preserve">”</w:t>
      </w:r>
      <w:r>
        <w:t xml:space="preserve"> </w:t>
      </w:r>
      <w:r>
        <w:t xml:space="preserve">chapter: 5</w:t>
      </w:r>
      <w:r>
        <w:t xml:space="preserve"> </w:t>
      </w:r>
      <w:r>
        <w:t xml:space="preserve">revision:</w:t>
      </w:r>
      <w:r>
        <w:t xml:space="preserve"> </w:t>
      </w:r>
      <w:r>
        <w:t xml:space="preserve">“</w:t>
      </w:r>
      <w:r>
        <w:t xml:space="preserve">3.2.0</w:t>
      </w:r>
      <w:r>
        <w:t xml:space="preserve">”</w:t>
      </w:r>
      <w:r>
        <w:t xml:space="preserve"> </w:t>
      </w:r>
      <w:r>
        <w:t xml:space="preserve">last_updated:</w:t>
      </w:r>
      <w:r>
        <w:t xml:space="preserve"> </w:t>
      </w:r>
      <w:r>
        <w:t xml:space="preserve">“</w:t>
      </w:r>
      <w:r>
        <w:t xml:space="preserve">2026-05-03</w:t>
      </w:r>
      <w:r>
        <w:t xml:space="preserve">”</w:t>
      </w:r>
      <w:r>
        <w:t xml:space="preserve"> </w:t>
      </w:r>
      <w:r>
        <w:t xml:space="preserve">dependencies:</w:t>
      </w:r>
      <w:r>
        <w:t xml:space="preserve"> </w:t>
      </w:r>
      <w:r>
        <w:t xml:space="preserve">- ../diagrams/triage_flow.png</w:t>
      </w:r>
      <w:r>
        <w:t xml:space="preserve"> </w:t>
      </w:r>
      <w:r>
        <w:t xml:space="preserve">- ../diagrams/triage_priority_heatmap.png</w:t>
      </w:r>
      <w:r>
        <w:t xml:space="preserve"> </w:t>
      </w:r>
      <w:r>
        <w:t xml:space="preserve">- ../diagrams/pain_nrs_correlates.png</w:t>
      </w:r>
      <w:r>
        <w:t xml:space="preserve"> </w:t>
      </w:r>
      <w:r>
        <w:t xml:space="preserve">—</w:t>
      </w:r>
    </w:p>
    <w:bookmarkEnd w:id="116"/>
    <w:bookmarkEnd w:id="117"/>
    <w:bookmarkStart w:id="143" w:name="Xcac9c79d2faa4406d25d25cfaf71508d733cca5"/>
    <w:p>
      <w:pPr>
        <w:pStyle w:val="Heading1"/>
      </w:pPr>
      <w:r>
        <w:t xml:space="preserve">🏥 Self Ambulance Guide — You Are the First Responder (Because You’re the Only One Here)</w:t>
      </w:r>
    </w:p>
    <w:p>
      <w:pPr>
        <w:pStyle w:val="FirstParagraph"/>
      </w:pPr>
      <w:r>
        <w:t xml:space="preserve">The premise of this guide is simple: professional help is not yet present, and something needs doing.</w:t>
      </w:r>
      <w:r>
        <w:t xml:space="preserve"> </w:t>
      </w:r>
      <w:r>
        <w:t xml:space="preserve">“</w:t>
      </w:r>
      <w:r>
        <w:t xml:space="preserve">Self ambulance</w:t>
      </w:r>
      <w:r>
        <w:t xml:space="preserve">”</w:t>
      </w:r>
      <w:r>
        <w:t xml:space="preserve"> </w:t>
      </w:r>
      <w:r>
        <w:t xml:space="preserve">doesn’t mean you replace doctors — it means you stabilize the patient (you) until doctors can take over. Think of yourself as the adhesive bandage of the medical world: temporary, essential, and way better than nothing.</w:t>
      </w:r>
    </w:p>
    <w:p>
      <w:pPr>
        <w:pStyle w:val="CaptionedFigure"/>
      </w:pPr>
      <w:r>
        <w:drawing>
          <wp:inline>
            <wp:extent cx="5334000" cy="3788447"/>
            <wp:effectExtent b="0" l="0" r="0" t="0"/>
            <wp:docPr descr="Self Ambulance Triage Flow" title="" id="119" name="Picture"/>
            <a:graphic>
              <a:graphicData uri="http://schemas.openxmlformats.org/drawingml/2006/picture">
                <pic:pic>
                  <pic:nvPicPr>
                    <pic:cNvPr descr="../diagrams/triage_flow.png" id="120" name="Picture"/>
                    <pic:cNvPicPr>
                      <a:picLocks noChangeArrowheads="1" noChangeAspect="1"/>
                    </pic:cNvPicPr>
                  </pic:nvPicPr>
                  <pic:blipFill>
                    <a:blip r:embed="rId118"/>
                    <a:stretch>
                      <a:fillRect/>
                    </a:stretch>
                  </pic:blipFill>
                  <pic:spPr bwMode="auto">
                    <a:xfrm>
                      <a:off x="0" y="0"/>
                      <a:ext cx="5334000" cy="3788447"/>
                    </a:xfrm>
                    <a:prstGeom prst="rect">
                      <a:avLst/>
                    </a:prstGeom>
                    <a:noFill/>
                    <a:ln w="9525">
                      <a:noFill/>
                      <a:headEnd/>
                      <a:tailEnd/>
                    </a:ln>
                  </pic:spPr>
                </pic:pic>
              </a:graphicData>
            </a:graphic>
          </wp:inline>
        </w:drawing>
      </w:r>
    </w:p>
    <w:p>
      <w:pPr>
        <w:pStyle w:val="ImageCaption"/>
      </w:pPr>
      <w:r>
        <w:t xml:space="preserve">Self Ambulance Triage Flow</w:t>
      </w:r>
    </w:p>
    <w:bookmarkStart w:id="127" w:name="assess-life-threatening"/>
    <w:p>
      <w:pPr>
        <w:pStyle w:val="Heading2"/>
      </w:pPr>
      <w:r>
        <w:t xml:space="preserve">Assess: Life-Threatening?</w:t>
      </w:r>
    </w:p>
    <w:p>
      <w:pPr>
        <w:pStyle w:val="FirstParagraph"/>
      </w:pPr>
      <w:r>
        <w:t xml:space="preserve">Before anything else, run this triage. It takes 10 seconds.</w:t>
      </w:r>
    </w:p>
    <w:p>
      <w:pPr>
        <w:pStyle w:val="SourceCode"/>
      </w:pPr>
      <w:r>
        <w:rPr>
          <w:rStyle w:val="VerbatimChar"/>
        </w:rPr>
        <w:t xml:space="preserve">◆ Is this immediately life-threatening?</w:t>
      </w:r>
      <w:r>
        <w:br/>
      </w:r>
      <w:r>
        <w:br/>
      </w:r>
      <w:r>
        <w:rPr>
          <w:rStyle w:val="VerbatimChar"/>
        </w:rPr>
        <w:t xml:space="preserve">    Signs that say YES:</w:t>
      </w:r>
      <w:r>
        <w:br/>
      </w:r>
      <w:r>
        <w:rPr>
          <w:rStyle w:val="VerbatimChar"/>
        </w:rPr>
        <w:t xml:space="preserve">    ─ Uncontrolled bleeding (sputing / soaking through fabric)</w:t>
      </w:r>
      <w:r>
        <w:br/>
      </w:r>
      <w:r>
        <w:rPr>
          <w:rStyle w:val="VerbatimChar"/>
        </w:rPr>
        <w:t xml:space="preserve">    ─ Difficulty breathing or no breathing</w:t>
      </w:r>
      <w:r>
        <w:br/>
      </w:r>
      <w:r>
        <w:rPr>
          <w:rStyle w:val="VerbatimChar"/>
        </w:rPr>
        <w:t xml:space="preserve">    ─ Loss of consciousness, unresponsive</w:t>
      </w:r>
      <w:r>
        <w:br/>
      </w:r>
      <w:r>
        <w:rPr>
          <w:rStyle w:val="VerbatimChar"/>
        </w:rPr>
        <w:t xml:space="preserve">    ─ Chest pain + jaw/arm pain + sweating + nausea</w:t>
      </w:r>
      <w:r>
        <w:br/>
      </w:r>
      <w:r>
        <w:rPr>
          <w:rStyle w:val="VerbatimChar"/>
        </w:rPr>
        <w:t xml:space="preserve">    ─ Seizure in progress</w:t>
      </w:r>
      <w:r>
        <w:br/>
      </w:r>
      <w:r>
        <w:rPr>
          <w:rStyle w:val="VerbatimChar"/>
        </w:rPr>
        <w:t xml:space="preserve">    ─ Severe head injury with confusion or vomiting</w:t>
      </w:r>
      <w:r>
        <w:br/>
      </w:r>
      <w:r>
        <w:rPr>
          <w:rStyle w:val="VerbatimChar"/>
        </w:rPr>
        <w:t xml:space="preserve">    ─ Suspected spinal injury (numbness, can't move limbs)</w:t>
      </w:r>
      <w:r>
        <w:br/>
      </w:r>
      <w:r>
        <w:br/>
      </w:r>
      <w:r>
        <w:rPr>
          <w:rStyle w:val="VerbatimChar"/>
        </w:rPr>
        <w:t xml:space="preserve">    ├─ YES → Call 112 immediately (or 110 if police needed).</w:t>
      </w:r>
      <w:r>
        <w:br/>
      </w:r>
      <w:r>
        <w:rPr>
          <w:rStyle w:val="VerbatimChar"/>
        </w:rPr>
        <w:t xml:space="preserve">    │         Do not finish reading this guide first.</w:t>
      </w:r>
      <w:r>
        <w:br/>
      </w:r>
      <w:r>
        <w:rPr>
          <w:rStyle w:val="VerbatimChar"/>
        </w:rPr>
        <w:t xml:space="preserve">    │         Speakerphone is your friend — dial, then follow</w:t>
      </w:r>
      <w:r>
        <w:br/>
      </w:r>
      <w:r>
        <w:rPr>
          <w:rStyle w:val="VerbatimChar"/>
        </w:rPr>
        <w:t xml:space="preserve">    │         dispatcher instructions while keeping hands free.</w:t>
      </w:r>
      <w:r>
        <w:br/>
      </w:r>
      <w:r>
        <w:rPr>
          <w:rStyle w:val="VerbatimChar"/>
        </w:rPr>
        <w:t xml:space="preserve">    │</w:t>
      </w:r>
      <w:r>
        <w:br/>
      </w:r>
      <w:r>
        <w:rPr>
          <w:rStyle w:val="VerbatimChar"/>
        </w:rPr>
        <w:t xml:space="preserve">    └─ NO → Continue to Basic First Aid.</w:t>
      </w:r>
    </w:p>
    <w:p>
      <w:pPr>
        <w:pStyle w:val="FirstParagraph"/>
      </w:pPr>
      <w:r>
        <w:rPr>
          <w:b/>
          <w:bCs/>
        </w:rPr>
        <w:t xml:space="preserve">The 10-second rule:</w:t>
      </w:r>
      <w:r>
        <w:t xml:space="preserve"> </w:t>
      </w:r>
      <w:r>
        <w:t xml:space="preserve">If you’re unsure whether it’s life-threatening, treat it as if it is. Call 112. Dispatchers would rather talk you through a false alarm than not get the call for a real one. You are not wasting their time. That’s literally what they’re there for.</w:t>
      </w:r>
    </w:p>
    <w:bookmarkStart w:id="126" w:name="triage-priority-heatmap"/>
    <w:p>
      <w:pPr>
        <w:pStyle w:val="Heading3"/>
      </w:pPr>
      <w:r>
        <w:t xml:space="preserve">Triage Priority Heatmap</w:t>
      </w:r>
    </w:p>
    <w:p>
      <w:pPr>
        <w:pStyle w:val="FirstParagraph"/>
      </w:pPr>
      <w:r>
        <w:t xml:space="preserve">When multiple issues are present simultaneously (you’re bleeding AND anxious AND the room is spinning), you need a priority framework. The triage heatmap uses a 2D matrix of severity × urgency:</w:t>
      </w:r>
      <w:r>
        <w:rPr>
          <w:rStyle w:val="FootnoteReference"/>
        </w:rPr>
        <w:footnoteReference w:id="121"/>
      </w:r>
    </w:p>
    <w:p>
      <w:pPr>
        <w:pStyle w:val="CaptionedFigure"/>
      </w:pPr>
      <w:r>
        <w:drawing>
          <wp:inline>
            <wp:extent cx="5334000" cy="5004171"/>
            <wp:effectExtent b="0" l="0" r="0" t="0"/>
            <wp:docPr descr="Triage Priority Heatmap — severity vs. urgency matrix" title="" id="123" name="Picture"/>
            <a:graphic>
              <a:graphicData uri="http://schemas.openxmlformats.org/drawingml/2006/picture">
                <pic:pic>
                  <pic:nvPicPr>
                    <pic:cNvPr descr="../diagrams/triage_priority_heatmap.png" id="124" name="Picture"/>
                    <pic:cNvPicPr>
                      <a:picLocks noChangeArrowheads="1" noChangeAspect="1"/>
                    </pic:cNvPicPr>
                  </pic:nvPicPr>
                  <pic:blipFill>
                    <a:blip r:embed="rId122"/>
                    <a:stretch>
                      <a:fillRect/>
                    </a:stretch>
                  </pic:blipFill>
                  <pic:spPr bwMode="auto">
                    <a:xfrm>
                      <a:off x="0" y="0"/>
                      <a:ext cx="5334000" cy="5004171"/>
                    </a:xfrm>
                    <a:prstGeom prst="rect">
                      <a:avLst/>
                    </a:prstGeom>
                    <a:noFill/>
                    <a:ln w="9525">
                      <a:noFill/>
                      <a:headEnd/>
                      <a:tailEnd/>
                    </a:ln>
                  </pic:spPr>
                </pic:pic>
              </a:graphicData>
            </a:graphic>
          </wp:inline>
        </w:drawing>
      </w:r>
    </w:p>
    <w:p>
      <w:pPr>
        <w:pStyle w:val="ImageCaption"/>
      </w:pPr>
      <w:r>
        <w:t xml:space="preserve">Triage Priority Heatmap — severity vs. urgency matrix</w:t>
      </w:r>
    </w:p>
    <w:tbl>
      <w:tblPr>
        <w:tblStyle w:val="Table"/>
        <w:tblW w:type="pct" w:w="5000"/>
        <w:jc w:val="left"/>
        <w:tblLayout w:type="fixed"/>
        <w:tblLook w:firstRow="1" w:lastRow="0" w:firstColumn="0" w:lastColumn="0" w:noHBand="0" w:noVBand="0" w:val="0020"/>
      </w:tblPr>
      <w:tblGrid>
        <w:gridCol w:w="2731"/>
        <w:gridCol w:w="3004"/>
        <w:gridCol w:w="2184"/>
      </w:tblGrid>
      <w:tr>
        <w:trPr>
          <w:tblHeader w:val="on"/>
        </w:trPr>
        <w:tc>
          <w:tcPr/>
          <w:p>
            <w:pPr>
              <w:pStyle w:val="Compact"/>
              <w:jc w:val="left"/>
            </w:pPr>
            <w:r>
              <w:t xml:space="preserve">Priority</w:t>
            </w:r>
          </w:p>
        </w:tc>
        <w:tc>
          <w:tcPr/>
          <w:p>
            <w:pPr>
              <w:pStyle w:val="Compact"/>
              <w:jc w:val="left"/>
            </w:pPr>
            <w:r>
              <w:t xml:space="preserve">Condition</w:t>
            </w:r>
          </w:p>
        </w:tc>
        <w:tc>
          <w:tcPr/>
          <w:p>
            <w:pPr>
              <w:pStyle w:val="Compact"/>
              <w:jc w:val="left"/>
            </w:pPr>
            <w:r>
              <w:t xml:space="preserve">Action</w:t>
            </w:r>
          </w:p>
        </w:tc>
      </w:tr>
      <w:tr>
        <w:tc>
          <w:tcPr/>
          <w:p>
            <w:pPr>
              <w:pStyle w:val="Compact"/>
              <w:jc w:val="left"/>
            </w:pPr>
            <w:r>
              <w:rPr>
                <w:b/>
                <w:bCs/>
              </w:rPr>
              <w:t xml:space="preserve">P1 — Immediate</w:t>
            </w:r>
          </w:p>
        </w:tc>
        <w:tc>
          <w:tcPr/>
          <w:p>
            <w:pPr>
              <w:pStyle w:val="Compact"/>
              <w:jc w:val="left"/>
            </w:pPr>
            <w:r>
              <w:t xml:space="preserve">Life-threatening, airway/breathing/circulation compromised</w:t>
            </w:r>
          </w:p>
        </w:tc>
        <w:tc>
          <w:tcPr/>
          <w:p>
            <w:pPr>
              <w:pStyle w:val="Compact"/>
              <w:jc w:val="left"/>
            </w:pPr>
            <w:r>
              <w:t xml:space="preserve">Call 112. Act now.</w:t>
            </w:r>
          </w:p>
        </w:tc>
      </w:tr>
      <w:tr>
        <w:tc>
          <w:tcPr/>
          <w:p>
            <w:pPr>
              <w:pStyle w:val="Compact"/>
              <w:jc w:val="left"/>
            </w:pPr>
            <w:r>
              <w:rPr>
                <w:b/>
                <w:bCs/>
              </w:rPr>
              <w:t xml:space="preserve">P2 — Urgent</w:t>
            </w:r>
          </w:p>
        </w:tc>
        <w:tc>
          <w:tcPr/>
          <w:p>
            <w:pPr>
              <w:pStyle w:val="Compact"/>
              <w:jc w:val="left"/>
            </w:pPr>
            <w:r>
              <w:t xml:space="preserve">Serious but stable; could deteriorate</w:t>
            </w:r>
          </w:p>
        </w:tc>
        <w:tc>
          <w:tcPr/>
          <w:p>
            <w:pPr>
              <w:pStyle w:val="Compact"/>
              <w:jc w:val="left"/>
            </w:pPr>
            <w:r>
              <w:t xml:space="preserve">Call 112 or 116117. Monitor closely.</w:t>
            </w:r>
          </w:p>
        </w:tc>
      </w:tr>
      <w:tr>
        <w:tc>
          <w:tcPr/>
          <w:p>
            <w:pPr>
              <w:pStyle w:val="Compact"/>
              <w:jc w:val="left"/>
            </w:pPr>
            <w:r>
              <w:rPr>
                <w:b/>
                <w:bCs/>
              </w:rPr>
              <w:t xml:space="preserve">P3 — Delayed</w:t>
            </w:r>
          </w:p>
        </w:tc>
        <w:tc>
          <w:tcPr/>
          <w:p>
            <w:pPr>
              <w:pStyle w:val="Compact"/>
              <w:jc w:val="left"/>
            </w:pPr>
            <w:r>
              <w:t xml:space="preserve">Needs treatment but not time-critical</w:t>
            </w:r>
          </w:p>
        </w:tc>
        <w:tc>
          <w:tcPr/>
          <w:p>
            <w:pPr>
              <w:pStyle w:val="Compact"/>
              <w:jc w:val="left"/>
            </w:pPr>
            <w:r>
              <w:t xml:space="preserve">Self-care → seek medical attention within hours.</w:t>
            </w:r>
          </w:p>
        </w:tc>
      </w:tr>
      <w:tr>
        <w:tc>
          <w:tcPr/>
          <w:p>
            <w:pPr>
              <w:pStyle w:val="Compact"/>
              <w:jc w:val="left"/>
            </w:pPr>
            <w:r>
              <w:rPr>
                <w:b/>
                <w:bCs/>
              </w:rPr>
              <w:t xml:space="preserve">P4 — Minor</w:t>
            </w:r>
          </w:p>
        </w:tc>
        <w:tc>
          <w:tcPr/>
          <w:p>
            <w:pPr>
              <w:pStyle w:val="Compact"/>
              <w:jc w:val="left"/>
            </w:pPr>
            <w:r>
              <w:t xml:space="preserve">Discomfort without danger</w:t>
            </w:r>
          </w:p>
        </w:tc>
        <w:tc>
          <w:tcPr/>
          <w:p>
            <w:pPr>
              <w:pStyle w:val="Compact"/>
              <w:jc w:val="left"/>
            </w:pPr>
            <w:r>
              <w:t xml:space="preserve">Self-care → 📍 Calm Guide (Ch.4)</w:t>
            </w:r>
          </w:p>
        </w:tc>
      </w:tr>
    </w:tbl>
    <w:p>
      <w:pPr>
        <w:pStyle w:val="BodyText"/>
      </w:pPr>
      <w:r>
        <w:t xml:space="preserve">The heatmap concept can also be formalized using Bayes’ theorem for triage decisions — calculating the posterior probability that a symptom constellation represents a life-threatening condition given the observed signs:</w:t>
      </w:r>
      <w:r>
        <w:rPr>
          <w:rStyle w:val="FootnoteReference"/>
        </w:rPr>
        <w:footnoteReference w:id="125"/>
      </w:r>
    </w:p>
    <w:p>
      <w:pPr>
        <w:pStyle w:val="BodyText"/>
      </w:pPr>
      <m:oMathPara>
        <m:oMathParaPr>
          <m:jc m:val="center"/>
        </m:oMathParaPr>
        <m:oMath>
          <m:r>
            <m:t>P</m:t>
          </m:r>
          <m:d>
            <m:dPr>
              <m:begChr m:val="("/>
              <m:endChr m:val=")"/>
              <m:sepChr m:val=""/>
              <m:grow/>
            </m:dPr>
            <m:e>
              <m:r>
                <m:rPr>
                  <m:nor/>
                  <m:sty m:val="p"/>
                </m:rPr>
                <m:t>critical</m:t>
              </m:r>
              <m:r>
                <m:rPr>
                  <m:sty m:val="p"/>
                </m:rPr>
                <m:t>∣</m:t>
              </m:r>
              <m:r>
                <m:rPr>
                  <m:nor/>
                  <m:sty m:val="p"/>
                </m:rPr>
                <m:t>signs</m:t>
              </m:r>
            </m:e>
          </m:d>
          <m:r>
            <m:rPr>
              <m:sty m:val="p"/>
            </m:rPr>
            <m:t>=</m:t>
          </m:r>
          <m:f>
            <m:fPr>
              <m:type m:val="bar"/>
            </m:fPr>
            <m:num>
              <m:r>
                <m:t>P</m:t>
              </m:r>
              <m:d>
                <m:dPr>
                  <m:begChr m:val="("/>
                  <m:endChr m:val=")"/>
                  <m:sepChr m:val=""/>
                  <m:grow/>
                </m:dPr>
                <m:e>
                  <m:r>
                    <m:rPr>
                      <m:nor/>
                      <m:sty m:val="p"/>
                    </m:rPr>
                    <m:t>signs</m:t>
                  </m:r>
                  <m:r>
                    <m:rPr>
                      <m:sty m:val="p"/>
                    </m:rPr>
                    <m:t>∣</m:t>
                  </m:r>
                  <m:r>
                    <m:rPr>
                      <m:nor/>
                      <m:sty m:val="p"/>
                    </m:rPr>
                    <m:t>critical</m:t>
                  </m:r>
                </m:e>
              </m:d>
              <m:r>
                <m:rPr>
                  <m:sty m:val="p"/>
                </m:rPr>
                <m:t>⋅</m:t>
              </m:r>
              <m:r>
                <m:t>P</m:t>
              </m:r>
              <m:d>
                <m:dPr>
                  <m:begChr m:val="("/>
                  <m:endChr m:val=")"/>
                  <m:sepChr m:val=""/>
                  <m:grow/>
                </m:dPr>
                <m:e>
                  <m:r>
                    <m:rPr>
                      <m:nor/>
                      <m:sty m:val="p"/>
                    </m:rPr>
                    <m:t>critical</m:t>
                  </m:r>
                </m:e>
              </m:d>
            </m:num>
            <m:den>
              <m:r>
                <m:t>P</m:t>
              </m:r>
              <m:d>
                <m:dPr>
                  <m:begChr m:val="("/>
                  <m:endChr m:val=")"/>
                  <m:sepChr m:val=""/>
                  <m:grow/>
                </m:dPr>
                <m:e>
                  <m:r>
                    <m:rPr>
                      <m:nor/>
                      <m:sty m:val="p"/>
                    </m:rPr>
                    <m:t>signs</m:t>
                  </m:r>
                </m:e>
              </m:d>
            </m:den>
          </m:f>
        </m:oMath>
      </m:oMathPara>
    </w:p>
    <w:p>
      <w:pPr>
        <w:pStyle w:val="FirstParagraph"/>
      </w:pPr>
      <w:r>
        <w:t xml:space="preserve">You don’t need to calculate this — your brain does an approximate version automatically when it says</w:t>
      </w:r>
      <w:r>
        <w:t xml:space="preserve"> </w:t>
      </w:r>
      <w:r>
        <w:t xml:space="preserve">“</w:t>
      </w:r>
      <w:r>
        <w:t xml:space="preserve">this feels really bad.</w:t>
      </w:r>
      <w:r>
        <w:t xml:space="preserve">”</w:t>
      </w:r>
      <w:r>
        <w:t xml:space="preserve"> </w:t>
      </w:r>
      <w:r>
        <w:t xml:space="preserve">Trust that intuition when it pushes you toward P1. The false-positive cost (an unnecessary 112 call) is vastly lower than the false-negative cost (not calling when you should have).</w:t>
      </w:r>
    </w:p>
    <w:bookmarkEnd w:id="126"/>
    <w:bookmarkEnd w:id="127"/>
    <w:bookmarkStart w:id="138" w:name="basic-first-aid-quick-reference"/>
    <w:p>
      <w:pPr>
        <w:pStyle w:val="Heading2"/>
      </w:pPr>
      <w:r>
        <w:t xml:space="preserve">Basic First Aid Quick Reference</w:t>
      </w:r>
    </w:p>
    <w:bookmarkStart w:id="128" w:name="wounds"/>
    <w:p>
      <w:pPr>
        <w:pStyle w:val="Heading3"/>
      </w:pPr>
      <w:r>
        <w:t xml:space="preserve">Wounds</w:t>
      </w:r>
    </w:p>
    <w:p>
      <w:pPr>
        <w:pStyle w:val="SourceCode"/>
      </w:pPr>
      <w:r>
        <w:rPr>
          <w:rStyle w:val="VerbatimChar"/>
        </w:rPr>
        <w:t xml:space="preserve">◆ Is the wound bleeding?</w:t>
      </w:r>
      <w:r>
        <w:br/>
      </w:r>
      <w:r>
        <w:br/>
      </w:r>
      <w:r>
        <w:rPr>
          <w:rStyle w:val="VerbatimChar"/>
        </w:rPr>
        <w:t xml:space="preserve">    ├─ Heavily (soaking through cloth in &lt; 30 seconds)</w:t>
      </w:r>
      <w:r>
        <w:br/>
      </w:r>
      <w:r>
        <w:rPr>
          <w:rStyle w:val="VerbatimChar"/>
        </w:rPr>
        <w:t xml:space="preserve">    │     1. Apply firm, direct pressure with clean cloth.</w:t>
      </w:r>
      <w:r>
        <w:br/>
      </w:r>
      <w:r>
        <w:rPr>
          <w:rStyle w:val="VerbatimChar"/>
        </w:rPr>
        <w:t xml:space="preserve">    │        Do NOT remove the first cloth if it soaks through —</w:t>
      </w:r>
      <w:r>
        <w:br/>
      </w:r>
      <w:r>
        <w:rPr>
          <w:rStyle w:val="VerbatimChar"/>
        </w:rPr>
        <w:t xml:space="preserve">    │        add more on top. Removing it breaks the clot.</w:t>
      </w:r>
      <w:r>
        <w:br/>
      </w:r>
      <w:r>
        <w:rPr>
          <w:rStyle w:val="VerbatimChar"/>
        </w:rPr>
        <w:t xml:space="preserve">    │     2. Elevate the wound above heart level if possible.</w:t>
      </w:r>
      <w:r>
        <w:br/>
      </w:r>
      <w:r>
        <w:rPr>
          <w:rStyle w:val="VerbatimChar"/>
        </w:rPr>
        <w:t xml:space="preserve">    │     3. If limb: apply a tourniquet ONLY if bleeding is</w:t>
      </w:r>
      <w:r>
        <w:br/>
      </w:r>
      <w:r>
        <w:rPr>
          <w:rStyle w:val="VerbatimChar"/>
        </w:rPr>
        <w:t xml:space="preserve">    │        life-threatening and pressure isn't working.</w:t>
      </w:r>
      <w:r>
        <w:br/>
      </w:r>
      <w:r>
        <w:rPr>
          <w:rStyle w:val="VerbatimChar"/>
        </w:rPr>
        <w:t xml:space="preserve">    │        Note the time you applied it. Tell the paramedics.</w:t>
      </w:r>
      <w:r>
        <w:br/>
      </w:r>
      <w:r>
        <w:rPr>
          <w:rStyle w:val="VerbatimChar"/>
        </w:rPr>
        <w:t xml:space="preserve">    │     4. Call 112 if not already done.</w:t>
      </w:r>
      <w:r>
        <w:br/>
      </w:r>
      <w:r>
        <w:rPr>
          <w:rStyle w:val="VerbatimChar"/>
        </w:rPr>
        <w:t xml:space="preserve">    │</w:t>
      </w:r>
      <w:r>
        <w:br/>
      </w:r>
      <w:r>
        <w:rPr>
          <w:rStyle w:val="VerbatimChar"/>
        </w:rPr>
        <w:t xml:space="preserve">    ├─ Moderately (oozing, slow)</w:t>
      </w:r>
      <w:r>
        <w:br/>
      </w:r>
      <w:r>
        <w:rPr>
          <w:rStyle w:val="VerbatimChar"/>
        </w:rPr>
        <w:t xml:space="preserve">    │     1. Clean under cool running water.</w:t>
      </w:r>
      <w:r>
        <w:br/>
      </w:r>
      <w:r>
        <w:rPr>
          <w:rStyle w:val="VerbatimChar"/>
        </w:rPr>
        <w:t xml:space="preserve">    │     2. Apply pressure for 5–10 minutes without peeking.</w:t>
      </w:r>
      <w:r>
        <w:br/>
      </w:r>
      <w:r>
        <w:rPr>
          <w:rStyle w:val="VerbatimChar"/>
        </w:rPr>
        <w:t xml:space="preserve">    │     3. Cover with a sterile bandage or clean cloth.</w:t>
      </w:r>
      <w:r>
        <w:br/>
      </w:r>
      <w:r>
        <w:rPr>
          <w:rStyle w:val="VerbatimChar"/>
        </w:rPr>
        <w:t xml:space="preserve">    │     4. Monitor for signs of infection over next 48 hours:</w:t>
      </w:r>
      <w:r>
        <w:br/>
      </w:r>
      <w:r>
        <w:rPr>
          <w:rStyle w:val="VerbatimChar"/>
        </w:rPr>
        <w:t xml:space="preserve">    │        redness spreading, warmth, red streaks, fever.</w:t>
      </w:r>
      <w:r>
        <w:br/>
      </w:r>
      <w:r>
        <w:rPr>
          <w:rStyle w:val="VerbatimChar"/>
        </w:rPr>
        <w:t xml:space="preserve">    │        If any appear → see a doctor.</w:t>
      </w:r>
      <w:r>
        <w:br/>
      </w:r>
      <w:r>
        <w:rPr>
          <w:rStyle w:val="VerbatimChar"/>
        </w:rPr>
        <w:t xml:space="preserve">    │</w:t>
      </w:r>
      <w:r>
        <w:br/>
      </w:r>
      <w:r>
        <w:rPr>
          <w:rStyle w:val="VerbatimChar"/>
        </w:rPr>
        <w:t xml:space="preserve">    └─ Minor (scratch, small cut)</w:t>
      </w:r>
      <w:r>
        <w:br/>
      </w:r>
      <w:r>
        <w:rPr>
          <w:rStyle w:val="VerbatimChar"/>
        </w:rPr>
        <w:t xml:space="preserve">          1. Clean it. Soap and water &gt; everything else.</w:t>
      </w:r>
      <w:r>
        <w:br/>
      </w:r>
      <w:r>
        <w:rPr>
          <w:rStyle w:val="VerbatimChar"/>
        </w:rPr>
        <w:t xml:space="preserve">          2. Bandage it. Leave it alone.</w:t>
      </w:r>
      <w:r>
        <w:br/>
      </w:r>
      <w:r>
        <w:rPr>
          <w:rStyle w:val="VerbatimChar"/>
        </w:rPr>
        <w:t xml:space="preserve">          3. Check tetanus status if it's been &gt; 10 years</w:t>
      </w:r>
      <w:r>
        <w:br/>
      </w:r>
      <w:r>
        <w:rPr>
          <w:rStyle w:val="VerbatimChar"/>
        </w:rPr>
        <w:t xml:space="preserve">             since your last booster.</w:t>
      </w:r>
    </w:p>
    <w:bookmarkEnd w:id="128"/>
    <w:bookmarkStart w:id="130" w:name="burns"/>
    <w:p>
      <w:pPr>
        <w:pStyle w:val="Heading3"/>
      </w:pPr>
      <w:r>
        <w:t xml:space="preserve">Burns</w:t>
      </w:r>
    </w:p>
    <w:tbl>
      <w:tblPr>
        <w:tblStyle w:val="Table"/>
        <w:tblW w:type="pct" w:w="5000"/>
        <w:jc w:val="left"/>
        <w:tblLayout w:type="fixed"/>
        <w:tblLook w:firstRow="1" w:lastRow="0" w:firstColumn="0" w:lastColumn="0" w:noHBand="0" w:noVBand="0" w:val="0020"/>
      </w:tblPr>
      <w:tblGrid>
        <w:gridCol w:w="1348"/>
        <w:gridCol w:w="1853"/>
        <w:gridCol w:w="1853"/>
        <w:gridCol w:w="2864"/>
      </w:tblGrid>
      <w:tr>
        <w:trPr>
          <w:tblHeader w:val="on"/>
        </w:trPr>
        <w:tc>
          <w:tcPr/>
          <w:p>
            <w:pPr>
              <w:pStyle w:val="Compact"/>
              <w:jc w:val="left"/>
            </w:pPr>
            <w:r>
              <w:t xml:space="preserve">Degree</w:t>
            </w:r>
          </w:p>
        </w:tc>
        <w:tc>
          <w:tcPr/>
          <w:p>
            <w:pPr>
              <w:pStyle w:val="Compact"/>
              <w:jc w:val="left"/>
            </w:pPr>
            <w:r>
              <w:t xml:space="preserve">Appearance</w:t>
            </w:r>
          </w:p>
        </w:tc>
        <w:tc>
          <w:tcPr/>
          <w:p>
            <w:pPr>
              <w:pStyle w:val="Compact"/>
              <w:jc w:val="left"/>
            </w:pPr>
            <w:r>
              <w:t xml:space="preserve">Treatment</w:t>
            </w:r>
          </w:p>
        </w:tc>
        <w:tc>
          <w:tcPr/>
          <w:p>
            <w:pPr>
              <w:pStyle w:val="Compact"/>
              <w:jc w:val="left"/>
            </w:pPr>
            <w:r>
              <w:t xml:space="preserve">When to get help</w:t>
            </w:r>
          </w:p>
        </w:tc>
      </w:tr>
      <w:tr>
        <w:tc>
          <w:tcPr/>
          <w:p>
            <w:pPr>
              <w:pStyle w:val="Compact"/>
              <w:jc w:val="left"/>
            </w:pPr>
            <w:r>
              <w:t xml:space="preserve">1st</w:t>
            </w:r>
          </w:p>
        </w:tc>
        <w:tc>
          <w:tcPr/>
          <w:p>
            <w:pPr>
              <w:pStyle w:val="Compact"/>
              <w:jc w:val="left"/>
            </w:pPr>
            <w:r>
              <w:t xml:space="preserve">Red, painful, no blisters (sunburn-like)</w:t>
            </w:r>
          </w:p>
        </w:tc>
        <w:tc>
          <w:tcPr/>
          <w:p>
            <w:pPr>
              <w:pStyle w:val="Compact"/>
              <w:jc w:val="left"/>
            </w:pPr>
            <w:r>
              <w:t xml:space="preserve">Cool under running water 10–20 min. Not ice. Not butter. Not toothpaste. WATER. Aloe or moisturizer.</w:t>
            </w:r>
          </w:p>
        </w:tc>
        <w:tc>
          <w:tcPr/>
          <w:p>
            <w:pPr>
              <w:pStyle w:val="Compact"/>
              <w:jc w:val="left"/>
            </w:pPr>
            <w:r>
              <w:t xml:space="preserve">Self-care usually sufficient</w:t>
            </w:r>
          </w:p>
        </w:tc>
      </w:tr>
      <w:tr>
        <w:tc>
          <w:tcPr/>
          <w:p>
            <w:pPr>
              <w:pStyle w:val="Compact"/>
              <w:jc w:val="left"/>
            </w:pPr>
            <w:r>
              <w:t xml:space="preserve">2nd</w:t>
            </w:r>
          </w:p>
        </w:tc>
        <w:tc>
          <w:tcPr/>
          <w:p>
            <w:pPr>
              <w:pStyle w:val="Compact"/>
              <w:jc w:val="left"/>
            </w:pPr>
            <w:r>
              <w:t xml:space="preserve">Blisters, very painful, wet-looking</w:t>
            </w:r>
          </w:p>
        </w:tc>
        <w:tc>
          <w:tcPr/>
          <w:p>
            <w:pPr>
              <w:pStyle w:val="Compact"/>
              <w:jc w:val="left"/>
            </w:pPr>
            <w:r>
              <w:t xml:space="preserve">Cool under running water 10–20 min. Do NOT pop blisters. Cover loosely with non-stick material.</w:t>
            </w:r>
          </w:p>
        </w:tc>
        <w:tc>
          <w:tcPr/>
          <w:p>
            <w:pPr>
              <w:pStyle w:val="Compact"/>
              <w:jc w:val="left"/>
            </w:pPr>
            <w:r>
              <w:t xml:space="preserve">Larger than palm or on face/hands/genitals → see doctor</w:t>
            </w:r>
          </w:p>
        </w:tc>
      </w:tr>
      <w:tr>
        <w:tc>
          <w:tcPr/>
          <w:p>
            <w:pPr>
              <w:pStyle w:val="Compact"/>
              <w:jc w:val="left"/>
            </w:pPr>
            <w:r>
              <w:t xml:space="preserve">3rd</w:t>
            </w:r>
          </w:p>
        </w:tc>
        <w:tc>
          <w:tcPr/>
          <w:p>
            <w:pPr>
              <w:pStyle w:val="Compact"/>
              <w:jc w:val="left"/>
            </w:pPr>
            <w:r>
              <w:t xml:space="preserve">White/brown/black, dry, may not hurt (nerve damage)</w:t>
            </w:r>
          </w:p>
        </w:tc>
        <w:tc>
          <w:tcPr/>
          <w:p>
            <w:pPr>
              <w:pStyle w:val="Compact"/>
              <w:jc w:val="left"/>
            </w:pPr>
            <w:r>
              <w:t xml:space="preserve">Do NOT apply water to large burns. Cover loosely with clean cloth.</w:t>
            </w:r>
          </w:p>
        </w:tc>
        <w:tc>
          <w:tcPr/>
          <w:p>
            <w:pPr>
              <w:pStyle w:val="Compact"/>
              <w:jc w:val="left"/>
            </w:pPr>
            <w:r>
              <w:rPr>
                <w:b/>
                <w:bCs/>
              </w:rPr>
              <w:t xml:space="preserve">Call 112. This is not a bathroom fix.</w:t>
            </w:r>
          </w:p>
        </w:tc>
      </w:tr>
    </w:tbl>
    <w:p>
      <w:pPr>
        <w:pStyle w:val="BodyText"/>
      </w:pPr>
      <w:r>
        <w:rPr>
          <w:b/>
          <w:bCs/>
        </w:rPr>
        <w:t xml:space="preserve">Burn surface area estimation:</w:t>
      </w:r>
      <w:r>
        <w:t xml:space="preserve"> </w:t>
      </w:r>
      <w:r>
        <w:t xml:space="preserve">For larger burns, estimate the percentage of total body surface area (TBSA) affected using the Lund-Browder chart, which adjusts for age:</w:t>
      </w:r>
      <w:r>
        <w:rPr>
          <w:rStyle w:val="FootnoteReference"/>
        </w:rPr>
        <w:footnoteReference w:id="129"/>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Body region</w:t>
            </w:r>
          </w:p>
        </w:tc>
        <w:tc>
          <w:tcPr/>
          <w:p>
            <w:pPr>
              <w:pStyle w:val="Compact"/>
              <w:jc w:val="left"/>
            </w:pPr>
            <w:r>
              <w:t xml:space="preserve">Adult % TBSA</w:t>
            </w:r>
          </w:p>
        </w:tc>
      </w:tr>
      <w:tr>
        <w:tc>
          <w:tcPr/>
          <w:p>
            <w:pPr>
              <w:pStyle w:val="Compact"/>
              <w:jc w:val="left"/>
            </w:pPr>
            <w:r>
              <w:t xml:space="preserve">Head</w:t>
            </w:r>
          </w:p>
        </w:tc>
        <w:tc>
          <w:tcPr/>
          <w:p>
            <w:pPr>
              <w:pStyle w:val="Compact"/>
              <w:jc w:val="left"/>
            </w:pPr>
            <w:r>
              <w:t xml:space="preserve">7%</w:t>
            </w:r>
          </w:p>
        </w:tc>
      </w:tr>
      <w:tr>
        <w:tc>
          <w:tcPr/>
          <w:p>
            <w:pPr>
              <w:pStyle w:val="Compact"/>
              <w:jc w:val="left"/>
            </w:pPr>
            <w:r>
              <w:t xml:space="preserve">Each arm</w:t>
            </w:r>
          </w:p>
        </w:tc>
        <w:tc>
          <w:tcPr/>
          <w:p>
            <w:pPr>
              <w:pStyle w:val="Compact"/>
              <w:jc w:val="left"/>
            </w:pPr>
            <w:r>
              <w:t xml:space="preserve">9%</w:t>
            </w:r>
          </w:p>
        </w:tc>
      </w:tr>
      <w:tr>
        <w:tc>
          <w:tcPr/>
          <w:p>
            <w:pPr>
              <w:pStyle w:val="Compact"/>
              <w:jc w:val="left"/>
            </w:pPr>
            <w:r>
              <w:t xml:space="preserve">Anterior trunk</w:t>
            </w:r>
          </w:p>
        </w:tc>
        <w:tc>
          <w:tcPr/>
          <w:p>
            <w:pPr>
              <w:pStyle w:val="Compact"/>
              <w:jc w:val="left"/>
            </w:pPr>
            <w:r>
              <w:t xml:space="preserve">18%</w:t>
            </w:r>
          </w:p>
        </w:tc>
      </w:tr>
      <w:tr>
        <w:tc>
          <w:tcPr/>
          <w:p>
            <w:pPr>
              <w:pStyle w:val="Compact"/>
              <w:jc w:val="left"/>
            </w:pPr>
            <w:r>
              <w:t xml:space="preserve">Posterior trunk</w:t>
            </w:r>
          </w:p>
        </w:tc>
        <w:tc>
          <w:tcPr/>
          <w:p>
            <w:pPr>
              <w:pStyle w:val="Compact"/>
              <w:jc w:val="left"/>
            </w:pPr>
            <w:r>
              <w:t xml:space="preserve">18%</w:t>
            </w:r>
          </w:p>
        </w:tc>
      </w:tr>
      <w:tr>
        <w:tc>
          <w:tcPr/>
          <w:p>
            <w:pPr>
              <w:pStyle w:val="Compact"/>
              <w:jc w:val="left"/>
            </w:pPr>
            <w:r>
              <w:t xml:space="preserve">Each leg</w:t>
            </w:r>
          </w:p>
        </w:tc>
        <w:tc>
          <w:tcPr/>
          <w:p>
            <w:pPr>
              <w:pStyle w:val="Compact"/>
              <w:jc w:val="left"/>
            </w:pPr>
            <w:r>
              <w:t xml:space="preserve">18%</w:t>
            </w:r>
          </w:p>
        </w:tc>
      </w:tr>
      <w:tr>
        <w:tc>
          <w:tcPr/>
          <w:p>
            <w:pPr>
              <w:pStyle w:val="Compact"/>
              <w:jc w:val="left"/>
            </w:pPr>
            <w:r>
              <w:t xml:space="preserve">Perineum</w:t>
            </w:r>
          </w:p>
        </w:tc>
        <w:tc>
          <w:tcPr/>
          <w:p>
            <w:pPr>
              <w:pStyle w:val="Compact"/>
              <w:jc w:val="left"/>
            </w:pPr>
            <w:r>
              <w:t xml:space="preserve">1%</w:t>
            </w:r>
          </w:p>
        </w:tc>
      </w:tr>
    </w:tbl>
    <w:p>
      <w:pPr>
        <w:pStyle w:val="BodyText"/>
      </w:pPr>
      <w:r>
        <w:rPr>
          <w:b/>
          <w:bCs/>
        </w:rPr>
        <w:t xml:space="preserve">Rule of nines (quick estimate):</w:t>
      </w:r>
      <w:r>
        <w:t xml:space="preserve"> </w:t>
      </w:r>
      <w:r>
        <w:t xml:space="preserve">The patient’s palm (including fingers) ≈ 1% TBSA. Count palms to estimate small burns. Burns &gt; 20% TBSA = call 112 immediately (fluid loss, shock risk, infection risk).</w:t>
      </w:r>
    </w:p>
    <w:bookmarkEnd w:id="130"/>
    <w:bookmarkStart w:id="131" w:name="suspected-fractures"/>
    <w:p>
      <w:pPr>
        <w:pStyle w:val="Heading3"/>
      </w:pPr>
      <w:r>
        <w:t xml:space="preserve">Suspected Fractures</w:t>
      </w:r>
    </w:p>
    <w:p>
      <w:pPr>
        <w:pStyle w:val="Compact"/>
        <w:numPr>
          <w:ilvl w:val="0"/>
          <w:numId w:val="1021"/>
        </w:numPr>
      </w:pPr>
      <w:r>
        <w:rPr>
          <w:b/>
          <w:bCs/>
        </w:rPr>
        <w:t xml:space="preserve">Don’t move it.</w:t>
      </w:r>
      <w:r>
        <w:t xml:space="preserve"> </w:t>
      </w:r>
      <w:r>
        <w:t xml:space="preserve">The body part is in the position it’s in for a reason. That reason may include</w:t>
      </w:r>
      <w:r>
        <w:t xml:space="preserve"> </w:t>
      </w:r>
      <w:r>
        <w:t xml:space="preserve">“</w:t>
      </w:r>
      <w:r>
        <w:t xml:space="preserve">broken.</w:t>
      </w:r>
      <w:r>
        <w:t xml:space="preserve">”</w:t>
      </w:r>
      <w:r>
        <w:t xml:space="preserve"> </w:t>
      </w:r>
      <w:r>
        <w:t xml:space="preserve">Moving it adds reasons.</w:t>
      </w:r>
    </w:p>
    <w:p>
      <w:pPr>
        <w:pStyle w:val="Compact"/>
        <w:numPr>
          <w:ilvl w:val="0"/>
          <w:numId w:val="1021"/>
        </w:numPr>
      </w:pPr>
      <w:r>
        <w:rPr>
          <w:b/>
          <w:bCs/>
        </w:rPr>
        <w:t xml:space="preserve">Immobilize.</w:t>
      </w:r>
      <w:r>
        <w:t xml:space="preserve"> </w:t>
      </w:r>
      <w:r>
        <w:t xml:space="preserve">Use whatever’s available — rolled towel, magazine, piece of cardboard — to create a splint that keeps the area from moving. Pad it with cloth. Secure it gently (not tight — you need circulation below the injury site).</w:t>
      </w:r>
    </w:p>
    <w:p>
      <w:pPr>
        <w:pStyle w:val="Compact"/>
        <w:numPr>
          <w:ilvl w:val="0"/>
          <w:numId w:val="1021"/>
        </w:numPr>
      </w:pPr>
      <w:r>
        <w:rPr>
          <w:b/>
          <w:bCs/>
        </w:rPr>
        <w:t xml:space="preserve">Ice.</w:t>
      </w:r>
      <w:r>
        <w:t xml:space="preserve"> </w:t>
      </w:r>
      <w:r>
        <w:t xml:space="preserve">Wrapped in cloth, applied for 20 minutes on / 20 minutes off. Not directly on skin.</w:t>
      </w:r>
    </w:p>
    <w:p>
      <w:pPr>
        <w:pStyle w:val="Compact"/>
        <w:numPr>
          <w:ilvl w:val="0"/>
          <w:numId w:val="1021"/>
        </w:numPr>
      </w:pPr>
      <w:r>
        <w:rPr>
          <w:b/>
          <w:bCs/>
        </w:rPr>
        <w:t xml:space="preserve">Elevate.</w:t>
      </w:r>
      <w:r>
        <w:t xml:space="preserve"> </w:t>
      </w:r>
      <w:r>
        <w:t xml:space="preserve">If it doesn’t hurt more to do so, raise the injured area above heart level to reduce swelling.</w:t>
      </w:r>
    </w:p>
    <w:p>
      <w:pPr>
        <w:pStyle w:val="Compact"/>
        <w:numPr>
          <w:ilvl w:val="0"/>
          <w:numId w:val="1021"/>
        </w:numPr>
      </w:pPr>
      <w:r>
        <w:rPr>
          <w:b/>
          <w:bCs/>
        </w:rPr>
        <w:t xml:space="preserve">Seek medical attention.</w:t>
      </w:r>
      <w:r>
        <w:t xml:space="preserve"> </w:t>
      </w:r>
      <w:r>
        <w:t xml:space="preserve">Fractures need imaging. Your bathroom does not have an X-ray machine (and if it does, we have different questions).</w:t>
      </w:r>
    </w:p>
    <w:bookmarkEnd w:id="131"/>
    <w:bookmarkStart w:id="133" w:name="fast-stroke-assessment-formalized"/>
    <w:p>
      <w:pPr>
        <w:pStyle w:val="Heading3"/>
      </w:pPr>
      <w:r>
        <w:t xml:space="preserve">FAST Stroke Assessment — Formalized</w:t>
      </w:r>
    </w:p>
    <w:p>
      <w:pPr>
        <w:pStyle w:val="FirstParagraph"/>
      </w:pPr>
      <w:r>
        <w:t xml:space="preserve">The FAST assessment is a rapid screening tool for stroke. Time is brain — every minute of untreated stroke destroys approximately 1.9 million neurons.</w:t>
      </w:r>
      <w:r>
        <w:rPr>
          <w:rStyle w:val="FootnoteReference"/>
        </w:rPr>
        <w:footnoteReference w:id="132"/>
      </w:r>
    </w:p>
    <w:tbl>
      <w:tblPr>
        <w:tblStyle w:val="Table"/>
        <w:tblW w:type="pct" w:w="5000"/>
        <w:jc w:val="left"/>
        <w:tblLayout w:type="fixed"/>
        <w:tblLook w:firstRow="1" w:lastRow="0" w:firstColumn="0" w:lastColumn="0" w:noHBand="0" w:noVBand="0" w:val="0020"/>
      </w:tblPr>
      <w:tblGrid>
        <w:gridCol w:w="2722"/>
        <w:gridCol w:w="1485"/>
        <w:gridCol w:w="3712"/>
      </w:tblGrid>
      <w:tr>
        <w:trPr>
          <w:tblHeader w:val="on"/>
        </w:trPr>
        <w:tc>
          <w:tcPr/>
          <w:p>
            <w:pPr>
              <w:pStyle w:val="Compact"/>
              <w:jc w:val="left"/>
            </w:pPr>
            <w:r>
              <w:t xml:space="preserve">Component</w:t>
            </w:r>
          </w:p>
        </w:tc>
        <w:tc>
          <w:tcPr/>
          <w:p>
            <w:pPr>
              <w:pStyle w:val="Compact"/>
              <w:jc w:val="left"/>
            </w:pPr>
            <w:r>
              <w:t xml:space="preserve">Test</w:t>
            </w:r>
          </w:p>
        </w:tc>
        <w:tc>
          <w:tcPr/>
          <w:p>
            <w:pPr>
              <w:pStyle w:val="Compact"/>
              <w:jc w:val="left"/>
            </w:pPr>
            <w:r>
              <w:t xml:space="preserve">Positive sign</w:t>
            </w:r>
          </w:p>
        </w:tc>
      </w:tr>
      <w:tr>
        <w:tc>
          <w:tcPr/>
          <w:p>
            <w:pPr>
              <w:pStyle w:val="Compact"/>
              <w:jc w:val="left"/>
            </w:pPr>
            <w:r>
              <w:rPr>
                <w:b/>
                <w:bCs/>
              </w:rPr>
              <w:t xml:space="preserve">F</w:t>
            </w:r>
            <w:r>
              <w:t xml:space="preserve"> </w:t>
            </w:r>
            <w:r>
              <w:t xml:space="preserve">— Face</w:t>
            </w:r>
          </w:p>
        </w:tc>
        <w:tc>
          <w:tcPr/>
          <w:p>
            <w:pPr>
              <w:pStyle w:val="Compact"/>
              <w:jc w:val="left"/>
            </w:pPr>
            <w:r>
              <w:t xml:space="preserve">Ask the person to smile</w:t>
            </w:r>
          </w:p>
        </w:tc>
        <w:tc>
          <w:tcPr/>
          <w:p>
            <w:pPr>
              <w:pStyle w:val="Compact"/>
              <w:jc w:val="left"/>
            </w:pPr>
            <w:r>
              <w:t xml:space="preserve">One side droops (facial palsy)</w:t>
            </w:r>
          </w:p>
        </w:tc>
      </w:tr>
      <w:tr>
        <w:tc>
          <w:tcPr/>
          <w:p>
            <w:pPr>
              <w:pStyle w:val="Compact"/>
              <w:jc w:val="left"/>
            </w:pPr>
            <w:r>
              <w:rPr>
                <w:b/>
                <w:bCs/>
              </w:rPr>
              <w:t xml:space="preserve">A</w:t>
            </w:r>
            <w:r>
              <w:t xml:space="preserve"> </w:t>
            </w:r>
            <w:r>
              <w:t xml:space="preserve">— Arms</w:t>
            </w:r>
          </w:p>
        </w:tc>
        <w:tc>
          <w:tcPr/>
          <w:p>
            <w:pPr>
              <w:pStyle w:val="Compact"/>
              <w:jc w:val="left"/>
            </w:pPr>
            <w:r>
              <w:t xml:space="preserve">Ask the person to raise both arms</w:t>
            </w:r>
          </w:p>
        </w:tc>
        <w:tc>
          <w:tcPr/>
          <w:p>
            <w:pPr>
              <w:pStyle w:val="Compact"/>
              <w:jc w:val="left"/>
            </w:pPr>
            <w:r>
              <w:t xml:space="preserve">One arm drifts downward</w:t>
            </w:r>
          </w:p>
        </w:tc>
      </w:tr>
      <w:tr>
        <w:tc>
          <w:tcPr/>
          <w:p>
            <w:pPr>
              <w:pStyle w:val="Compact"/>
              <w:jc w:val="left"/>
            </w:pPr>
            <w:r>
              <w:rPr>
                <w:b/>
                <w:bCs/>
              </w:rPr>
              <w:t xml:space="preserve">S</w:t>
            </w:r>
            <w:r>
              <w:t xml:space="preserve"> </w:t>
            </w:r>
            <w:r>
              <w:t xml:space="preserve">— Speech</w:t>
            </w:r>
          </w:p>
        </w:tc>
        <w:tc>
          <w:tcPr/>
          <w:p>
            <w:pPr>
              <w:pStyle w:val="Compact"/>
              <w:jc w:val="left"/>
            </w:pPr>
            <w:r>
              <w:t xml:space="preserve">Ask the person to repeat a simple phrase</w:t>
            </w:r>
          </w:p>
        </w:tc>
        <w:tc>
          <w:tcPr/>
          <w:p>
            <w:pPr>
              <w:pStyle w:val="Compact"/>
              <w:jc w:val="left"/>
            </w:pPr>
            <w:r>
              <w:t xml:space="preserve">Speech slurred or incomprehensible</w:t>
            </w:r>
          </w:p>
        </w:tc>
      </w:tr>
      <w:tr>
        <w:tc>
          <w:tcPr/>
          <w:p>
            <w:pPr>
              <w:pStyle w:val="Compact"/>
              <w:jc w:val="left"/>
            </w:pPr>
            <w:r>
              <w:rPr>
                <w:b/>
                <w:bCs/>
              </w:rPr>
              <w:t xml:space="preserve">T</w:t>
            </w:r>
            <w:r>
              <w:t xml:space="preserve"> </w:t>
            </w:r>
            <w:r>
              <w:t xml:space="preserve">— Time</w:t>
            </w:r>
          </w:p>
        </w:tc>
        <w:tc>
          <w:tcPr/>
          <w:p>
            <w:pPr>
              <w:pStyle w:val="Compact"/>
              <w:jc w:val="left"/>
            </w:pPr>
            <w:r>
              <w:t xml:space="preserve">Note the time symptoms started</w:t>
            </w:r>
          </w:p>
        </w:tc>
        <w:tc>
          <w:tcPr/>
          <w:p>
            <w:pPr>
              <w:pStyle w:val="Compact"/>
              <w:jc w:val="left"/>
            </w:pPr>
            <w:r>
              <w:t xml:space="preserve">Call 112 immediately. Note onset time — it determines treatment eligibility.</w:t>
            </w:r>
          </w:p>
        </w:tc>
      </w:tr>
    </w:tbl>
    <w:p>
      <w:pPr>
        <w:pStyle w:val="BodyText"/>
      </w:pPr>
      <w:r>
        <w:rPr>
          <w:b/>
          <w:bCs/>
        </w:rPr>
        <w:t xml:space="preserve">Key detail:</w:t>
      </w:r>
      <w:r>
        <w:t xml:space="preserve"> </w:t>
      </w:r>
      <w:r>
        <w:t xml:space="preserve">Thrombolytic therapy (clot-busting medication) is most effective within 4.5 hours of symptom onset. The treatment window is:</w:t>
      </w:r>
    </w:p>
    <w:p>
      <w:pPr>
        <w:pStyle w:val="BodyText"/>
      </w:pPr>
      <m:oMathPara>
        <m:oMathParaPr>
          <m:jc m:val="center"/>
        </m:oMathParaPr>
        <m:oMath>
          <m:sSub>
            <m:e>
              <m:r>
                <m:t>t</m:t>
              </m:r>
            </m:e>
            <m:sub>
              <m:r>
                <m:t>t</m:t>
              </m:r>
              <m:r>
                <m:t>r</m:t>
              </m:r>
              <m:r>
                <m:t>e</m:t>
              </m:r>
              <m:r>
                <m:t>a</m:t>
              </m:r>
              <m:r>
                <m:t>t</m:t>
              </m:r>
              <m:r>
                <m:t>m</m:t>
              </m:r>
              <m:r>
                <m:t>e</m:t>
              </m:r>
              <m:r>
                <m:t>n</m:t>
              </m:r>
              <m:r>
                <m:t>t</m:t>
              </m:r>
            </m:sub>
          </m:sSub>
          <m:r>
            <m:rPr>
              <m:sty m:val="p"/>
            </m:rPr>
            <m:t>&lt;</m:t>
          </m:r>
          <m:r>
            <m:t>4.5</m:t>
          </m:r>
          <m:r>
            <m:rPr>
              <m:nor/>
              <m:sty m:val="p"/>
            </m:rPr>
            <m:t> hours from onset</m:t>
          </m:r>
        </m:oMath>
      </m:oMathPara>
    </w:p>
    <w:p>
      <w:pPr>
        <w:pStyle w:val="FirstParagraph"/>
      </w:pPr>
      <w:r>
        <w:t xml:space="preserve">If you don’t know when symptoms started, the clock starts at the last time you</w:t>
      </w:r>
      <w:r>
        <w:t xml:space="preserve"> </w:t>
      </w:r>
      <w:r>
        <w:rPr>
          <w:i/>
          <w:iCs/>
        </w:rPr>
        <w:t xml:space="preserve">know</w:t>
      </w:r>
      <w:r>
        <w:t xml:space="preserve"> </w:t>
      </w:r>
      <w:r>
        <w:t xml:space="preserve">the person was normal. This is why</w:t>
      </w:r>
      <w:r>
        <w:t xml:space="preserve"> </w:t>
      </w:r>
      <w:r>
        <w:t xml:space="preserve">“</w:t>
      </w:r>
      <w:r>
        <w:t xml:space="preserve">Time</w:t>
      </w:r>
      <w:r>
        <w:t xml:space="preserve">”</w:t>
      </w:r>
      <w:r>
        <w:t xml:space="preserve"> </w:t>
      </w:r>
      <w:r>
        <w:t xml:space="preserve">is in the acronym — it’s not just urgency, it’s a literal countdown.</w:t>
      </w:r>
    </w:p>
    <w:bookmarkEnd w:id="133"/>
    <w:bookmarkStart w:id="134" w:name="X255604dd1959d3e6ff38dc53bd320423b4a0fe3"/>
    <w:p>
      <w:pPr>
        <w:pStyle w:val="Heading3"/>
      </w:pPr>
      <w:r>
        <w:t xml:space="preserve">Vital Signs (How to Check If You’re Okay-ish)</w:t>
      </w:r>
    </w:p>
    <w:tbl>
      <w:tblPr>
        <w:tblStyle w:val="Table"/>
        <w:tblW w:type="pct" w:w="5000"/>
        <w:jc w:val="left"/>
        <w:tblLayout w:type="fixed"/>
        <w:tblLook w:firstRow="1" w:lastRow="0" w:firstColumn="0" w:lastColumn="0" w:noHBand="0" w:noVBand="0" w:val="0020"/>
      </w:tblPr>
      <w:tblGrid>
        <w:gridCol w:w="896"/>
        <w:gridCol w:w="1942"/>
        <w:gridCol w:w="1942"/>
        <w:gridCol w:w="1643"/>
        <w:gridCol w:w="1494"/>
      </w:tblGrid>
      <w:tr>
        <w:trPr>
          <w:tblHeader w:val="on"/>
        </w:trPr>
        <w:tc>
          <w:tcPr/>
          <w:p>
            <w:pPr>
              <w:pStyle w:val="Compact"/>
              <w:jc w:val="left"/>
            </w:pPr>
            <w:r>
              <w:t xml:space="preserve">Sign</w:t>
            </w:r>
          </w:p>
        </w:tc>
        <w:tc>
          <w:tcPr/>
          <w:p>
            <w:pPr>
              <w:pStyle w:val="Compact"/>
              <w:jc w:val="left"/>
            </w:pPr>
            <w:r>
              <w:t xml:space="preserve">How to check</w:t>
            </w:r>
          </w:p>
        </w:tc>
        <w:tc>
          <w:tcPr/>
          <w:p>
            <w:pPr>
              <w:pStyle w:val="Compact"/>
              <w:jc w:val="left"/>
            </w:pPr>
            <w:r>
              <w:t xml:space="preserve">Normal range</w:t>
            </w:r>
          </w:p>
        </w:tc>
        <w:tc>
          <w:tcPr/>
          <w:p>
            <w:pPr>
              <w:pStyle w:val="Compact"/>
              <w:jc w:val="left"/>
            </w:pPr>
            <w:r>
              <w:t xml:space="preserve">Concerning</w:t>
            </w:r>
          </w:p>
        </w:tc>
        <w:tc>
          <w:tcPr/>
          <w:p>
            <w:pPr>
              <w:pStyle w:val="Compact"/>
              <w:jc w:val="left"/>
            </w:pPr>
            <w:r>
              <w:t xml:space="preserve">Critical</w:t>
            </w:r>
          </w:p>
        </w:tc>
      </w:tr>
      <w:tr>
        <w:tc>
          <w:tcPr/>
          <w:p>
            <w:pPr>
              <w:pStyle w:val="Compact"/>
              <w:jc w:val="left"/>
            </w:pPr>
            <w:r>
              <w:t xml:space="preserve">Heart rate (HR)</w:t>
            </w:r>
          </w:p>
        </w:tc>
        <w:tc>
          <w:tcPr/>
          <w:p>
            <w:pPr>
              <w:pStyle w:val="Compact"/>
              <w:jc w:val="left"/>
            </w:pPr>
            <w:r>
              <w:t xml:space="preserve">Two fingers on wrist (radial artery) or neck (carotid). Count beats for 15 seconds × 4.</w:t>
            </w:r>
          </w:p>
        </w:tc>
        <w:tc>
          <w:tcPr/>
          <w:p>
            <w:pPr>
              <w:pStyle w:val="Compact"/>
              <w:jc w:val="left"/>
            </w:pPr>
            <m:oMath>
              <m:r>
                <m:t>H</m:t>
              </m:r>
              <m:r>
                <m:t>R</m:t>
              </m:r>
              <m:r>
                <m:rPr>
                  <m:sty m:val="p"/>
                </m:rPr>
                <m:t>∈</m:t>
              </m:r>
              <m:d>
                <m:dPr>
                  <m:begChr m:val="["/>
                  <m:endChr m:val="]"/>
                  <m:sepChr m:val=""/>
                  <m:grow/>
                </m:dPr>
                <m:e>
                  <m:r>
                    <m:t>60</m:t>
                  </m:r>
                  <m:r>
                    <m:rPr>
                      <m:sty m:val="p"/>
                    </m:rPr>
                    <m:t>,</m:t>
                  </m:r>
                  <m:r>
                    <m:t>100</m:t>
                  </m:r>
                </m:e>
              </m:d>
            </m:oMath>
            <w:r>
              <w:t xml:space="preserve"> </w:t>
            </w:r>
            <w:r>
              <w:t xml:space="preserve">bpm</w:t>
            </w:r>
          </w:p>
        </w:tc>
        <w:tc>
          <w:tcPr/>
          <w:p>
            <w:pPr>
              <w:pStyle w:val="Compact"/>
              <w:jc w:val="left"/>
            </w:pPr>
            <m:oMath>
              <m:r>
                <m:rPr>
                  <m:sty m:val="p"/>
                </m:rPr>
                <m:t>&lt;</m:t>
              </m:r>
              <m:r>
                <m:t>50</m:t>
              </m:r>
            </m:oMath>
            <w:r>
              <w:t xml:space="preserve"> </w:t>
            </w:r>
            <w:r>
              <w:t xml:space="preserve">or</w:t>
            </w:r>
            <w:r>
              <w:t xml:space="preserve"> </w:t>
            </w:r>
            <m:oMath>
              <m:r>
                <m:rPr>
                  <m:sty m:val="p"/>
                </m:rPr>
                <m:t>&gt;</m:t>
              </m:r>
              <m:r>
                <m:t>120</m:t>
              </m:r>
            </m:oMath>
            <w:r>
              <w:t xml:space="preserve"> </w:t>
            </w:r>
            <w:r>
              <w:t xml:space="preserve">at rest</w:t>
            </w:r>
          </w:p>
        </w:tc>
        <w:tc>
          <w:tcPr/>
          <w:p>
            <w:pPr>
              <w:pStyle w:val="Compact"/>
              <w:jc w:val="left"/>
            </w:pPr>
            <m:oMath>
              <m:r>
                <m:rPr>
                  <m:sty m:val="p"/>
                </m:rPr>
                <m:t>&lt;</m:t>
              </m:r>
              <m:r>
                <m:t>40</m:t>
              </m:r>
            </m:oMath>
            <w:r>
              <w:t xml:space="preserve"> </w:t>
            </w:r>
            <w:r>
              <w:t xml:space="preserve">or</w:t>
            </w:r>
            <w:r>
              <w:t xml:space="preserve"> </w:t>
            </w:r>
            <m:oMath>
              <m:r>
                <m:rPr>
                  <m:sty m:val="p"/>
                </m:rPr>
                <m:t>&gt;</m:t>
              </m:r>
              <m:r>
                <m:t>150</m:t>
              </m:r>
            </m:oMath>
          </w:p>
        </w:tc>
      </w:tr>
      <w:tr>
        <w:tc>
          <w:tcPr/>
          <w:p>
            <w:pPr>
              <w:pStyle w:val="Compact"/>
              <w:jc w:val="left"/>
            </w:pPr>
            <w:r>
              <w:t xml:space="preserve">Respiratory rate (RR)</w:t>
            </w:r>
          </w:p>
        </w:tc>
        <w:tc>
          <w:tcPr/>
          <w:p>
            <w:pPr>
              <w:pStyle w:val="Compact"/>
              <w:jc w:val="left"/>
            </w:pPr>
            <w:r>
              <w:t xml:space="preserve">Count breaths for 30 seconds × 2. One inhale + exhale = 1.</w:t>
            </w:r>
          </w:p>
        </w:tc>
        <w:tc>
          <w:tcPr/>
          <w:p>
            <w:pPr>
              <w:pStyle w:val="Compact"/>
              <w:jc w:val="left"/>
            </w:pPr>
            <m:oMath>
              <m:r>
                <m:t>R</m:t>
              </m:r>
              <m:r>
                <m:t>R</m:t>
              </m:r>
              <m:r>
                <m:rPr>
                  <m:sty m:val="p"/>
                </m:rPr>
                <m:t>∈</m:t>
              </m:r>
              <m:d>
                <m:dPr>
                  <m:begChr m:val="["/>
                  <m:endChr m:val="]"/>
                  <m:sepChr m:val=""/>
                  <m:grow/>
                </m:dPr>
                <m:e>
                  <m:r>
                    <m:t>12</m:t>
                  </m:r>
                  <m:r>
                    <m:rPr>
                      <m:sty m:val="p"/>
                    </m:rPr>
                    <m:t>,</m:t>
                  </m:r>
                  <m:r>
                    <m:t>20</m:t>
                  </m:r>
                </m:e>
              </m:d>
            </m:oMath>
            <w:r>
              <w:t xml:space="preserve">/min</w:t>
            </w:r>
          </w:p>
        </w:tc>
        <w:tc>
          <w:tcPr/>
          <w:p>
            <w:pPr>
              <w:pStyle w:val="Compact"/>
              <w:jc w:val="left"/>
            </w:pPr>
            <m:oMath>
              <m:r>
                <m:rPr>
                  <m:sty m:val="p"/>
                </m:rPr>
                <m:t>&lt;</m:t>
              </m:r>
              <m:r>
                <m:t>10</m:t>
              </m:r>
            </m:oMath>
            <w:r>
              <w:t xml:space="preserve"> </w:t>
            </w:r>
            <w:r>
              <w:t xml:space="preserve">or</w:t>
            </w:r>
            <w:r>
              <w:t xml:space="preserve"> </w:t>
            </w:r>
            <m:oMath>
              <m:r>
                <m:rPr>
                  <m:sty m:val="p"/>
                </m:rPr>
                <m:t>&gt;</m:t>
              </m:r>
              <m:r>
                <m:t>30</m:t>
              </m:r>
            </m:oMath>
            <w:r>
              <w:t xml:space="preserve">/min</w:t>
            </w:r>
          </w:p>
        </w:tc>
        <w:tc>
          <w:tcPr/>
          <w:p>
            <w:pPr>
              <w:pStyle w:val="Compact"/>
              <w:jc w:val="left"/>
            </w:pPr>
            <m:oMath>
              <m:r>
                <m:rPr>
                  <m:sty m:val="p"/>
                </m:rPr>
                <m:t>&lt;</m:t>
              </m:r>
              <m:r>
                <m:t>8</m:t>
              </m:r>
            </m:oMath>
            <w:r>
              <w:t xml:space="preserve"> </w:t>
            </w:r>
            <w:r>
              <w:t xml:space="preserve">or</w:t>
            </w:r>
            <w:r>
              <w:t xml:space="preserve"> </w:t>
            </w:r>
            <m:oMath>
              <m:r>
                <m:rPr>
                  <m:sty m:val="p"/>
                </m:rPr>
                <m:t>&gt;</m:t>
              </m:r>
              <m:r>
                <m:t>40</m:t>
              </m:r>
            </m:oMath>
            <w:r>
              <w:t xml:space="preserve">/min</w:t>
            </w:r>
          </w:p>
        </w:tc>
      </w:tr>
      <w:tr>
        <w:tc>
          <w:tcPr/>
          <w:p>
            <w:pPr>
              <w:pStyle w:val="Compact"/>
              <w:jc w:val="left"/>
            </w:pPr>
            <w:r>
              <w:t xml:space="preserve">SpO₂ (oxygen saturation)</w:t>
            </w:r>
          </w:p>
        </w:tc>
        <w:tc>
          <w:tcPr/>
          <w:p>
            <w:pPr>
              <w:pStyle w:val="Compact"/>
              <w:jc w:val="left"/>
            </w:pPr>
            <w:r>
              <w:t xml:space="preserve">Pulse oximeter (if available).</w:t>
            </w:r>
          </w:p>
        </w:tc>
        <w:tc>
          <w:tcPr/>
          <w:p>
            <w:pPr>
              <w:pStyle w:val="Compact"/>
              <w:jc w:val="left"/>
            </w:pPr>
            <m:oMath>
              <m:r>
                <m:t>S</m:t>
              </m:r>
              <m:r>
                <m:t>p</m:t>
              </m:r>
              <m:sSub>
                <m:e>
                  <m:r>
                    <m:t>O</m:t>
                  </m:r>
                </m:e>
                <m:sub>
                  <m:r>
                    <m:t>2</m:t>
                  </m:r>
                </m:sub>
              </m:sSub>
              <m:r>
                <m:rPr>
                  <m:sty m:val="p"/>
                </m:rPr>
                <m:t>∈</m:t>
              </m:r>
              <m:d>
                <m:dPr>
                  <m:begChr m:val="["/>
                  <m:endChr m:val="]"/>
                  <m:sepChr m:val=""/>
                  <m:grow/>
                </m:dPr>
                <m:e>
                  <m:r>
                    <m:t>95</m:t>
                  </m:r>
                  <m:r>
                    <m:rPr>
                      <m:sty m:val="p"/>
                    </m:rPr>
                    <m:t>,</m:t>
                  </m:r>
                  <m:r>
                    <m:t>100</m:t>
                  </m:r>
                </m:e>
              </m:d>
            </m:oMath>
            <w:r>
              <w:t xml:space="preserve">%</w:t>
            </w:r>
          </w:p>
        </w:tc>
        <w:tc>
          <w:tcPr/>
          <w:p>
            <w:pPr>
              <w:pStyle w:val="Compact"/>
              <w:jc w:val="left"/>
            </w:pPr>
            <w:r>
              <w:t xml:space="preserve">90–94%</w:t>
            </w:r>
          </w:p>
        </w:tc>
        <w:tc>
          <w:tcPr/>
          <w:p>
            <w:pPr>
              <w:pStyle w:val="Compact"/>
              <w:jc w:val="left"/>
            </w:pPr>
            <m:oMath>
              <m:r>
                <m:rPr>
                  <m:sty m:val="p"/>
                </m:rPr>
                <m:t>&lt;</m:t>
              </m:r>
              <m:r>
                <m:t>90</m:t>
              </m:r>
            </m:oMath>
            <w:r>
              <w:t xml:space="preserve">%</w:t>
            </w:r>
          </w:p>
        </w:tc>
      </w:tr>
      <w:tr>
        <w:tc>
          <w:tcPr/>
          <w:p>
            <w:pPr>
              <w:pStyle w:val="Compact"/>
              <w:jc w:val="left"/>
            </w:pPr>
            <w:r>
              <w:t xml:space="preserve">Blood pressure (BP)</w:t>
            </w:r>
          </w:p>
        </w:tc>
        <w:tc>
          <w:tcPr/>
          <w:p>
            <w:pPr>
              <w:pStyle w:val="Compact"/>
              <w:jc w:val="left"/>
            </w:pPr>
            <w:r>
              <w:t xml:space="preserve">BP cuff (if available).</w:t>
            </w:r>
          </w:p>
        </w:tc>
        <w:tc>
          <w:tcPr/>
          <w:p>
            <w:pPr>
              <w:pStyle w:val="Compact"/>
              <w:jc w:val="left"/>
            </w:pPr>
            <m:oMath>
              <m:r>
                <m:t>B</m:t>
              </m:r>
              <m:r>
                <m:t>P</m:t>
              </m:r>
              <m:r>
                <m:rPr>
                  <m:sty m:val="p"/>
                </m:rPr>
                <m:t>&lt;</m:t>
              </m:r>
              <m:r>
                <m:t>120</m:t>
              </m:r>
              <m:r>
                <m:rPr>
                  <m:sty m:val="p"/>
                </m:rPr>
                <m:t>/</m:t>
              </m:r>
              <m:r>
                <m:t>80</m:t>
              </m:r>
            </m:oMath>
            <w:r>
              <w:t xml:space="preserve"> </w:t>
            </w:r>
            <w:r>
              <w:t xml:space="preserve">mmHg</w:t>
            </w:r>
          </w:p>
        </w:tc>
        <w:tc>
          <w:tcPr/>
          <w:p>
            <w:pPr>
              <w:pStyle w:val="Compact"/>
              <w:jc w:val="left"/>
            </w:pPr>
            <w:r>
              <w:t xml:space="preserve">120–139/80–89</w:t>
            </w:r>
          </w:p>
        </w:tc>
        <w:tc>
          <w:tcPr/>
          <w:p>
            <w:pPr>
              <w:pStyle w:val="Compact"/>
              <w:jc w:val="left"/>
            </w:pPr>
            <m:oMath>
              <m:r>
                <m:rPr>
                  <m:sty m:val="p"/>
                </m:rPr>
                <m:t>≥</m:t>
              </m:r>
              <m:r>
                <m:t>140</m:t>
              </m:r>
              <m:r>
                <m:rPr>
                  <m:sty m:val="p"/>
                </m:rPr>
                <m:t>/</m:t>
              </m:r>
              <m:r>
                <m:t>90</m:t>
              </m:r>
            </m:oMath>
            <w:r>
              <w:t xml:space="preserve"> </w:t>
            </w:r>
            <w:r>
              <w:t xml:space="preserve">or</w:t>
            </w:r>
            <w:r>
              <w:t xml:space="preserve"> </w:t>
            </w:r>
            <m:oMath>
              <m:r>
                <m:rPr>
                  <m:sty m:val="p"/>
                </m:rPr>
                <m:t>&lt;</m:t>
              </m:r>
              <m:r>
                <m:t>90</m:t>
              </m:r>
              <m:r>
                <m:rPr>
                  <m:sty m:val="p"/>
                </m:rPr>
                <m:t>/</m:t>
              </m:r>
              <m:r>
                <m:t>60</m:t>
              </m:r>
            </m:oMath>
          </w:p>
        </w:tc>
      </w:tr>
      <w:tr>
        <w:tc>
          <w:tcPr/>
          <w:p>
            <w:pPr>
              <w:pStyle w:val="Compact"/>
              <w:jc w:val="left"/>
            </w:pPr>
            <w:r>
              <w:t xml:space="preserve">Consciousness</w:t>
            </w:r>
          </w:p>
        </w:tc>
        <w:tc>
          <w:tcPr/>
          <w:p>
            <w:pPr>
              <w:pStyle w:val="Compact"/>
              <w:jc w:val="left"/>
            </w:pPr>
            <w:r>
              <w:t xml:space="preserve">Can you answer: who are you, where are you, what day is it?</w:t>
            </w:r>
          </w:p>
        </w:tc>
        <w:tc>
          <w:tcPr/>
          <w:p>
            <w:pPr>
              <w:pStyle w:val="Compact"/>
              <w:jc w:val="left"/>
            </w:pPr>
            <w:r>
              <w:t xml:space="preserve">All 3 correct</w:t>
            </w:r>
          </w:p>
        </w:tc>
        <w:tc>
          <w:tcPr/>
          <w:p>
            <w:pPr>
              <w:pStyle w:val="Compact"/>
              <w:jc w:val="left"/>
            </w:pPr>
            <w:r>
              <w:t xml:space="preserve">Any incorrect or confused</w:t>
            </w:r>
          </w:p>
        </w:tc>
        <w:tc>
          <w:tcPr/>
          <w:p>
            <w:pPr>
              <w:pStyle w:val="Compact"/>
              <w:jc w:val="left"/>
            </w:pPr>
            <w:r>
              <w:t xml:space="preserve">Unresponsive</w:t>
            </w:r>
          </w:p>
        </w:tc>
      </w:tr>
      <w:tr>
        <w:tc>
          <w:tcPr/>
          <w:p>
            <w:pPr>
              <w:pStyle w:val="Compact"/>
              <w:jc w:val="left"/>
            </w:pPr>
            <w:r>
              <w:t xml:space="preserve">Skin color</w:t>
            </w:r>
          </w:p>
        </w:tc>
        <w:tc>
          <w:tcPr/>
          <w:p>
            <w:pPr>
              <w:pStyle w:val="Compact"/>
              <w:jc w:val="left"/>
            </w:pPr>
            <w:r>
              <w:t xml:space="preserve">Look at your face, lips, nail beds.</w:t>
            </w:r>
          </w:p>
        </w:tc>
        <w:tc>
          <w:tcPr/>
          <w:p>
            <w:pPr>
              <w:pStyle w:val="Compact"/>
              <w:jc w:val="left"/>
            </w:pPr>
            <w:r>
              <w:t xml:space="preserve">Pink/warm</w:t>
            </w:r>
          </w:p>
        </w:tc>
        <w:tc>
          <w:tcPr/>
          <w:p>
            <w:pPr>
              <w:pStyle w:val="Compact"/>
              <w:jc w:val="left"/>
            </w:pPr>
            <w:r>
              <w:t xml:space="preserve">Pale/blue/gray/mottled</w:t>
            </w:r>
          </w:p>
        </w:tc>
        <w:tc>
          <w:tcPr/>
          <w:p>
            <w:pPr>
              <w:pStyle w:val="Compact"/>
              <w:jc w:val="left"/>
            </w:pPr>
            <w:r>
              <w:t xml:space="preserve">Cyanotic (blue lips/nail beds)</w:t>
            </w:r>
          </w:p>
        </w:tc>
      </w:tr>
    </w:tbl>
    <w:p>
      <w:pPr>
        <w:pStyle w:val="BodyText"/>
      </w:pPr>
      <w:r>
        <w:t xml:space="preserve">If any vital sign is in the</w:t>
      </w:r>
      <w:r>
        <w:t xml:space="preserve"> </w:t>
      </w:r>
      <w:r>
        <w:t xml:space="preserve">“</w:t>
      </w:r>
      <w:r>
        <w:t xml:space="preserve">concerning</w:t>
      </w:r>
      <w:r>
        <w:t xml:space="preserve">”</w:t>
      </w:r>
      <w:r>
        <w:t xml:space="preserve"> </w:t>
      </w:r>
      <w:r>
        <w:t xml:space="preserve">column and you’re alone → call 112. If in the</w:t>
      </w:r>
      <w:r>
        <w:t xml:space="preserve"> </w:t>
      </w:r>
      <w:r>
        <w:t xml:space="preserve">“</w:t>
      </w:r>
      <w:r>
        <w:t xml:space="preserve">critical</w:t>
      </w:r>
      <w:r>
        <w:t xml:space="preserve">”</w:t>
      </w:r>
      <w:r>
        <w:t xml:space="preserve"> </w:t>
      </w:r>
      <w:r>
        <w:t xml:space="preserve">column → call 112 immediately, no deliberation. These numbers aren’t suggestions — they’re thresholds derived from decades of clinical data.</w:t>
      </w:r>
    </w:p>
    <w:bookmarkEnd w:id="134"/>
    <w:bookmarkStart w:id="137" w:name="nrs-pain-scale-quick-reference"/>
    <w:p>
      <w:pPr>
        <w:pStyle w:val="Heading3"/>
      </w:pPr>
      <w:r>
        <w:t xml:space="preserve">NRS Pain Scale Quick Reference</w:t>
      </w:r>
    </w:p>
    <w:p>
      <w:pPr>
        <w:pStyle w:val="FirstParagraph"/>
      </w:pPr>
      <w:r>
        <w:t xml:space="preserve">For a detailed breakdown of the NRS pain scale with physiological correlates, see Ch.3 (Situation C). Quick version:</w:t>
      </w:r>
    </w:p>
    <w:p>
      <w:pPr>
        <w:pStyle w:val="BodyText"/>
      </w:pPr>
      <m:oMathPara>
        <m:oMathParaPr>
          <m:jc m:val="center"/>
        </m:oMathParaPr>
        <m:oMath>
          <m:r>
            <m:t>N</m:t>
          </m:r>
          <m:r>
            <m:t>R</m:t>
          </m:r>
          <m:r>
            <m:t>S</m:t>
          </m:r>
          <m:r>
            <m:rPr>
              <m:sty m:val="p"/>
            </m:rPr>
            <m:t>∈</m:t>
          </m:r>
          <m:d>
            <m:dPr>
              <m:begChr m:val="["/>
              <m:endChr m:val="]"/>
              <m:sepChr m:val=""/>
              <m:grow/>
            </m:dPr>
            <m:e>
              <m:r>
                <m:t>0</m:t>
              </m:r>
              <m:r>
                <m:rPr>
                  <m:sty m:val="p"/>
                </m:rPr>
                <m:t>,</m:t>
              </m:r>
              <m:r>
                <m:t>10</m:t>
              </m:r>
            </m:e>
          </m:d>
        </m:oMath>
      </m:oMathPara>
    </w:p>
    <w:p>
      <w:pPr>
        <w:pStyle w:val="Compact"/>
        <w:numPr>
          <w:ilvl w:val="0"/>
          <w:numId w:val="1022"/>
        </w:numPr>
      </w:pPr>
      <w:r>
        <w:t xml:space="preserve">NRS 0–3: Manage with self-care</w:t>
      </w:r>
    </w:p>
    <w:p>
      <w:pPr>
        <w:pStyle w:val="Compact"/>
        <w:numPr>
          <w:ilvl w:val="0"/>
          <w:numId w:val="1022"/>
        </w:numPr>
      </w:pPr>
      <w:r>
        <w:t xml:space="preserve">NRS 4–6: Assess cause, consider professional help</w:t>
      </w:r>
    </w:p>
    <w:p>
      <w:pPr>
        <w:pStyle w:val="Compact"/>
        <w:numPr>
          <w:ilvl w:val="0"/>
          <w:numId w:val="1022"/>
        </w:numPr>
      </w:pPr>
      <w:r>
        <w:t xml:space="preserve">NRS 7–10: Call 112 if acute onset; 📍 Self Ambulance protocols</w:t>
      </w:r>
    </w:p>
    <w:p>
      <w:pPr>
        <w:pStyle w:val="CaptionedFigure"/>
      </w:pPr>
      <w:r>
        <w:drawing>
          <wp:inline>
            <wp:extent cx="5334000" cy="2656961"/>
            <wp:effectExtent b="0" l="0" r="0" t="0"/>
            <wp:docPr descr="Pain NRS Correlates — pain scale with physiological markers" title="" id="135" name="Picture"/>
            <a:graphic>
              <a:graphicData uri="http://schemas.openxmlformats.org/drawingml/2006/picture">
                <pic:pic>
                  <pic:nvPicPr>
                    <pic:cNvPr descr="../diagrams/pain_nrs_correlates.png" id="136" name="Picture"/>
                    <pic:cNvPicPr>
                      <a:picLocks noChangeArrowheads="1" noChangeAspect="1"/>
                    </pic:cNvPicPr>
                  </pic:nvPicPr>
                  <pic:blipFill>
                    <a:blip r:embed="rId65"/>
                    <a:stretch>
                      <a:fillRect/>
                    </a:stretch>
                  </pic:blipFill>
                  <pic:spPr bwMode="auto">
                    <a:xfrm>
                      <a:off x="0" y="0"/>
                      <a:ext cx="5334000" cy="2656961"/>
                    </a:xfrm>
                    <a:prstGeom prst="rect">
                      <a:avLst/>
                    </a:prstGeom>
                    <a:noFill/>
                    <a:ln w="9525">
                      <a:noFill/>
                      <a:headEnd/>
                      <a:tailEnd/>
                    </a:ln>
                  </pic:spPr>
                </pic:pic>
              </a:graphicData>
            </a:graphic>
          </wp:inline>
        </w:drawing>
      </w:r>
    </w:p>
    <w:p>
      <w:pPr>
        <w:pStyle w:val="ImageCaption"/>
      </w:pPr>
      <w:r>
        <w:t xml:space="preserve">Pain NRS Correlates — pain scale with physiological markers</w:t>
      </w:r>
    </w:p>
    <w:bookmarkEnd w:id="137"/>
    <w:bookmarkEnd w:id="138"/>
    <w:bookmarkStart w:id="140" w:name="when-to-call-for-help"/>
    <w:p>
      <w:pPr>
        <w:pStyle w:val="Heading2"/>
      </w:pPr>
      <w:r>
        <w:t xml:space="preserve">When to Call for Help</w:t>
      </w:r>
    </w:p>
    <w:bookmarkStart w:id="139" w:name="call-112-immediately-if"/>
    <w:p>
      <w:pPr>
        <w:pStyle w:val="Heading3"/>
      </w:pPr>
      <w:r>
        <w:t xml:space="preserve">Call 112 immediately if:</w:t>
      </w:r>
    </w:p>
    <w:p>
      <w:pPr>
        <w:pStyle w:val="Compact"/>
        <w:numPr>
          <w:ilvl w:val="0"/>
          <w:numId w:val="1023"/>
        </w:numPr>
      </w:pPr>
      <w:r>
        <w:t xml:space="preserve">Uncontrolled bleeding that doesn’t slow with 10 minutes of pressure</w:t>
      </w:r>
    </w:p>
    <w:p>
      <w:pPr>
        <w:pStyle w:val="Compact"/>
        <w:numPr>
          <w:ilvl w:val="0"/>
          <w:numId w:val="1023"/>
        </w:numPr>
      </w:pPr>
      <w:r>
        <w:t xml:space="preserve">Difficulty breathing or chest pain with jaw/arm radiation</w:t>
      </w:r>
    </w:p>
    <w:p>
      <w:pPr>
        <w:pStyle w:val="Compact"/>
        <w:numPr>
          <w:ilvl w:val="0"/>
          <w:numId w:val="1023"/>
        </w:numPr>
      </w:pPr>
      <w:r>
        <w:t xml:space="preserve">Loss of consciousness (even brief)</w:t>
      </w:r>
    </w:p>
    <w:p>
      <w:pPr>
        <w:pStyle w:val="Compact"/>
        <w:numPr>
          <w:ilvl w:val="0"/>
          <w:numId w:val="1023"/>
        </w:numPr>
      </w:pPr>
      <w:r>
        <w:t xml:space="preserve">Suspected stroke: face drooping, arm weakness, speech difficulty (remember:</w:t>
      </w:r>
      <w:r>
        <w:t xml:space="preserve"> </w:t>
      </w:r>
      <w:r>
        <w:rPr>
          <w:b/>
          <w:bCs/>
        </w:rPr>
        <w:t xml:space="preserve">FAST</w:t>
      </w:r>
      <w:r>
        <w:t xml:space="preserve"> </w:t>
      </w:r>
      <w:r>
        <w:t xml:space="preserve">— Face, Arms, Speech, Time)</w:t>
      </w:r>
    </w:p>
    <w:p>
      <w:pPr>
        <w:pStyle w:val="Compact"/>
        <w:numPr>
          <w:ilvl w:val="0"/>
          <w:numId w:val="1023"/>
        </w:numPr>
      </w:pPr>
      <w:r>
        <w:t xml:space="preserve">Severe allergic reaction: swelling of throat/tongue, difficulty breathing, widespread hives</w:t>
      </w:r>
    </w:p>
    <w:p>
      <w:pPr>
        <w:pStyle w:val="Compact"/>
        <w:numPr>
          <w:ilvl w:val="0"/>
          <w:numId w:val="1023"/>
        </w:numPr>
      </w:pPr>
      <w:r>
        <w:t xml:space="preserve">Seizure lasting &gt; 5 minutes or first-time seizure</w:t>
      </w:r>
    </w:p>
    <w:p>
      <w:pPr>
        <w:pStyle w:val="Compact"/>
        <w:numPr>
          <w:ilvl w:val="0"/>
          <w:numId w:val="1023"/>
        </w:numPr>
      </w:pPr>
      <w:r>
        <w:t xml:space="preserve">Head injury with vomiting, confusion, or loss of consciousness</w:t>
      </w:r>
    </w:p>
    <w:p>
      <w:pPr>
        <w:pStyle w:val="Compact"/>
        <w:numPr>
          <w:ilvl w:val="0"/>
          <w:numId w:val="1023"/>
        </w:numPr>
      </w:pPr>
      <w:r>
        <w:t xml:space="preserve">Severe abdominal pain with rigidity (stomach hard as a board)</w:t>
      </w:r>
    </w:p>
    <w:p>
      <w:pPr>
        <w:pStyle w:val="Compact"/>
        <w:numPr>
          <w:ilvl w:val="0"/>
          <w:numId w:val="1023"/>
        </w:numPr>
      </w:pPr>
      <w:r>
        <w:t xml:space="preserve">Any situation where you think</w:t>
      </w:r>
      <w:r>
        <w:t xml:space="preserve"> </w:t>
      </w:r>
      <w:r>
        <w:t xml:space="preserve">“</w:t>
      </w:r>
      <w:r>
        <w:t xml:space="preserve">I should probably call</w:t>
      </w:r>
      <w:r>
        <w:t xml:space="preserve">”</w:t>
      </w:r>
      <w:r>
        <w:t xml:space="preserve"> </w:t>
      </w:r>
      <w:r>
        <w:t xml:space="preserve">— call</w:t>
      </w:r>
    </w:p>
    <w:p>
      <w:pPr>
        <w:pStyle w:val="FirstParagraph"/>
      </w:pPr>
      <w:r>
        <w:rPr>
          <w:b/>
          <w:bCs/>
        </w:rPr>
        <w:t xml:space="preserve">The golden rule:</w:t>
      </w:r>
      <w:r>
        <w:t xml:space="preserve"> </w:t>
      </w:r>
      <w:r>
        <w:t xml:space="preserve">If you’re debating whether to call, the debate itself is a signal. Call. Dispatcher &gt; regret.</w:t>
      </w:r>
    </w:p>
    <w:bookmarkEnd w:id="139"/>
    <w:bookmarkEnd w:id="140"/>
    <w:bookmarkStart w:id="141" w:name="self-care-while-waiting"/>
    <w:p>
      <w:pPr>
        <w:pStyle w:val="Heading2"/>
      </w:pPr>
      <w:r>
        <w:t xml:space="preserve">Self-Care While Waiting</w:t>
      </w:r>
    </w:p>
    <w:p>
      <w:pPr>
        <w:pStyle w:val="Compact"/>
        <w:numPr>
          <w:ilvl w:val="0"/>
          <w:numId w:val="1024"/>
        </w:numPr>
      </w:pPr>
      <w:r>
        <w:rPr>
          <w:b/>
          <w:bCs/>
        </w:rPr>
        <w:t xml:space="preserve">Position yourself safely.</w:t>
      </w:r>
      <w:r>
        <w:t xml:space="preserve"> </w:t>
      </w:r>
      <w:r>
        <w:t xml:space="preserve">Conscious and breathing fine? Sit or lie in a comfortable position. Semi-recumbent (propped up at 45°) works well. Feeling faint? Lie flat with legs elevated. Nauseous? Lie on your side (recovery position). The bathroom floor is a perfectly acceptable place for this.</w:t>
      </w:r>
    </w:p>
    <w:p>
      <w:pPr>
        <w:pStyle w:val="Compact"/>
        <w:numPr>
          <w:ilvl w:val="0"/>
          <w:numId w:val="1024"/>
        </w:numPr>
      </w:pPr>
      <w:r>
        <w:rPr>
          <w:b/>
          <w:bCs/>
        </w:rPr>
        <w:t xml:space="preserve">Stay conscious.</w:t>
      </w:r>
      <w:r>
        <w:t xml:space="preserve"> </w:t>
      </w:r>
      <w:r>
        <w:t xml:space="preserve">If you feel yourself fading, fight it — not heroically, just practically: talk to yourself out loud, keep your eyes open and focused on a specific object, move your fingers and toes. Sensory input keeps the brain online.</w:t>
      </w:r>
    </w:p>
    <w:p>
      <w:pPr>
        <w:pStyle w:val="Compact"/>
        <w:numPr>
          <w:ilvl w:val="0"/>
          <w:numId w:val="1024"/>
        </w:numPr>
      </w:pPr>
      <w:r>
        <w:rPr>
          <w:b/>
          <w:bCs/>
        </w:rPr>
        <w:t xml:space="preserve">Breathe.</w:t>
      </w:r>
      <w:r>
        <w:t xml:space="preserve"> </w:t>
      </w:r>
      <w:r>
        <w:t xml:space="preserve">→ 📍 Calm Guide (Ch.4, Breathing Exercises). The same breathing techniques that help anxiety also help pain and shock.</w:t>
      </w:r>
    </w:p>
    <w:p>
      <w:pPr>
        <w:pStyle w:val="Compact"/>
        <w:numPr>
          <w:ilvl w:val="0"/>
          <w:numId w:val="1024"/>
        </w:numPr>
      </w:pPr>
      <w:r>
        <w:rPr>
          <w:b/>
          <w:bCs/>
        </w:rPr>
        <w:t xml:space="preserve">Don’t eat or drink.</w:t>
      </w:r>
      <w:r>
        <w:t xml:space="preserve"> </w:t>
      </w:r>
      <w:r>
        <w:t xml:space="preserve">If you might need surgery, an empty stomach is safer. Small sips of water are usually fine, but ask the dispatcher.</w:t>
      </w:r>
    </w:p>
    <w:p>
      <w:pPr>
        <w:pStyle w:val="Compact"/>
        <w:numPr>
          <w:ilvl w:val="0"/>
          <w:numId w:val="1024"/>
        </w:numPr>
      </w:pPr>
      <w:r>
        <w:rPr>
          <w:b/>
          <w:bCs/>
        </w:rPr>
        <w:t xml:space="preserve">Unlock the door.</w:t>
      </w:r>
      <w:r>
        <w:t xml:space="preserve"> </w:t>
      </w:r>
      <w:r>
        <w:t xml:space="preserve">If you’ve called 112, emergency services need to be able to reach you. Unlock the bathroom door now, while you still can.</w:t>
      </w:r>
    </w:p>
    <w:p>
      <w:pPr>
        <w:pStyle w:val="Compact"/>
        <w:numPr>
          <w:ilvl w:val="0"/>
          <w:numId w:val="1024"/>
        </w:numPr>
      </w:pPr>
      <w:r>
        <w:rPr>
          <w:b/>
          <w:bCs/>
        </w:rPr>
        <w:t xml:space="preserve">Phone placement.</w:t>
      </w:r>
      <w:r>
        <w:t xml:space="preserve"> </w:t>
      </w:r>
      <w:r>
        <w:t xml:space="preserve">Put your phone on speaker or place it within arm’s reach. Don’t hold it in your hand if you might lose consciousness — it’ll fall and become unreachable.</w:t>
      </w:r>
    </w:p>
    <w:bookmarkEnd w:id="141"/>
    <w:bookmarkStart w:id="142" w:name="Xeffabdd650a790cfa118dbcc455009e05bb3c6e"/>
    <w:p>
      <w:pPr>
        <w:pStyle w:val="Heading2"/>
      </w:pPr>
      <w:r>
        <w:t xml:space="preserve">Self Ambulance for Non-Physical Emergencies</w:t>
      </w:r>
    </w:p>
    <w:p>
      <w:pPr>
        <w:pStyle w:val="FirstParagraph"/>
      </w:pPr>
      <w:r>
        <w:t xml:space="preserve">The same framework applies to situations where the</w:t>
      </w:r>
      <w:r>
        <w:t xml:space="preserve"> </w:t>
      </w:r>
      <w:r>
        <w:t xml:space="preserve">“</w:t>
      </w:r>
      <w:r>
        <w:t xml:space="preserve">injury</w:t>
      </w:r>
      <w:r>
        <w:t xml:space="preserve">”</w:t>
      </w:r>
      <w:r>
        <w:t xml:space="preserve"> </w:t>
      </w:r>
      <w:r>
        <w:t xml:space="preserve">is psychological or situational. The logic is identical: stabilize, assess, get help.</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Physical version</w:t>
            </w:r>
          </w:p>
        </w:tc>
        <w:tc>
          <w:tcPr/>
          <w:p>
            <w:pPr>
              <w:pStyle w:val="Compact"/>
              <w:jc w:val="left"/>
            </w:pPr>
            <w:r>
              <w:t xml:space="preserve">Psychological equivalent</w:t>
            </w:r>
          </w:p>
        </w:tc>
      </w:tr>
      <w:tr>
        <w:tc>
          <w:tcPr/>
          <w:p>
            <w:pPr>
              <w:pStyle w:val="Compact"/>
              <w:jc w:val="left"/>
            </w:pPr>
            <w:r>
              <w:t xml:space="preserve">Uncontrolled bleeding</w:t>
            </w:r>
          </w:p>
        </w:tc>
        <w:tc>
          <w:tcPr/>
          <w:p>
            <w:pPr>
              <w:pStyle w:val="Compact"/>
              <w:jc w:val="left"/>
            </w:pPr>
            <w:r>
              <w:t xml:space="preserve">Acute panic / emotional flooding</w:t>
            </w:r>
          </w:p>
        </w:tc>
      </w:tr>
      <w:tr>
        <w:tc>
          <w:tcPr/>
          <w:p>
            <w:pPr>
              <w:pStyle w:val="Compact"/>
              <w:jc w:val="left"/>
            </w:pPr>
            <w:r>
              <w:t xml:space="preserve">Apply pressure</w:t>
            </w:r>
          </w:p>
        </w:tc>
        <w:tc>
          <w:tcPr/>
          <w:p>
            <w:pPr>
              <w:pStyle w:val="Compact"/>
              <w:jc w:val="left"/>
            </w:pPr>
            <w:r>
              <w:t xml:space="preserve">📍 Calm Guide breathing exercises</w:t>
            </w:r>
          </w:p>
        </w:tc>
      </w:tr>
      <w:tr>
        <w:tc>
          <w:tcPr/>
          <w:p>
            <w:pPr>
              <w:pStyle w:val="Compact"/>
              <w:jc w:val="left"/>
            </w:pPr>
            <w:r>
              <w:t xml:space="preserve">Elevate the wound</w:t>
            </w:r>
          </w:p>
        </w:tc>
        <w:tc>
          <w:tcPr/>
          <w:p>
            <w:pPr>
              <w:pStyle w:val="Compact"/>
              <w:jc w:val="left"/>
            </w:pPr>
            <w:r>
              <w:t xml:space="preserve">Remove yourself from the triggering situation</w:t>
            </w:r>
          </w:p>
        </w:tc>
      </w:tr>
      <w:tr>
        <w:tc>
          <w:tcPr/>
          <w:p>
            <w:pPr>
              <w:pStyle w:val="Compact"/>
              <w:jc w:val="left"/>
            </w:pPr>
            <w:r>
              <w:t xml:space="preserve">Call 112</w:t>
            </w:r>
          </w:p>
        </w:tc>
        <w:tc>
          <w:tcPr/>
          <w:p>
            <w:pPr>
              <w:pStyle w:val="Compact"/>
              <w:jc w:val="left"/>
            </w:pPr>
            <w:r>
              <w:t xml:space="preserve">Call a crisis line (→ Ch.7, §14.2)</w:t>
            </w:r>
          </w:p>
        </w:tc>
      </w:tr>
      <w:tr>
        <w:tc>
          <w:tcPr/>
          <w:p>
            <w:pPr>
              <w:pStyle w:val="Compact"/>
              <w:jc w:val="left"/>
            </w:pPr>
            <w:r>
              <w:t xml:space="preserve">Stay conscious</w:t>
            </w:r>
          </w:p>
        </w:tc>
        <w:tc>
          <w:tcPr/>
          <w:p>
            <w:pPr>
              <w:pStyle w:val="Compact"/>
              <w:jc w:val="left"/>
            </w:pPr>
            <w:r>
              <w:t xml:space="preserve">Stay present —</w:t>
            </w:r>
            <w:r>
              <w:t xml:space="preserve"> </w:t>
            </w:r>
            <w:r>
              <w:rPr>
                <w:b/>
                <w:bCs/>
              </w:rPr>
              <w:t xml:space="preserve">5-4-3-2-1 grounding</w:t>
            </w:r>
            <w:r>
              <w:t xml:space="preserve">: name 5 things you can see, 4 you can touch, 3 you can hear, 2 you can smell, 1 you can taste</w:t>
            </w:r>
          </w:p>
        </w:tc>
      </w:tr>
      <w:tr>
        <w:tc>
          <w:tcPr/>
          <w:p>
            <w:pPr>
              <w:pStyle w:val="Compact"/>
              <w:jc w:val="left"/>
            </w:pPr>
            <w:r>
              <w:t xml:space="preserve">Unlock the door</w:t>
            </w:r>
          </w:p>
        </w:tc>
        <w:tc>
          <w:tcPr/>
          <w:p>
            <w:pPr>
              <w:pStyle w:val="Compact"/>
              <w:jc w:val="left"/>
            </w:pPr>
            <w:r>
              <w:t xml:space="preserve">Tell someone you need help</w:t>
            </w:r>
          </w:p>
        </w:tc>
      </w:tr>
      <w:tr>
        <w:tc>
          <w:tcPr/>
          <w:p>
            <w:pPr>
              <w:pStyle w:val="Compact"/>
              <w:jc w:val="left"/>
            </w:pPr>
            <w:r>
              <w:t xml:space="preserve">Monitor vital signs</w:t>
            </w:r>
          </w:p>
        </w:tc>
        <w:tc>
          <w:tcPr/>
          <w:p>
            <w:pPr>
              <w:pStyle w:val="Compact"/>
              <w:jc w:val="left"/>
            </w:pPr>
            <w:r>
              <w:t xml:space="preserve">Monitor your emotional state:</w:t>
            </w:r>
            <w:r>
              <w:t xml:space="preserve"> </w:t>
            </w:r>
            <w:r>
              <w:t xml:space="preserve">“</w:t>
            </w:r>
            <w:r>
              <w:t xml:space="preserve">Am I getting worse, stable, or better?</w:t>
            </w:r>
            <w:r>
              <w:t xml:space="preserve">”</w:t>
            </w:r>
          </w:p>
        </w:tc>
      </w:tr>
    </w:tbl>
    <w:p>
      <w:pPr>
        <w:pStyle w:val="BodyText"/>
      </w:pPr>
      <w:r>
        <w:t xml:space="preserve">The 5-4-3-2-1 technique is worth memorizing because it requires zero equipment and works everywhere. It forces your brain to shift from internal distress to external perception. You can’t process a threat response and catalog sensory data simultaneously — one displaces the other. Use that.</w:t>
      </w:r>
    </w:p>
    <w:p>
      <w:pPr>
        <w:pStyle w:val="BodyText"/>
      </w:pPr>
      <w:r>
        <w:t xml:space="preserve">title:</w:t>
      </w:r>
      <w:r>
        <w:t xml:space="preserve"> </w:t>
      </w:r>
      <w:r>
        <w:t xml:space="preserve">“</w:t>
      </w:r>
      <w:r>
        <w:t xml:space="preserve">Zombie Guide</w:t>
      </w:r>
      <w:r>
        <w:t xml:space="preserve">”</w:t>
      </w:r>
      <w:r>
        <w:t xml:space="preserve"> </w:t>
      </w:r>
      <w:r>
        <w:t xml:space="preserve">chapter: 6</w:t>
      </w:r>
      <w:r>
        <w:t xml:space="preserve"> </w:t>
      </w:r>
      <w:r>
        <w:t xml:space="preserve">revision:</w:t>
      </w:r>
      <w:r>
        <w:t xml:space="preserve"> </w:t>
      </w:r>
      <w:r>
        <w:t xml:space="preserve">“</w:t>
      </w:r>
      <w:r>
        <w:t xml:space="preserve">3.2.0</w:t>
      </w:r>
      <w:r>
        <w:t xml:space="preserve">”</w:t>
      </w:r>
      <w:r>
        <w:t xml:space="preserve"> </w:t>
      </w:r>
      <w:r>
        <w:t xml:space="preserve">last_updated:</w:t>
      </w:r>
      <w:r>
        <w:t xml:space="preserve"> </w:t>
      </w:r>
      <w:r>
        <w:t xml:space="preserve">“</w:t>
      </w:r>
      <w:r>
        <w:t xml:space="preserve">2026-05-03</w:t>
      </w:r>
      <w:r>
        <w:t xml:space="preserve">”</w:t>
      </w:r>
      <w:r>
        <w:t xml:space="preserve"> </w:t>
      </w:r>
      <w:r>
        <w:t xml:space="preserve">dependencies:</w:t>
      </w:r>
      <w:r>
        <w:t xml:space="preserve"> </w:t>
      </w:r>
      <w:r>
        <w:t xml:space="preserve">- ../diagrams/survival_pyramid.png</w:t>
      </w:r>
      <w:r>
        <w:t xml:space="preserve"> </w:t>
      </w:r>
      <w:r>
        <w:t xml:space="preserve">- ../diagrams/scaling_chart.png</w:t>
      </w:r>
      <w:r>
        <w:t xml:space="preserve"> </w:t>
      </w:r>
      <w:r>
        <w:t xml:space="preserve">- ../diagrams/survival_probability_function.png</w:t>
      </w:r>
      <w:r>
        <w:t xml:space="preserve"> </w:t>
      </w:r>
      <w:r>
        <w:t xml:space="preserve">- ../diagrams/group_complexity_scaling.png</w:t>
      </w:r>
      <w:r>
        <w:t xml:space="preserve"> </w:t>
      </w:r>
      <w:r>
        <w:t xml:space="preserve">- ../diagrams/water_requirements_scaling.png</w:t>
      </w:r>
      <w:r>
        <w:t xml:space="preserve"> </w:t>
      </w:r>
      <w:r>
        <w:t xml:space="preserve">—</w:t>
      </w:r>
    </w:p>
    <w:bookmarkEnd w:id="142"/>
    <w:bookmarkEnd w:id="143"/>
    <w:bookmarkStart w:id="185" w:name="X80f62c975e71ce1daab6d535d034c2aa59d38fc"/>
    <w:p>
      <w:pPr>
        <w:pStyle w:val="Heading1"/>
      </w:pPr>
      <w:r>
        <w:t xml:space="preserve">🧟 Zombie Guide — When</w:t>
      </w:r>
      <w:r>
        <w:t xml:space="preserve"> </w:t>
      </w:r>
      <w:r>
        <w:t xml:space="preserve">“</w:t>
      </w:r>
      <w:r>
        <w:t xml:space="preserve">Calm</w:t>
      </w:r>
      <w:r>
        <w:t xml:space="preserve">”</w:t>
      </w:r>
      <w:r>
        <w:t xml:space="preserve"> </w:t>
      </w:r>
      <w:r>
        <w:t xml:space="preserve">Isn’t the Problem,</w:t>
      </w:r>
      <w:r>
        <w:t xml:space="preserve"> </w:t>
      </w:r>
      <w:r>
        <w:t xml:space="preserve">“</w:t>
      </w:r>
      <w:r>
        <w:t xml:space="preserve">Alive</w:t>
      </w:r>
      <w:r>
        <w:t xml:space="preserve">”</w:t>
      </w:r>
      <w:r>
        <w:t xml:space="preserve"> </w:t>
      </w:r>
      <w:r>
        <w:t xml:space="preserve">Is</w:t>
      </w:r>
    </w:p>
    <w:p>
      <w:pPr>
        <w:pStyle w:val="FirstParagraph"/>
      </w:pPr>
      <w:r>
        <w:t xml:space="preserve">You arrived here from one of two paths: either you created something that hatched during a post-apocalypse, or you followed a biological-entity path that led to zombification. Either way, the social contract you’ve been operating under has been revoked. The rules are different now. Let’s learn the new ones.</w:t>
      </w:r>
    </w:p>
    <w:p>
      <w:pPr>
        <w:pStyle w:val="BlockText"/>
      </w:pPr>
      <w:r>
        <w:rPr>
          <w:b/>
          <w:bCs/>
        </w:rPr>
        <w:t xml:space="preserve">Important framing:</w:t>
      </w:r>
      <w:r>
        <w:t xml:space="preserve"> </w:t>
      </w:r>
      <w:r>
        <w:t xml:space="preserve">This guide is half genuine survival knowledge and half thought experiment — because the skills for surviving a zombie apocalypse overlap with the skills for surviving</w:t>
      </w:r>
      <w:r>
        <w:t xml:space="preserve"> </w:t>
      </w:r>
      <w:r>
        <w:rPr>
          <w:i/>
          <w:iCs/>
        </w:rPr>
        <w:t xml:space="preserve">any</w:t>
      </w:r>
      <w:r>
        <w:t xml:space="preserve"> </w:t>
      </w:r>
      <w:r>
        <w:t xml:space="preserve">catastrophe: earthquake, flood, economic collapse, prolonged infrastructure failure. If you prepare for zombies, you’re prepared for reality. That’s the joke that isn’t entirely a joke.</w:t>
      </w:r>
    </w:p>
    <w:p>
      <w:pPr>
        <w:pStyle w:val="CaptionedFigure"/>
      </w:pPr>
      <w:r>
        <w:drawing>
          <wp:inline>
            <wp:extent cx="5334000" cy="4310136"/>
            <wp:effectExtent b="0" l="0" r="0" t="0"/>
            <wp:docPr descr="Survival Priority Pyramid" title="" id="145" name="Picture"/>
            <a:graphic>
              <a:graphicData uri="http://schemas.openxmlformats.org/drawingml/2006/picture">
                <pic:pic>
                  <pic:nvPicPr>
                    <pic:cNvPr descr="../diagrams/survival_pyramid.png" id="146" name="Picture"/>
                    <pic:cNvPicPr>
                      <a:picLocks noChangeArrowheads="1" noChangeAspect="1"/>
                    </pic:cNvPicPr>
                  </pic:nvPicPr>
                  <pic:blipFill>
                    <a:blip r:embed="rId144"/>
                    <a:stretch>
                      <a:fillRect/>
                    </a:stretch>
                  </pic:blipFill>
                  <pic:spPr bwMode="auto">
                    <a:xfrm>
                      <a:off x="0" y="0"/>
                      <a:ext cx="5334000" cy="4310136"/>
                    </a:xfrm>
                    <a:prstGeom prst="rect">
                      <a:avLst/>
                    </a:prstGeom>
                    <a:noFill/>
                    <a:ln w="9525">
                      <a:noFill/>
                      <a:headEnd/>
                      <a:tailEnd/>
                    </a:ln>
                  </pic:spPr>
                </pic:pic>
              </a:graphicData>
            </a:graphic>
          </wp:inline>
        </w:drawing>
      </w:r>
    </w:p>
    <w:p>
      <w:pPr>
        <w:pStyle w:val="ImageCaption"/>
      </w:pPr>
      <w:r>
        <w:t xml:space="preserve">Survival Priority Pyramid</w:t>
      </w:r>
    </w:p>
    <w:bookmarkStart w:id="151" w:name="survival-probability-function"/>
    <w:p>
      <w:pPr>
        <w:pStyle w:val="Heading2"/>
      </w:pPr>
      <w:r>
        <w:t xml:space="preserve">Survival Probability Function</w:t>
      </w:r>
    </w:p>
    <w:p>
      <w:pPr>
        <w:pStyle w:val="FirstParagraph"/>
      </w:pPr>
      <w:r>
        <w:t xml:space="preserve">Before we dive into the practical stuff, let’s establish the mathematical framework. Your survival probability over time follows an exponential decay model — not because you’re doomed, but because risk accumulates:</w:t>
      </w:r>
    </w:p>
    <w:p>
      <w:pPr>
        <w:pStyle w:val="BodyText"/>
      </w:pPr>
      <m:oMathPara>
        <m:oMathParaPr>
          <m:jc m:val="center"/>
        </m:oMathParaPr>
        <m:oMath>
          <m:r>
            <m:t>P</m:t>
          </m:r>
          <m:d>
            <m:dPr>
              <m:begChr m:val="("/>
              <m:endChr m:val=")"/>
              <m:sepChr m:val=""/>
              <m:grow/>
            </m:dPr>
            <m:e>
              <m:r>
                <m:rPr>
                  <m:nor/>
                  <m:sty m:val="p"/>
                </m:rPr>
                <m:t>survive</m:t>
              </m:r>
              <m:r>
                <m:rPr>
                  <m:sty m:val="p"/>
                </m:rPr>
                <m:t>,</m:t>
              </m:r>
              <m:r>
                <m:t>t</m:t>
              </m:r>
            </m:e>
          </m:d>
          <m:r>
            <m:rPr>
              <m:sty m:val="p"/>
            </m:rPr>
            <m:t>=</m:t>
          </m:r>
          <m:sSup>
            <m:e>
              <m:r>
                <m:t>e</m:t>
              </m:r>
            </m:e>
            <m:sup>
              <m:r>
                <m:rPr>
                  <m:sty m:val="p"/>
                </m:rPr>
                <m:t>−</m:t>
              </m:r>
              <m:r>
                <m:t>λ</m:t>
              </m:r>
              <m:r>
                <m:t>t</m:t>
              </m:r>
            </m:sup>
          </m:sSup>
        </m:oMath>
      </m:oMathPara>
    </w:p>
    <w:p>
      <w:pPr>
        <w:pStyle w:val="FirstParagraph"/>
      </w:pPr>
      <w:r>
        <w:t xml:space="preserve">Where</w:t>
      </w:r>
      <w:r>
        <w:t xml:space="preserve"> </w:t>
      </w:r>
      <m:oMath>
        <m:r>
          <m:t>λ</m:t>
        </m:r>
      </m:oMath>
      <w:r>
        <w:t xml:space="preserve"> </w:t>
      </w:r>
      <w:r>
        <w:t xml:space="preserve">is the hazard rate (probability of a fatal event per unit time). The good news:</w:t>
      </w:r>
      <w:r>
        <w:t xml:space="preserve"> </w:t>
      </w:r>
      <m:oMath>
        <m:r>
          <m:t>λ</m:t>
        </m:r>
      </m:oMath>
      <w:r>
        <w:t xml:space="preserve"> </w:t>
      </w:r>
      <w:r>
        <w:t xml:space="preserve">is not fixed. Every skill you acquire, every resource you secure, every ally you find</w:t>
      </w:r>
      <w:r>
        <w:t xml:space="preserve"> </w:t>
      </w:r>
      <w:r>
        <w:rPr>
          <w:i/>
          <w:iCs/>
        </w:rPr>
        <w:t xml:space="preserve">reduces</w:t>
      </w:r>
      <w:r>
        <w:t xml:space="preserve"> </w:t>
      </w:r>
      <m:oMath>
        <m:r>
          <m:t>λ</m:t>
        </m:r>
      </m:oMath>
      <w:r>
        <w:t xml:space="preserve">. The survival function becomes:</w:t>
      </w:r>
    </w:p>
    <w:p>
      <w:pPr>
        <w:pStyle w:val="BodyText"/>
      </w:pPr>
      <m:oMathPara>
        <m:oMathParaPr>
          <m:jc m:val="center"/>
        </m:oMathParaPr>
        <m:oMath>
          <m:r>
            <m:t>P</m:t>
          </m:r>
          <m:d>
            <m:dPr>
              <m:begChr m:val="("/>
              <m:endChr m:val=")"/>
              <m:sepChr m:val=""/>
              <m:grow/>
            </m:dPr>
            <m:e>
              <m:r>
                <m:rPr>
                  <m:nor/>
                  <m:sty m:val="p"/>
                </m:rPr>
                <m:t>survive</m:t>
              </m:r>
              <m:r>
                <m:rPr>
                  <m:sty m:val="p"/>
                </m:rPr>
                <m:t>,</m:t>
              </m:r>
              <m:r>
                <m:t>t</m:t>
              </m:r>
            </m:e>
          </m:d>
          <m:r>
            <m:rPr>
              <m:sty m:val="p"/>
            </m:rPr>
            <m:t>=</m:t>
          </m:r>
          <m:sSup>
            <m:e>
              <m:r>
                <m:t>e</m:t>
              </m:r>
            </m:e>
            <m:sup>
              <m:r>
                <m:rPr>
                  <m:sty m:val="p"/>
                </m:rPr>
                <m:t>−</m:t>
              </m:r>
              <m:d>
                <m:dPr>
                  <m:begChr m:val="("/>
                  <m:endChr m:val=")"/>
                  <m:sepChr m:val=""/>
                  <m:grow/>
                </m:dPr>
                <m:e>
                  <m:sSub>
                    <m:e>
                      <m:r>
                        <m:t>λ</m:t>
                      </m:r>
                    </m:e>
                    <m:sub>
                      <m:r>
                        <m:t>0</m:t>
                      </m:r>
                    </m:sub>
                  </m:sSub>
                  <m:r>
                    <m:rPr>
                      <m:sty m:val="p"/>
                    </m:rPr>
                    <m:t>−</m:t>
                  </m:r>
                  <m:nary>
                    <m:naryPr>
                      <m:chr m:val="∑"/>
                      <m:limLoc m:val="undOvr"/>
                      <m:subHide m:val="off"/>
                      <m:supHide m:val="on"/>
                    </m:naryPr>
                    <m:sub>
                      <m:r>
                        <m:t>i</m:t>
                      </m:r>
                    </m:sub>
                    <m:sup>
                      <m:r>
                        <m:t>​</m:t>
                      </m:r>
                    </m:sup>
                    <m:e>
                      <m:sSub>
                        <m:e>
                          <m:r>
                            <m:t>r</m:t>
                          </m:r>
                        </m:e>
                        <m:sub>
                          <m:r>
                            <m:t>i</m:t>
                          </m:r>
                        </m:sub>
                      </m:sSub>
                    </m:e>
                  </m:nary>
                </m:e>
              </m:d>
              <m:r>
                <m:t>t</m:t>
              </m:r>
            </m:sup>
          </m:sSup>
        </m:oMath>
      </m:oMathPara>
    </w:p>
    <w:p>
      <w:pPr>
        <w:pStyle w:val="FirstParagraph"/>
      </w:pPr>
      <w:r>
        <w:t xml:space="preserve">Where</w:t>
      </w:r>
      <w:r>
        <w:t xml:space="preserve"> </w:t>
      </w:r>
      <m:oMath>
        <m:sSub>
          <m:e>
            <m:r>
              <m:t>λ</m:t>
            </m:r>
          </m:e>
          <m:sub>
            <m:r>
              <m:t>0</m:t>
            </m:r>
          </m:sub>
        </m:sSub>
      </m:oMath>
      <w:r>
        <w:t xml:space="preserve"> </w:t>
      </w:r>
      <w:r>
        <w:t xml:space="preserve">is the baseline hazard and each</w:t>
      </w:r>
      <w:r>
        <w:t xml:space="preserve"> </w:t>
      </w:r>
      <m:oMath>
        <m:sSub>
          <m:e>
            <m:r>
              <m:t>r</m:t>
            </m:r>
          </m:e>
          <m:sub>
            <m:r>
              <m:t>i</m:t>
            </m:r>
          </m:sub>
        </m:sSub>
      </m:oMath>
      <w:r>
        <w:t xml:space="preserve"> </w:t>
      </w:r>
      <w:r>
        <w:t xml:space="preserve">is a risk reduction factor: water secured, shelter established, group formed, perimeter defended. The math says: every preparation matters. Every skill moves the curve. You are not helpless — you’re a variable in your own survival equation.</w:t>
      </w:r>
      <w:r>
        <w:rPr>
          <w:rStyle w:val="FootnoteReference"/>
        </w:rPr>
        <w:footnoteReference w:id="147"/>
      </w:r>
    </w:p>
    <w:p>
      <w:pPr>
        <w:pStyle w:val="CaptionedFigure"/>
      </w:pPr>
      <w:r>
        <w:drawing>
          <wp:inline>
            <wp:extent cx="5334000" cy="3189153"/>
            <wp:effectExtent b="0" l="0" r="0" t="0"/>
            <wp:docPr descr="Survival Probability Function — exponential decay with risk reduction factors" title="" id="149" name="Picture"/>
            <a:graphic>
              <a:graphicData uri="http://schemas.openxmlformats.org/drawingml/2006/picture">
                <pic:pic>
                  <pic:nvPicPr>
                    <pic:cNvPr descr="../diagrams/survival_probability_function.png" id="150" name="Picture"/>
                    <pic:cNvPicPr>
                      <a:picLocks noChangeArrowheads="1" noChangeAspect="1"/>
                    </pic:cNvPicPr>
                  </pic:nvPicPr>
                  <pic:blipFill>
                    <a:blip r:embed="rId148"/>
                    <a:stretch>
                      <a:fillRect/>
                    </a:stretch>
                  </pic:blipFill>
                  <pic:spPr bwMode="auto">
                    <a:xfrm>
                      <a:off x="0" y="0"/>
                      <a:ext cx="5334000" cy="3189153"/>
                    </a:xfrm>
                    <a:prstGeom prst="rect">
                      <a:avLst/>
                    </a:prstGeom>
                    <a:noFill/>
                    <a:ln w="9525">
                      <a:noFill/>
                      <a:headEnd/>
                      <a:tailEnd/>
                    </a:ln>
                  </pic:spPr>
                </pic:pic>
              </a:graphicData>
            </a:graphic>
          </wp:inline>
        </w:drawing>
      </w:r>
    </w:p>
    <w:p>
      <w:pPr>
        <w:pStyle w:val="ImageCaption"/>
      </w:pPr>
      <w:r>
        <w:t xml:space="preserve">Survival Probability Function — exponential decay with risk reduction factors</w:t>
      </w:r>
    </w:p>
    <w:bookmarkEnd w:id="151"/>
    <w:bookmarkStart w:id="161" w:name="mini-survival-guide-in-nature"/>
    <w:p>
      <w:pPr>
        <w:pStyle w:val="Heading2"/>
      </w:pPr>
      <w:r>
        <w:t xml:space="preserve">Mini Survival Guide (</w:t>
      </w:r>
      <w:r>
        <w:t xml:space="preserve">“</w:t>
      </w:r>
      <w:r>
        <w:t xml:space="preserve">In Nature</w:t>
      </w:r>
      <w:r>
        <w:t xml:space="preserve">”</w:t>
      </w:r>
      <w:r>
        <w:t xml:space="preserve">)</w:t>
      </w:r>
    </w:p>
    <w:p>
      <w:pPr>
        <w:pStyle w:val="FirstParagraph"/>
      </w:pPr>
      <w:r>
        <w:t xml:space="preserve">The infrastructure you’ve depended on is gone. The grid is down. You are, for the first time in your life, an animal in an ecosystem. Act like one — a smart one.</w:t>
      </w:r>
    </w:p>
    <w:bookmarkStart w:id="155" w:name="water-priority-zero"/>
    <w:p>
      <w:pPr>
        <w:pStyle w:val="Heading3"/>
      </w:pPr>
      <w:r>
        <w:t xml:space="preserve">Water — Priority Zero</w:t>
      </w:r>
    </w:p>
    <w:p>
      <w:pPr>
        <w:pStyle w:val="FirstParagraph"/>
      </w:pPr>
      <w:r>
        <w:t xml:space="preserve">You die in 3 days without water. Everything else is secondary.</w:t>
      </w:r>
    </w:p>
    <w:p>
      <w:pPr>
        <w:pStyle w:val="BodyText"/>
      </w:pPr>
      <w:r>
        <w:rPr>
          <w:b/>
          <w:bCs/>
        </w:rPr>
        <w:t xml:space="preserve">Water requirement formula:</w:t>
      </w:r>
    </w:p>
    <w:p>
      <w:pPr>
        <w:pStyle w:val="BodyText"/>
      </w:pPr>
      <m:oMathPara>
        <m:oMathParaPr>
          <m:jc m:val="center"/>
        </m:oMathParaPr>
        <m:oMath>
          <m:r>
            <m:t>W</m:t>
          </m:r>
          <m:r>
            <m:rPr>
              <m:sty m:val="p"/>
            </m:rPr>
            <m:t>=</m:t>
          </m:r>
          <m:r>
            <m:t>n</m:t>
          </m:r>
          <m:r>
            <m:rPr>
              <m:sty m:val="p"/>
            </m:rPr>
            <m:t>⋅</m:t>
          </m:r>
          <m:r>
            <m:t>3</m:t>
          </m:r>
          <m:r>
            <m:rPr>
              <m:nor/>
              <m:sty m:val="p"/>
            </m:rPr>
            <m:t>L/day</m:t>
          </m:r>
        </m:oMath>
      </m:oMathPara>
    </w:p>
    <w:p>
      <w:pPr>
        <w:pStyle w:val="FirstParagraph"/>
      </w:pPr>
      <w:r>
        <w:t xml:space="preserve">Where</w:t>
      </w:r>
      <w:r>
        <w:t xml:space="preserve"> </w:t>
      </w:r>
      <m:oMath>
        <m:r>
          <m:t>n</m:t>
        </m:r>
      </m:oMath>
      <w:r>
        <w:t xml:space="preserve"> </w:t>
      </w:r>
      <w:r>
        <w:t xml:space="preserve">is the number of people in your group and 3L/day covers drinking + basic cooking. This scales linearly but the logistics don’t:</w:t>
      </w:r>
    </w:p>
    <w:tbl>
      <w:tblPr>
        <w:tblStyle w:val="Table"/>
        <w:tblW w:type="pct" w:w="5000"/>
        <w:jc w:val="left"/>
        <w:tblLayout w:type="fixed"/>
        <w:tblLook w:firstRow="1" w:lastRow="0" w:firstColumn="0" w:lastColumn="0" w:noHBand="0" w:noVBand="0" w:val="0020"/>
      </w:tblPr>
      <w:tblGrid>
        <w:gridCol w:w="1320"/>
        <w:gridCol w:w="2040"/>
        <w:gridCol w:w="2280"/>
        <w:gridCol w:w="2280"/>
      </w:tblGrid>
      <w:tr>
        <w:trPr>
          <w:tblHeader w:val="on"/>
        </w:trPr>
        <w:tc>
          <w:tcPr/>
          <w:p>
            <w:pPr>
              <w:pStyle w:val="Compact"/>
              <w:jc w:val="left"/>
            </w:pPr>
            <w:r>
              <w:t xml:space="preserve">Group size</w:t>
            </w:r>
          </w:p>
        </w:tc>
        <w:tc>
          <w:tcPr/>
          <w:p>
            <w:pPr>
              <w:pStyle w:val="Compact"/>
              <w:jc w:val="left"/>
            </w:pPr>
            <w:r>
              <w:t xml:space="preserve">Daily water need</w:t>
            </w:r>
          </w:p>
        </w:tc>
        <w:tc>
          <w:tcPr/>
          <w:p>
            <w:pPr>
              <w:pStyle w:val="Compact"/>
              <w:jc w:val="left"/>
            </w:pPr>
            <w:r>
              <w:t xml:space="preserve">Weekly water need</w:t>
            </w:r>
          </w:p>
        </w:tc>
        <w:tc>
          <w:tcPr/>
          <w:p>
            <w:pPr>
              <w:pStyle w:val="Compact"/>
              <w:jc w:val="left"/>
            </w:pPr>
            <w:r>
              <w:t xml:space="preserve">Collection effort</w:t>
            </w:r>
          </w:p>
        </w:tc>
      </w:tr>
      <w:tr>
        <w:tc>
          <w:tcPr/>
          <w:p>
            <w:pPr>
              <w:pStyle w:val="Compact"/>
              <w:jc w:val="left"/>
            </w:pPr>
            <w:r>
              <w:t xml:space="preserve">1</w:t>
            </w:r>
          </w:p>
        </w:tc>
        <w:tc>
          <w:tcPr/>
          <w:p>
            <w:pPr>
              <w:pStyle w:val="Compact"/>
              <w:jc w:val="left"/>
            </w:pPr>
            <w:r>
              <w:t xml:space="preserve">3L</w:t>
            </w:r>
          </w:p>
        </w:tc>
        <w:tc>
          <w:tcPr/>
          <w:p>
            <w:pPr>
              <w:pStyle w:val="Compact"/>
              <w:jc w:val="left"/>
            </w:pPr>
            <w:r>
              <w:t xml:space="preserve">21L</w:t>
            </w:r>
          </w:p>
        </w:tc>
        <w:tc>
          <w:tcPr/>
          <w:p>
            <w:pPr>
              <w:pStyle w:val="Compact"/>
              <w:jc w:val="left"/>
            </w:pPr>
            <w:r>
              <w:t xml:space="preserve">One person can carry</w:t>
            </w:r>
          </w:p>
        </w:tc>
      </w:tr>
      <w:tr>
        <w:tc>
          <w:tcPr/>
          <w:p>
            <w:pPr>
              <w:pStyle w:val="Compact"/>
              <w:jc w:val="left"/>
            </w:pPr>
            <w:r>
              <w:t xml:space="preserve">5</w:t>
            </w:r>
          </w:p>
        </w:tc>
        <w:tc>
          <w:tcPr/>
          <w:p>
            <w:pPr>
              <w:pStyle w:val="Compact"/>
              <w:jc w:val="left"/>
            </w:pPr>
            <w:r>
              <w:t xml:space="preserve">15L</w:t>
            </w:r>
          </w:p>
        </w:tc>
        <w:tc>
          <w:tcPr/>
          <w:p>
            <w:pPr>
              <w:pStyle w:val="Compact"/>
              <w:jc w:val="left"/>
            </w:pPr>
            <w:r>
              <w:t xml:space="preserve">105L</w:t>
            </w:r>
          </w:p>
        </w:tc>
        <w:tc>
          <w:tcPr/>
          <w:p>
            <w:pPr>
              <w:pStyle w:val="Compact"/>
              <w:jc w:val="left"/>
            </w:pPr>
            <w:r>
              <w:t xml:space="preserve">Multiple trips or coordinated</w:t>
            </w:r>
          </w:p>
        </w:tc>
      </w:tr>
      <w:tr>
        <w:tc>
          <w:tcPr/>
          <w:p>
            <w:pPr>
              <w:pStyle w:val="Compact"/>
              <w:jc w:val="left"/>
            </w:pPr>
            <w:r>
              <w:t xml:space="preserve">10</w:t>
            </w:r>
          </w:p>
        </w:tc>
        <w:tc>
          <w:tcPr/>
          <w:p>
            <w:pPr>
              <w:pStyle w:val="Compact"/>
              <w:jc w:val="left"/>
            </w:pPr>
            <w:r>
              <w:t xml:space="preserve">30L</w:t>
            </w:r>
          </w:p>
        </w:tc>
        <w:tc>
          <w:tcPr/>
          <w:p>
            <w:pPr>
              <w:pStyle w:val="Compact"/>
              <w:jc w:val="left"/>
            </w:pPr>
            <w:r>
              <w:t xml:space="preserve">210L</w:t>
            </w:r>
          </w:p>
        </w:tc>
        <w:tc>
          <w:tcPr/>
          <w:p>
            <w:pPr>
              <w:pStyle w:val="Compact"/>
              <w:jc w:val="left"/>
            </w:pPr>
            <w:r>
              <w:t xml:space="preserve">Dedicated water duty</w:t>
            </w:r>
          </w:p>
        </w:tc>
      </w:tr>
      <w:tr>
        <w:tc>
          <w:tcPr/>
          <w:p>
            <w:pPr>
              <w:pStyle w:val="Compact"/>
              <w:jc w:val="left"/>
            </w:pPr>
            <w:r>
              <w:t xml:space="preserve">30</w:t>
            </w:r>
          </w:p>
        </w:tc>
        <w:tc>
          <w:tcPr/>
          <w:p>
            <w:pPr>
              <w:pStyle w:val="Compact"/>
              <w:jc w:val="left"/>
            </w:pPr>
            <w:r>
              <w:t xml:space="preserve">90L</w:t>
            </w:r>
          </w:p>
        </w:tc>
        <w:tc>
          <w:tcPr/>
          <w:p>
            <w:pPr>
              <w:pStyle w:val="Compact"/>
              <w:jc w:val="left"/>
            </w:pPr>
            <w:r>
              <w:t xml:space="preserve">630L</w:t>
            </w:r>
          </w:p>
        </w:tc>
        <w:tc>
          <w:tcPr/>
          <w:p>
            <w:pPr>
              <w:pStyle w:val="Compact"/>
              <w:jc w:val="left"/>
            </w:pPr>
            <w:r>
              <w:t xml:space="preserve">Well or large water source required</w:t>
            </w:r>
          </w:p>
        </w:tc>
      </w:tr>
      <w:tr>
        <w:tc>
          <w:tcPr/>
          <w:p>
            <w:pPr>
              <w:pStyle w:val="Compact"/>
              <w:jc w:val="left"/>
            </w:pPr>
            <w:r>
              <w:t xml:space="preserve">100</w:t>
            </w:r>
          </w:p>
        </w:tc>
        <w:tc>
          <w:tcPr/>
          <w:p>
            <w:pPr>
              <w:pStyle w:val="Compact"/>
              <w:jc w:val="left"/>
            </w:pPr>
            <w:r>
              <w:t xml:space="preserve">300L</w:t>
            </w:r>
          </w:p>
        </w:tc>
        <w:tc>
          <w:tcPr/>
          <w:p>
            <w:pPr>
              <w:pStyle w:val="Compact"/>
              <w:jc w:val="left"/>
            </w:pPr>
            <w:r>
              <w:t xml:space="preserve">2100L</w:t>
            </w:r>
          </w:p>
        </w:tc>
        <w:tc>
          <w:tcPr/>
          <w:p>
            <w:pPr>
              <w:pStyle w:val="Compact"/>
              <w:jc w:val="left"/>
            </w:pPr>
            <w:r>
              <w:t xml:space="preserve">Infrastructure (well, pump, pipeline) needed</w:t>
            </w:r>
          </w:p>
        </w:tc>
      </w:tr>
    </w:tbl>
    <w:p>
      <w:pPr>
        <w:pStyle w:val="CaptionedFigure"/>
      </w:pPr>
      <w:r>
        <w:drawing>
          <wp:inline>
            <wp:extent cx="5334000" cy="3194509"/>
            <wp:effectExtent b="0" l="0" r="0" t="0"/>
            <wp:docPr descr="Water Requirements Scaling — daily water needs by group size" title="" id="153" name="Picture"/>
            <a:graphic>
              <a:graphicData uri="http://schemas.openxmlformats.org/drawingml/2006/picture">
                <pic:pic>
                  <pic:nvPicPr>
                    <pic:cNvPr descr="../diagrams/water_requirements_scaling.png" id="154" name="Picture"/>
                    <pic:cNvPicPr>
                      <a:picLocks noChangeArrowheads="1" noChangeAspect="1"/>
                    </pic:cNvPicPr>
                  </pic:nvPicPr>
                  <pic:blipFill>
                    <a:blip r:embed="rId152"/>
                    <a:stretch>
                      <a:fillRect/>
                    </a:stretch>
                  </pic:blipFill>
                  <pic:spPr bwMode="auto">
                    <a:xfrm>
                      <a:off x="0" y="0"/>
                      <a:ext cx="5334000" cy="3194509"/>
                    </a:xfrm>
                    <a:prstGeom prst="rect">
                      <a:avLst/>
                    </a:prstGeom>
                    <a:noFill/>
                    <a:ln w="9525">
                      <a:noFill/>
                      <a:headEnd/>
                      <a:tailEnd/>
                    </a:ln>
                  </pic:spPr>
                </pic:pic>
              </a:graphicData>
            </a:graphic>
          </wp:inline>
        </w:drawing>
      </w:r>
    </w:p>
    <w:p>
      <w:pPr>
        <w:pStyle w:val="ImageCaption"/>
      </w:pPr>
      <w:r>
        <w:t xml:space="preserve">Water Requirements Scaling — daily water needs by group size</w:t>
      </w:r>
    </w:p>
    <w:p>
      <w:pPr>
        <w:pStyle w:val="Compact"/>
        <w:numPr>
          <w:ilvl w:val="0"/>
          <w:numId w:val="1025"/>
        </w:numPr>
      </w:pPr>
      <w:r>
        <w:rPr>
          <w:b/>
          <w:bCs/>
        </w:rPr>
        <w:t xml:space="preserve">Find it.</w:t>
      </w:r>
      <w:r>
        <w:t xml:space="preserve"> </w:t>
      </w:r>
      <w:r>
        <w:t xml:space="preserve">Flowing water (streams, rivers) is better than standing water (ponds, puddles). Rainwater is generally safe to collect. Dew can be gathered with cloth wrung into a container.</w:t>
      </w:r>
    </w:p>
    <w:p>
      <w:pPr>
        <w:pStyle w:val="Compact"/>
        <w:numPr>
          <w:ilvl w:val="0"/>
          <w:numId w:val="1025"/>
        </w:numPr>
      </w:pPr>
      <w:r>
        <w:rPr>
          <w:b/>
          <w:bCs/>
        </w:rPr>
        <w:t xml:space="preserve">Purify it.</w:t>
      </w:r>
      <w:r>
        <w:t xml:space="preserve"> </w:t>
      </w:r>
      <w:r>
        <w:t xml:space="preserve">Always assume water is contaminated. Methods, ranked by reliability:</w:t>
      </w:r>
    </w:p>
    <w:p>
      <w:pPr>
        <w:pStyle w:val="Compact"/>
        <w:numPr>
          <w:ilvl w:val="1"/>
          <w:numId w:val="1026"/>
        </w:numPr>
      </w:pPr>
      <w:r>
        <w:rPr>
          <w:b/>
          <w:bCs/>
        </w:rPr>
        <w:t xml:space="preserve">Boil</w:t>
      </w:r>
      <w:r>
        <w:t xml:space="preserve"> </w:t>
      </w:r>
      <w:r>
        <w:t xml:space="preserve">for 1 minute (3 minutes above 2000m elevation). Gold standard. Kill everything.</w:t>
      </w:r>
    </w:p>
    <w:p>
      <w:pPr>
        <w:pStyle w:val="Compact"/>
        <w:numPr>
          <w:ilvl w:val="1"/>
          <w:numId w:val="1026"/>
        </w:numPr>
      </w:pPr>
      <w:r>
        <w:rPr>
          <w:b/>
          <w:bCs/>
        </w:rPr>
        <w:t xml:space="preserve">Filter</w:t>
      </w:r>
      <w:r>
        <w:t xml:space="preserve"> </w:t>
      </w:r>
      <w:r>
        <w:t xml:space="preserve">through cloth + sand + charcoal layers (improvised). Removes particulates and some pathogens.</w:t>
      </w:r>
    </w:p>
    <w:p>
      <w:pPr>
        <w:pStyle w:val="Compact"/>
        <w:numPr>
          <w:ilvl w:val="1"/>
          <w:numId w:val="1026"/>
        </w:numPr>
      </w:pPr>
      <w:r>
        <w:rPr>
          <w:b/>
          <w:bCs/>
        </w:rPr>
        <w:t xml:space="preserve">Chemical treatment:</w:t>
      </w:r>
      <w:r>
        <w:t xml:space="preserve"> </w:t>
      </w:r>
      <w:r>
        <w:t xml:space="preserve">2 drops of unscented household bleach per liter, wait 30 minutes. Or water purification tablets.</w:t>
      </w:r>
    </w:p>
    <w:p>
      <w:pPr>
        <w:pStyle w:val="Compact"/>
        <w:numPr>
          <w:ilvl w:val="1"/>
          <w:numId w:val="1026"/>
        </w:numPr>
      </w:pPr>
      <w:r>
        <w:rPr>
          <w:b/>
          <w:bCs/>
        </w:rPr>
        <w:t xml:space="preserve">UV exposure:</w:t>
      </w:r>
      <w:r>
        <w:t xml:space="preserve"> </w:t>
      </w:r>
      <w:r>
        <w:t xml:space="preserve">Clear plastic bottle, leave in direct sunlight for 6+ hours. UV kills pathogens. Slow but works.</w:t>
      </w:r>
    </w:p>
    <w:p>
      <w:pPr>
        <w:pStyle w:val="Compact"/>
        <w:numPr>
          <w:ilvl w:val="0"/>
          <w:numId w:val="1025"/>
        </w:numPr>
      </w:pPr>
      <w:r>
        <w:rPr>
          <w:b/>
          <w:bCs/>
        </w:rPr>
        <w:t xml:space="preserve">Store it.</w:t>
      </w:r>
      <w:r>
        <w:t xml:space="preserve"> </w:t>
      </w:r>
      <w:r>
        <w:t xml:space="preserve">Every container you find is now a water container. Fill everything. You will never have too much water.</w:t>
      </w:r>
    </w:p>
    <w:bookmarkEnd w:id="155"/>
    <w:bookmarkStart w:id="156" w:name="food"/>
    <w:p>
      <w:pPr>
        <w:pStyle w:val="Heading3"/>
      </w:pPr>
      <w:r>
        <w:t xml:space="preserve">Food</w:t>
      </w:r>
    </w:p>
    <w:p>
      <w:pPr>
        <w:pStyle w:val="FirstParagraph"/>
      </w:pPr>
      <w:r>
        <w:t xml:space="preserve">You can survive ~3 weeks without food. That’s generous compared to water, but your cognitive function degrades fast without calories.</w:t>
      </w:r>
    </w:p>
    <w:p>
      <w:pPr>
        <w:pStyle w:val="BodyText"/>
      </w:pPr>
      <w:r>
        <w:rPr>
          <w:b/>
          <w:bCs/>
        </w:rPr>
        <w:t xml:space="preserve">Caloric requirements:</w:t>
      </w:r>
    </w:p>
    <w:p>
      <w:pPr>
        <w:pStyle w:val="BodyText"/>
      </w:pPr>
      <m:oMathPara>
        <m:oMathParaPr>
          <m:jc m:val="center"/>
        </m:oMathParaPr>
        <m:oMath>
          <m:sSub>
            <m:e>
              <m:r>
                <m:t>E</m:t>
              </m:r>
            </m:e>
            <m:sub>
              <m:r>
                <m:t>b</m:t>
              </m:r>
              <m:r>
                <m:t>a</m:t>
              </m:r>
              <m:r>
                <m:t>s</m:t>
              </m:r>
              <m:r>
                <m:t>a</m:t>
              </m:r>
              <m:r>
                <m:t>l</m:t>
              </m:r>
            </m:sub>
          </m:sSub>
          <m:r>
            <m:rPr>
              <m:sty m:val="p"/>
            </m:rPr>
            <m:t>≈</m:t>
          </m:r>
          <m:r>
            <m:t>1500</m:t>
          </m:r>
          <m:r>
            <m:rPr>
              <m:nor/>
              <m:sty m:val="p"/>
            </m:rPr>
            <m:t> kcal/day</m:t>
          </m:r>
          <m:r>
            <m:t> </m:t>
          </m:r>
          <m:r>
            <m:rPr>
              <m:nor/>
              <m:sty m:val="p"/>
            </m:rPr>
            <m:t>(resting metabolic rate)</m:t>
          </m:r>
        </m:oMath>
      </m:oMathPara>
    </w:p>
    <w:p>
      <w:pPr>
        <w:pStyle w:val="FirstParagraph"/>
      </w:pPr>
      <m:oMathPara>
        <m:oMathParaPr>
          <m:jc m:val="center"/>
        </m:oMathParaPr>
        <m:oMath>
          <m:sSub>
            <m:e>
              <m:r>
                <m:t>E</m:t>
              </m:r>
            </m:e>
            <m:sub>
              <m:r>
                <m:t>s</m:t>
              </m:r>
              <m:r>
                <m:t>u</m:t>
              </m:r>
              <m:r>
                <m:t>r</m:t>
              </m:r>
              <m:r>
                <m:t>v</m:t>
              </m:r>
              <m:r>
                <m:t>i</m:t>
              </m:r>
              <m:r>
                <m:t>v</m:t>
              </m:r>
              <m:r>
                <m:t>a</m:t>
              </m:r>
              <m:r>
                <m:t>l</m:t>
              </m:r>
            </m:sub>
          </m:sSub>
          <m:r>
            <m:rPr>
              <m:sty m:val="p"/>
            </m:rPr>
            <m:t>≈</m:t>
          </m:r>
          <m:r>
            <m:t>2500</m:t>
          </m:r>
          <m:r>
            <m:rPr>
              <m:nor/>
              <m:sty m:val="p"/>
            </m:rPr>
            <m:t>–</m:t>
          </m:r>
          <m:r>
            <m:t>3000</m:t>
          </m:r>
          <m:r>
            <m:rPr>
              <m:nor/>
              <m:sty m:val="p"/>
            </m:rPr>
            <m:t> kcal/day</m:t>
          </m:r>
          <m:r>
            <m:t> </m:t>
          </m:r>
          <m:r>
            <m:rPr>
              <m:nor/>
              <m:sty m:val="p"/>
            </m:rPr>
            <m:t>(active survival activity)</m:t>
          </m:r>
        </m:oMath>
      </m:oMathPara>
    </w:p>
    <w:p>
      <w:pPr>
        <w:pStyle w:val="FirstParagraph"/>
      </w:pPr>
      <w:r>
        <w:t xml:space="preserve">The gap between basal and active survival requirements (</w:t>
      </w:r>
      <m:oMath>
        <m:r>
          <m:t>Δ</m:t>
        </m:r>
        <m:r>
          <m:t>E</m:t>
        </m:r>
        <m:r>
          <m:rPr>
            <m:sty m:val="p"/>
          </m:rPr>
          <m:t>≈</m:t>
        </m:r>
        <m:r>
          <m:t>1000</m:t>
        </m:r>
        <m:r>
          <m:rPr>
            <m:nor/>
            <m:sty m:val="p"/>
          </m:rPr>
          <m:t>–</m:t>
        </m:r>
        <m:r>
          <m:t>1500</m:t>
        </m:r>
      </m:oMath>
      <w:r>
        <w:t xml:space="preserve"> </w:t>
      </w:r>
      <w:r>
        <w:t xml:space="preserve">kcal) is the energy you spend on foraging, building, defending, and moving. Every unnecessary activity burns calories you can’t afford to waste.</w:t>
      </w:r>
    </w:p>
    <w:p>
      <w:pPr>
        <w:pStyle w:val="Compact"/>
        <w:numPr>
          <w:ilvl w:val="0"/>
          <w:numId w:val="1027"/>
        </w:numPr>
      </w:pPr>
      <w:r>
        <w:rPr>
          <w:b/>
          <w:bCs/>
        </w:rPr>
        <w:t xml:space="preserve">Foraging.</w:t>
      </w:r>
      <w:r>
        <w:t xml:space="preserve"> </w:t>
      </w:r>
      <w:r>
        <w:t xml:space="preserve">Learn 3–5 easily identifiable local wild plants that are edible. Dandelion (entire plant), nettles (cook first), blackberries, wild garlic — widespread across Europe. If you can’t identify it with certainty, don’t eat it. Starvation is preferable to poisoning.</w:t>
      </w:r>
    </w:p>
    <w:p>
      <w:pPr>
        <w:pStyle w:val="Compact"/>
        <w:numPr>
          <w:ilvl w:val="0"/>
          <w:numId w:val="1027"/>
        </w:numPr>
      </w:pPr>
      <w:r>
        <w:rPr>
          <w:b/>
          <w:bCs/>
        </w:rPr>
        <w:t xml:space="preserve">Hunting/trapping.</w:t>
      </w:r>
      <w:r>
        <w:t xml:space="preserve"> </w:t>
      </w:r>
      <w:r>
        <w:t xml:space="preserve">Small game (rabbits, birds) is more practical than large game. Snares require wire and knowledge. Fishing requires water and patience. Principle: calories-in &gt; calories-out. Don’t spend more energy catching food than the food provides.</w:t>
      </w:r>
    </w:p>
    <w:p>
      <w:pPr>
        <w:pStyle w:val="Compact"/>
        <w:numPr>
          <w:ilvl w:val="0"/>
          <w:numId w:val="1027"/>
        </w:numPr>
      </w:pPr>
      <w:r>
        <w:rPr>
          <w:b/>
          <w:bCs/>
        </w:rPr>
        <w:t xml:space="preserve">Scavenging.</w:t>
      </w:r>
      <w:r>
        <w:t xml:space="preserve"> </w:t>
      </w:r>
      <w:r>
        <w:t xml:space="preserve">In a collapse scenario, preserved food in abandoned stores is your friend. Canned goods last years. Check seals — bulging cans are bacterial, not food. Prioritize: canned &gt; dried &gt; fresh (perishable).</w:t>
      </w:r>
    </w:p>
    <w:p>
      <w:pPr>
        <w:pStyle w:val="Compact"/>
        <w:numPr>
          <w:ilvl w:val="0"/>
          <w:numId w:val="1027"/>
        </w:numPr>
      </w:pPr>
      <w:r>
        <w:rPr>
          <w:b/>
          <w:bCs/>
        </w:rPr>
        <w:t xml:space="preserve">Insects.</w:t>
      </w:r>
      <w:r>
        <w:t xml:space="preserve"> </w:t>
      </w:r>
      <w:r>
        <w:t xml:space="preserve">Yes, really. Crickets, grubs, ants — high protein, widely available, no hunting skill required. Cook them if you can. If you can’t, they’re still more nutritious than your pride.</w:t>
      </w:r>
    </w:p>
    <w:bookmarkEnd w:id="156"/>
    <w:bookmarkStart w:id="157" w:name="shelter"/>
    <w:p>
      <w:pPr>
        <w:pStyle w:val="Heading3"/>
      </w:pPr>
      <w:r>
        <w:t xml:space="preserve">Shelter</w:t>
      </w:r>
    </w:p>
    <w:p>
      <w:pPr>
        <w:pStyle w:val="FirstParagraph"/>
      </w:pPr>
      <w:r>
        <w:t xml:space="preserve">Exposure kills faster than starvation. Hypothermia: wet + cold + wind.</w:t>
      </w:r>
    </w:p>
    <w:p>
      <w:pPr>
        <w:pStyle w:val="Compact"/>
        <w:numPr>
          <w:ilvl w:val="0"/>
          <w:numId w:val="1028"/>
        </w:numPr>
      </w:pPr>
      <w:r>
        <w:rPr>
          <w:b/>
          <w:bCs/>
        </w:rPr>
        <w:t xml:space="preserve">Location.</w:t>
      </w:r>
      <w:r>
        <w:t xml:space="preserve"> </w:t>
      </w:r>
      <w:r>
        <w:t xml:space="preserve">High ground (avoid flood zones), away from obvious paths (avoid detection), near water source but not directly beside it.</w:t>
      </w:r>
    </w:p>
    <w:p>
      <w:pPr>
        <w:pStyle w:val="Compact"/>
        <w:numPr>
          <w:ilvl w:val="0"/>
          <w:numId w:val="1028"/>
        </w:numPr>
      </w:pPr>
      <w:r>
        <w:rPr>
          <w:b/>
          <w:bCs/>
        </w:rPr>
        <w:t xml:space="preserve">Insulation.</w:t>
      </w:r>
      <w:r>
        <w:t xml:space="preserve"> </w:t>
      </w:r>
      <w:r>
        <w:t xml:space="preserve">Layers of dry leaves, pine needles, cardboard, clothing — anything between you and the ground. The ground is a heat sink.</w:t>
      </w:r>
    </w:p>
    <w:p>
      <w:pPr>
        <w:pStyle w:val="Compact"/>
        <w:numPr>
          <w:ilvl w:val="0"/>
          <w:numId w:val="1028"/>
        </w:numPr>
      </w:pPr>
      <w:r>
        <w:rPr>
          <w:b/>
          <w:bCs/>
        </w:rPr>
        <w:t xml:space="preserve">Windbreak.</w:t>
      </w:r>
      <w:r>
        <w:t xml:space="preserve"> </w:t>
      </w:r>
      <w:r>
        <w:t xml:space="preserve">A wall, hedge, car, or stacked debris blocking the prevailing wind direction. Wind strips heat. Block it.</w:t>
      </w:r>
    </w:p>
    <w:bookmarkEnd w:id="157"/>
    <w:bookmarkStart w:id="158" w:name="reading-traces-observing-environments"/>
    <w:p>
      <w:pPr>
        <w:pStyle w:val="Heading3"/>
      </w:pPr>
      <w:r>
        <w:t xml:space="preserve">Reading Traces &amp; Observing Environments</w:t>
      </w:r>
    </w:p>
    <w:p>
      <w:pPr>
        <w:pStyle w:val="Compact"/>
        <w:numPr>
          <w:ilvl w:val="0"/>
          <w:numId w:val="1029"/>
        </w:numPr>
      </w:pPr>
      <w:r>
        <w:rPr>
          <w:b/>
          <w:bCs/>
        </w:rPr>
        <w:t xml:space="preserve">Tracks.</w:t>
      </w:r>
      <w:r>
        <w:t xml:space="preserve"> </w:t>
      </w:r>
      <w:r>
        <w:t xml:space="preserve">Disturbed dirt, broken twigs, bent grass — direction and recency. Fresh tracks have sharp edges; old ones are rounded by wind and rain.</w:t>
      </w:r>
    </w:p>
    <w:p>
      <w:pPr>
        <w:pStyle w:val="Compact"/>
        <w:numPr>
          <w:ilvl w:val="0"/>
          <w:numId w:val="1029"/>
        </w:numPr>
      </w:pPr>
      <w:r>
        <w:rPr>
          <w:b/>
          <w:bCs/>
        </w:rPr>
        <w:t xml:space="preserve">Sound.</w:t>
      </w:r>
      <w:r>
        <w:t xml:space="preserve"> </w:t>
      </w:r>
      <w:r>
        <w:t xml:space="preserve">Learn the baseline soundscape. Anything that breaks the baseline is information. Birds alarm-calling = predator nearby.</w:t>
      </w:r>
    </w:p>
    <w:p>
      <w:pPr>
        <w:pStyle w:val="Compact"/>
        <w:numPr>
          <w:ilvl w:val="0"/>
          <w:numId w:val="1029"/>
        </w:numPr>
      </w:pPr>
      <w:r>
        <w:rPr>
          <w:b/>
          <w:bCs/>
        </w:rPr>
        <w:t xml:space="preserve">Smell.</w:t>
      </w:r>
      <w:r>
        <w:t xml:space="preserve"> </w:t>
      </w:r>
      <w:r>
        <w:t xml:space="preserve">Smoke = fire = other humans (or uncontrolled wildfire). Rotting = biological hazard. Cooking food = people, potentially friendly.</w:t>
      </w:r>
    </w:p>
    <w:p>
      <w:pPr>
        <w:pStyle w:val="Compact"/>
        <w:numPr>
          <w:ilvl w:val="0"/>
          <w:numId w:val="1029"/>
        </w:numPr>
      </w:pPr>
      <w:r>
        <w:rPr>
          <w:b/>
          <w:bCs/>
        </w:rPr>
        <w:t xml:space="preserve">Patterns.</w:t>
      </w:r>
      <w:r>
        <w:t xml:space="preserve"> </w:t>
      </w:r>
      <w:r>
        <w:t xml:space="preserve">Zombies (canonical model) are attracted to sound and movement. Move quietly, deliberately, in shadow when possible.</w:t>
      </w:r>
    </w:p>
    <w:bookmarkEnd w:id="158"/>
    <w:bookmarkStart w:id="159" w:name="energy"/>
    <w:p>
      <w:pPr>
        <w:pStyle w:val="Heading3"/>
      </w:pPr>
      <w:r>
        <w:t xml:space="preserve">Energy</w:t>
      </w:r>
    </w:p>
    <w:p>
      <w:pPr>
        <w:pStyle w:val="FirstParagraph"/>
      </w:pPr>
      <w:r>
        <w:t xml:space="preserve">Conserve it. The survival economy is brutally simple:</w:t>
      </w:r>
    </w:p>
    <w:p>
      <w:pPr>
        <w:pStyle w:val="SourceCode"/>
      </w:pPr>
      <w:r>
        <w:rPr>
          <w:rStyle w:val="VerbatimChar"/>
        </w:rPr>
        <w:t xml:space="preserve">  Energy in (food) ──→ Energy out (activity)</w:t>
      </w:r>
      <w:r>
        <w:br/>
      </w:r>
      <w:r>
        <w:br/>
      </w:r>
      <w:r>
        <w:rPr>
          <w:rStyle w:val="VerbatimChar"/>
        </w:rPr>
        <w:t xml:space="preserve">  Rule: If the activity doesn't contribute to survival,</w:t>
      </w:r>
      <w:r>
        <w:br/>
      </w:r>
      <w:r>
        <w:rPr>
          <w:rStyle w:val="VerbatimChar"/>
        </w:rPr>
        <w:t xml:space="preserve">        don't do it. Panic running is energy waste.</w:t>
      </w:r>
      <w:r>
        <w:br/>
      </w:r>
      <w:r>
        <w:rPr>
          <w:rStyle w:val="VerbatimChar"/>
        </w:rPr>
        <w:t xml:space="preserve">        Strategic walking is energy investment.</w:t>
      </w:r>
    </w:p>
    <w:bookmarkEnd w:id="159"/>
    <w:bookmarkStart w:id="160" w:name="hygiene"/>
    <w:p>
      <w:pPr>
        <w:pStyle w:val="Heading3"/>
      </w:pPr>
      <w:r>
        <w:t xml:space="preserve">Hygiene</w:t>
      </w:r>
    </w:p>
    <w:p>
      <w:pPr>
        <w:pStyle w:val="FirstParagraph"/>
      </w:pPr>
      <w:r>
        <w:t xml:space="preserve">The thing that kills most people in disaster scenarios isn’t the disaster itself — it’s the infection that follows. Cholera, dysentery, and wound sepsis have killed more humans than every zombie movie combined.</w:t>
      </w:r>
    </w:p>
    <w:p>
      <w:pPr>
        <w:pStyle w:val="Compact"/>
        <w:numPr>
          <w:ilvl w:val="0"/>
          <w:numId w:val="1030"/>
        </w:numPr>
      </w:pPr>
      <w:r>
        <w:rPr>
          <w:b/>
          <w:bCs/>
        </w:rPr>
        <w:t xml:space="preserve">Defecate</w:t>
      </w:r>
      <w:r>
        <w:t xml:space="preserve"> </w:t>
      </w:r>
      <w:r>
        <w:t xml:space="preserve">away from water sources and camp. Bury it. Minimum 30m from water, 30m from shelter.</w:t>
      </w:r>
    </w:p>
    <w:p>
      <w:pPr>
        <w:pStyle w:val="Compact"/>
        <w:numPr>
          <w:ilvl w:val="0"/>
          <w:numId w:val="1030"/>
        </w:numPr>
      </w:pPr>
      <w:r>
        <w:rPr>
          <w:b/>
          <w:bCs/>
        </w:rPr>
        <w:t xml:space="preserve">Wash hands</w:t>
      </w:r>
      <w:r>
        <w:t xml:space="preserve"> </w:t>
      </w:r>
      <w:r>
        <w:t xml:space="preserve">with ash and water if soap is unavailable. Ash is alkaline and breaks down oils/bacteria.</w:t>
      </w:r>
    </w:p>
    <w:p>
      <w:pPr>
        <w:pStyle w:val="Compact"/>
        <w:numPr>
          <w:ilvl w:val="0"/>
          <w:numId w:val="1030"/>
        </w:numPr>
      </w:pPr>
      <w:r>
        <w:rPr>
          <w:b/>
          <w:bCs/>
        </w:rPr>
        <w:t xml:space="preserve">Wounds</w:t>
      </w:r>
      <w:r>
        <w:t xml:space="preserve"> </w:t>
      </w:r>
      <w:r>
        <w:t xml:space="preserve">must be cleaned immediately. Even small cuts can become lethal in a low-hygiene environment.</w:t>
      </w:r>
    </w:p>
    <w:p>
      <w:pPr>
        <w:pStyle w:val="Compact"/>
        <w:numPr>
          <w:ilvl w:val="0"/>
          <w:numId w:val="1030"/>
        </w:numPr>
      </w:pPr>
      <w:r>
        <w:rPr>
          <w:b/>
          <w:bCs/>
        </w:rPr>
        <w:t xml:space="preserve">Teeth.</w:t>
      </w:r>
      <w:r>
        <w:t xml:space="preserve"> </w:t>
      </w:r>
      <w:r>
        <w:t xml:space="preserve">If you find a toothbrush, it’s more valuable than you think. Improvise: chewed stick (miswak technique), salt water rinse.</w:t>
      </w:r>
    </w:p>
    <w:bookmarkEnd w:id="160"/>
    <w:bookmarkEnd w:id="161"/>
    <w:bookmarkStart w:id="170" w:name="mini-collapsing-society-guide"/>
    <w:p>
      <w:pPr>
        <w:pStyle w:val="Heading2"/>
      </w:pPr>
      <w:r>
        <w:t xml:space="preserve">Mini Collapsing Society Guide</w:t>
      </w:r>
    </w:p>
    <w:p>
      <w:pPr>
        <w:pStyle w:val="FirstParagraph"/>
      </w:pPr>
      <w:r>
        <w:t xml:space="preserve">The immediate danger has passed (or you’ve adapted). Now: the infrastructure that kept 8 billion humans alive is degraded or gone. You need to rebuild some of it, locally.</w:t>
      </w:r>
    </w:p>
    <w:bookmarkStart w:id="162" w:name="gathering-remaining-resources"/>
    <w:p>
      <w:pPr>
        <w:pStyle w:val="Heading3"/>
      </w:pPr>
      <w:r>
        <w:t xml:space="preserve">Gathering Remaining Resources</w:t>
      </w:r>
    </w:p>
    <w:p>
      <w:pPr>
        <w:pStyle w:val="FirstParagraph"/>
      </w:pPr>
      <w:r>
        <w:t xml:space="preserve">Priority order — not by what’s valuable, but by what’s</w:t>
      </w:r>
      <w:r>
        <w:t xml:space="preserve"> </w:t>
      </w:r>
      <w:r>
        <w:rPr>
          <w:i/>
          <w:iCs/>
        </w:rPr>
        <w:t xml:space="preserve">irreplaceable</w:t>
      </w:r>
      <w:r>
        <w:t xml:space="preserve">:</w:t>
      </w:r>
    </w:p>
    <w:tbl>
      <w:tblPr>
        <w:tblStyle w:val="Table"/>
        <w:tblW w:type="pct" w:w="5000"/>
        <w:jc w:val="left"/>
        <w:tblLayout w:type="fixed"/>
        <w:tblLook w:firstRow="1" w:lastRow="0" w:firstColumn="0" w:lastColumn="0" w:noHBand="0" w:noVBand="0" w:val="0020"/>
      </w:tblPr>
      <w:tblGrid>
        <w:gridCol w:w="1885"/>
        <w:gridCol w:w="1885"/>
        <w:gridCol w:w="2828"/>
        <w:gridCol w:w="1320"/>
      </w:tblGrid>
      <w:tr>
        <w:trPr>
          <w:tblHeader w:val="on"/>
        </w:trPr>
        <w:tc>
          <w:tcPr/>
          <w:p>
            <w:pPr>
              <w:pStyle w:val="Compact"/>
              <w:jc w:val="left"/>
            </w:pPr>
            <w:r>
              <w:t xml:space="preserve">Priority</w:t>
            </w:r>
          </w:p>
        </w:tc>
        <w:tc>
          <w:tcPr/>
          <w:p>
            <w:pPr>
              <w:pStyle w:val="Compact"/>
              <w:jc w:val="left"/>
            </w:pPr>
            <w:r>
              <w:t xml:space="preserve">Resource</w:t>
            </w:r>
          </w:p>
        </w:tc>
        <w:tc>
          <w:tcPr/>
          <w:p>
            <w:pPr>
              <w:pStyle w:val="Compact"/>
              <w:jc w:val="left"/>
            </w:pPr>
            <w:r>
              <w:t xml:space="preserve">Why it matters</w:t>
            </w:r>
          </w:p>
        </w:tc>
        <w:tc>
          <w:tcPr/>
          <w:p>
            <w:pPr>
              <w:pStyle w:val="Compact"/>
              <w:jc w:val="left"/>
            </w:pPr>
            <w:r>
              <w:t xml:space="preserve">Notes</w:t>
            </w:r>
          </w:p>
        </w:tc>
      </w:tr>
      <w:tr>
        <w:tc>
          <w:tcPr/>
          <w:p>
            <w:pPr>
              <w:pStyle w:val="Compact"/>
              <w:jc w:val="left"/>
            </w:pPr>
            <w:r>
              <w:t xml:space="preserve">1</w:t>
            </w:r>
          </w:p>
        </w:tc>
        <w:tc>
          <w:tcPr/>
          <w:p>
            <w:pPr>
              <w:pStyle w:val="Compact"/>
              <w:jc w:val="left"/>
            </w:pPr>
            <w:r>
              <w:rPr>
                <w:b/>
                <w:bCs/>
              </w:rPr>
              <w:t xml:space="preserve">Medical</w:t>
            </w:r>
          </w:p>
        </w:tc>
        <w:tc>
          <w:tcPr/>
          <w:p>
            <w:pPr>
              <w:pStyle w:val="Compact"/>
              <w:jc w:val="left"/>
            </w:pPr>
            <w:r>
              <w:t xml:space="preserve">Drugs, equipment, and most critically:</w:t>
            </w:r>
            <w:r>
              <w:t xml:space="preserve"> </w:t>
            </w:r>
            <w:r>
              <w:rPr>
                <w:b/>
                <w:bCs/>
              </w:rPr>
              <w:t xml:space="preserve">medical personnel</w:t>
            </w:r>
          </w:p>
        </w:tc>
        <w:tc>
          <w:tcPr/>
          <w:p>
            <w:pPr>
              <w:pStyle w:val="Compact"/>
              <w:jc w:val="left"/>
            </w:pPr>
            <w:r>
              <w:t xml:space="preserve">A trained nurse is worth 1000 crates of supplies. Protect them.</w:t>
            </w:r>
          </w:p>
        </w:tc>
      </w:tr>
      <w:tr>
        <w:tc>
          <w:tcPr/>
          <w:p>
            <w:pPr>
              <w:pStyle w:val="Compact"/>
              <w:jc w:val="left"/>
            </w:pPr>
            <w:r>
              <w:t xml:space="preserve">2</w:t>
            </w:r>
          </w:p>
        </w:tc>
        <w:tc>
          <w:tcPr/>
          <w:p>
            <w:pPr>
              <w:pStyle w:val="Compact"/>
              <w:jc w:val="left"/>
            </w:pPr>
            <w:r>
              <w:rPr>
                <w:b/>
                <w:bCs/>
              </w:rPr>
              <w:t xml:space="preserve">Bicycles</w:t>
            </w:r>
          </w:p>
        </w:tc>
        <w:tc>
          <w:tcPr/>
          <w:p>
            <w:pPr>
              <w:pStyle w:val="Compact"/>
              <w:jc w:val="left"/>
            </w:pPr>
            <w:r>
              <w:t xml:space="preserve">Transportation that doesn’t require fuel. Silent. Maintainable.</w:t>
            </w:r>
          </w:p>
        </w:tc>
        <w:tc>
          <w:tcPr/>
          <w:p>
            <w:pPr>
              <w:pStyle w:val="Compact"/>
              <w:jc w:val="left"/>
            </w:pPr>
            <w:r>
              <w:t xml:space="preserve">Cars need fuel, fuel degrades, fuel is loud. Bikes are the post-apocalypse vehicle.</w:t>
            </w:r>
          </w:p>
        </w:tc>
      </w:tr>
      <w:tr>
        <w:tc>
          <w:tcPr/>
          <w:p>
            <w:pPr>
              <w:pStyle w:val="Compact"/>
              <w:jc w:val="left"/>
            </w:pPr>
            <w:r>
              <w:t xml:space="preserve">3</w:t>
            </w:r>
          </w:p>
        </w:tc>
        <w:tc>
          <w:tcPr/>
          <w:p>
            <w:pPr>
              <w:pStyle w:val="Compact"/>
              <w:jc w:val="left"/>
            </w:pPr>
            <w:r>
              <w:rPr>
                <w:b/>
                <w:bCs/>
              </w:rPr>
              <w:t xml:space="preserve">Water source</w:t>
            </w:r>
          </w:p>
        </w:tc>
        <w:tc>
          <w:tcPr/>
          <w:p>
            <w:pPr>
              <w:pStyle w:val="Compact"/>
              <w:jc w:val="left"/>
            </w:pPr>
            <w:r>
              <w:t xml:space="preserve">A well, spring, or clean river access point</w:t>
            </w:r>
          </w:p>
        </w:tc>
        <w:tc>
          <w:tcPr/>
          <w:p>
            <w:pPr>
              <w:pStyle w:val="Compact"/>
              <w:jc w:val="left"/>
            </w:pPr>
            <w:r>
              <w:t xml:space="preserve">Secure it. Defend it. Share it strategically.</w:t>
            </w:r>
          </w:p>
        </w:tc>
      </w:tr>
      <w:tr>
        <w:tc>
          <w:tcPr/>
          <w:p>
            <w:pPr>
              <w:pStyle w:val="Compact"/>
              <w:jc w:val="left"/>
            </w:pPr>
            <w:r>
              <w:t xml:space="preserve">4</w:t>
            </w:r>
          </w:p>
        </w:tc>
        <w:tc>
          <w:tcPr/>
          <w:p>
            <w:pPr>
              <w:pStyle w:val="Compact"/>
              <w:jc w:val="left"/>
            </w:pPr>
            <w:r>
              <w:rPr>
                <w:b/>
                <w:bCs/>
              </w:rPr>
              <w:t xml:space="preserve">Energy source</w:t>
            </w:r>
          </w:p>
        </w:tc>
        <w:tc>
          <w:tcPr/>
          <w:p>
            <w:pPr>
              <w:pStyle w:val="Compact"/>
              <w:jc w:val="left"/>
            </w:pPr>
            <w:r>
              <w:t xml:space="preserve">Solar panels, batteries, generators, firewood</w:t>
            </w:r>
          </w:p>
        </w:tc>
        <w:tc>
          <w:tcPr/>
          <w:p>
            <w:pPr>
              <w:pStyle w:val="Compact"/>
              <w:jc w:val="left"/>
            </w:pPr>
            <w:r>
              <w:t xml:space="preserve">Renewable &gt; consumable. Solar panels are permanent; fuel is finite.</w:t>
            </w:r>
          </w:p>
        </w:tc>
      </w:tr>
      <w:tr>
        <w:tc>
          <w:tcPr/>
          <w:p>
            <w:pPr>
              <w:pStyle w:val="Compact"/>
              <w:jc w:val="left"/>
            </w:pPr>
            <w:r>
              <w:t xml:space="preserve">5</w:t>
            </w:r>
          </w:p>
        </w:tc>
        <w:tc>
          <w:tcPr/>
          <w:p>
            <w:pPr>
              <w:pStyle w:val="Compact"/>
              <w:jc w:val="left"/>
            </w:pPr>
            <w:r>
              <w:rPr>
                <w:b/>
                <w:bCs/>
              </w:rPr>
              <w:t xml:space="preserve">Sustainable materials</w:t>
            </w:r>
          </w:p>
        </w:tc>
        <w:tc>
          <w:tcPr/>
          <w:p>
            <w:pPr>
              <w:pStyle w:val="Compact"/>
              <w:jc w:val="left"/>
            </w:pPr>
            <w:r>
              <w:t xml:space="preserve">Seeds, soil, tools, fabric, rope, metal, knowledge</w:t>
            </w:r>
          </w:p>
        </w:tc>
        <w:tc>
          <w:tcPr/>
          <w:p>
            <w:pPr>
              <w:pStyle w:val="Compact"/>
              <w:jc w:val="left"/>
            </w:pPr>
            <w:r>
              <w:t xml:space="preserve">The stuff you can’t loot — you have to produce.</w:t>
            </w:r>
          </w:p>
        </w:tc>
      </w:tr>
      <w:tr>
        <w:tc>
          <w:tcPr/>
          <w:p>
            <w:pPr>
              <w:pStyle w:val="Compact"/>
              <w:jc w:val="left"/>
            </w:pPr>
            <w:r>
              <w:t xml:space="preserve">6</w:t>
            </w:r>
          </w:p>
        </w:tc>
        <w:tc>
          <w:tcPr/>
          <w:p>
            <w:pPr>
              <w:pStyle w:val="Compact"/>
              <w:jc w:val="left"/>
            </w:pPr>
            <w:r>
              <w:rPr>
                <w:b/>
                <w:bCs/>
              </w:rPr>
              <w:t xml:space="preserve">Tech</w:t>
            </w:r>
          </w:p>
        </w:tc>
        <w:tc>
          <w:tcPr/>
          <w:p>
            <w:pPr>
              <w:pStyle w:val="Compact"/>
              <w:jc w:val="left"/>
            </w:pPr>
            <w:r>
              <w:t xml:space="preserve">Radios, phones (offline tools), reference books</w:t>
            </w:r>
          </w:p>
        </w:tc>
        <w:tc>
          <w:tcPr/>
          <w:p>
            <w:pPr>
              <w:pStyle w:val="Compact"/>
              <w:jc w:val="left"/>
            </w:pPr>
            <w:r>
              <w:t xml:space="preserve">A first-aid manual &gt; smartphone with no network. Books don’t need charging.</w:t>
            </w:r>
          </w:p>
        </w:tc>
      </w:tr>
    </w:tbl>
    <w:p>
      <w:pPr>
        <w:pStyle w:val="BodyText"/>
      </w:pPr>
      <w:r>
        <w:rPr>
          <w:b/>
          <w:bCs/>
        </w:rPr>
        <w:t xml:space="preserve">Looting etiquette (yes, even now):</w:t>
      </w:r>
      <w:r>
        <w:t xml:space="preserve"> </w:t>
      </w:r>
      <w:r>
        <w:t xml:space="preserve">If someone else is already there, the resource is theirs by occupancy. Fight only if the cost of fighting is less than the value of the resource. It almost never is. Cooperation &gt; conflict. Always.</w:t>
      </w:r>
    </w:p>
    <w:bookmarkEnd w:id="162"/>
    <w:bookmarkStart w:id="163" w:name="securing-friends-people-in-need"/>
    <w:p>
      <w:pPr>
        <w:pStyle w:val="Heading3"/>
      </w:pPr>
      <w:r>
        <w:t xml:space="preserve">Securing Friends + People in Need</w:t>
      </w:r>
    </w:p>
    <w:p>
      <w:pPr>
        <w:pStyle w:val="FirstParagraph"/>
      </w:pPr>
      <w:r>
        <w:t xml:space="preserve">You cannot survive alone long-term. The lone wolf dies. The pack lives.</w:t>
      </w:r>
    </w:p>
    <w:p>
      <w:pPr>
        <w:pStyle w:val="Compact"/>
        <w:numPr>
          <w:ilvl w:val="0"/>
          <w:numId w:val="1031"/>
        </w:numPr>
      </w:pPr>
      <w:r>
        <w:rPr>
          <w:b/>
          <w:bCs/>
        </w:rPr>
        <w:t xml:space="preserve">Find your people.</w:t>
      </w:r>
      <w:r>
        <w:t xml:space="preserve"> </w:t>
      </w:r>
      <w:r>
        <w:t xml:space="preserve">Start with people you know and trust. Expand outward. Trust is transitive but degrades with distance — one degree of separation is reliable, two is uncertain, three is stranger.</w:t>
      </w:r>
    </w:p>
    <w:p>
      <w:pPr>
        <w:pStyle w:val="Compact"/>
        <w:numPr>
          <w:ilvl w:val="0"/>
          <w:numId w:val="1031"/>
        </w:numPr>
      </w:pPr>
      <w:r>
        <w:rPr>
          <w:b/>
          <w:bCs/>
        </w:rPr>
        <w:t xml:space="preserve">Rescue those who need it.</w:t>
      </w:r>
      <w:r>
        <w:t xml:space="preserve"> </w:t>
      </w:r>
      <w:r>
        <w:t xml:space="preserve">Children, elderly, injured, isolated — these people cost resources short-term and provide social cohesion and meaning long-term. A community that abandons its vulnerable will collapse from the inside.</w:t>
      </w:r>
    </w:p>
    <w:p>
      <w:pPr>
        <w:pStyle w:val="Compact"/>
        <w:numPr>
          <w:ilvl w:val="0"/>
          <w:numId w:val="1031"/>
        </w:numPr>
      </w:pPr>
      <w:r>
        <w:rPr>
          <w:b/>
          <w:bCs/>
        </w:rPr>
        <w:t xml:space="preserve">Vetting newcomers.</w:t>
      </w:r>
      <w:r>
        <w:t xml:space="preserve"> </w:t>
      </w:r>
      <w:r>
        <w:t xml:space="preserve">Everyone gets a trial period. Observe behavior under stress. Do they share? Do they lie? Do they pull their weight? Three strikes is generous; two is practical.</w:t>
      </w:r>
    </w:p>
    <w:bookmarkEnd w:id="163"/>
    <w:bookmarkStart w:id="165" w:name="group-communication-channels"/>
    <w:p>
      <w:pPr>
        <w:pStyle w:val="Heading3"/>
      </w:pPr>
      <w:r>
        <w:t xml:space="preserve">Group Communication Channels</w:t>
      </w:r>
    </w:p>
    <w:p>
      <w:pPr>
        <w:pStyle w:val="FirstParagraph"/>
      </w:pPr>
      <w:r>
        <w:t xml:space="preserve">As your group grows, communication complexity explodes. The number of pairwise communication channels in a group of</w:t>
      </w:r>
      <w:r>
        <w:t xml:space="preserve"> </w:t>
      </w:r>
      <m:oMath>
        <m:r>
          <m:t>n</m:t>
        </m:r>
      </m:oMath>
      <w:r>
        <w:t xml:space="preserve"> </w:t>
      </w:r>
      <w:r>
        <w:t xml:space="preserve">people is:</w:t>
      </w:r>
    </w:p>
    <w:p>
      <w:pPr>
        <w:pStyle w:val="BodyText"/>
      </w:pPr>
      <m:oMathPara>
        <m:oMathParaPr>
          <m:jc m:val="center"/>
        </m:oMathParaPr>
        <m:oMath>
          <m:r>
            <m:t>C</m:t>
          </m:r>
          <m:d>
            <m:dPr>
              <m:begChr m:val="("/>
              <m:endChr m:val=")"/>
              <m:sepChr m:val=""/>
              <m:grow/>
            </m:dPr>
            <m:e>
              <m:r>
                <m:t>n</m:t>
              </m:r>
            </m:e>
          </m:d>
          <m:r>
            <m:rPr>
              <m:sty m:val="p"/>
            </m:rPr>
            <m:t>=</m:t>
          </m:r>
          <m:f>
            <m:fPr>
              <m:type m:val="bar"/>
            </m:fPr>
            <m:num>
              <m:r>
                <m:t>n</m:t>
              </m:r>
              <m:d>
                <m:dPr>
                  <m:begChr m:val="("/>
                  <m:endChr m:val=")"/>
                  <m:sepChr m:val=""/>
                  <m:grow/>
                </m:dPr>
                <m:e>
                  <m:r>
                    <m:t>n</m:t>
                  </m:r>
                  <m:r>
                    <m:rPr>
                      <m:sty m:val="p"/>
                    </m:rPr>
                    <m:t>−</m:t>
                  </m:r>
                  <m:r>
                    <m:t>1</m:t>
                  </m:r>
                </m:e>
              </m:d>
            </m:num>
            <m:den>
              <m:r>
                <m:t>2</m:t>
              </m:r>
            </m:den>
          </m:f>
        </m:oMath>
      </m:oMathPara>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Group size</w:t>
            </w:r>
          </w:p>
        </w:tc>
        <w:tc>
          <w:tcPr/>
          <w:p>
            <w:pPr>
              <w:pStyle w:val="Compact"/>
              <w:jc w:val="left"/>
            </w:pPr>
            <w:r>
              <w:t xml:space="preserve">Channels</w:t>
            </w:r>
            <w:r>
              <w:t xml:space="preserve"> </w:t>
            </w:r>
            <m:oMath>
              <m:r>
                <m:t>C</m:t>
              </m:r>
              <m:d>
                <m:dPr>
                  <m:begChr m:val="("/>
                  <m:endChr m:val=")"/>
                  <m:sepChr m:val=""/>
                  <m:grow/>
                </m:dPr>
                <m:e>
                  <m:r>
                    <m:t>n</m:t>
                  </m:r>
                </m:e>
              </m:d>
            </m:oMath>
          </w:p>
        </w:tc>
        <w:tc>
          <w:tcPr/>
          <w:p>
            <w:pPr>
              <w:pStyle w:val="Compact"/>
              <w:jc w:val="left"/>
            </w:pPr>
            <w:r>
              <w:t xml:space="preserve">Implication</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Everyone talks to everyone. Easy.</w:t>
            </w:r>
          </w:p>
        </w:tc>
      </w:tr>
      <w:tr>
        <w:tc>
          <w:tcPr/>
          <w:p>
            <w:pPr>
              <w:pStyle w:val="Compact"/>
              <w:jc w:val="left"/>
            </w:pPr>
            <w:r>
              <w:t xml:space="preserve">5</w:t>
            </w:r>
          </w:p>
        </w:tc>
        <w:tc>
          <w:tcPr/>
          <w:p>
            <w:pPr>
              <w:pStyle w:val="Compact"/>
              <w:jc w:val="left"/>
            </w:pPr>
            <w:r>
              <w:t xml:space="preserve">10</w:t>
            </w:r>
          </w:p>
        </w:tc>
        <w:tc>
          <w:tcPr/>
          <w:p>
            <w:pPr>
              <w:pStyle w:val="Compact"/>
              <w:jc w:val="left"/>
            </w:pPr>
            <w:r>
              <w:t xml:space="preserve">Still manageable, but some conversations get missed.</w:t>
            </w:r>
          </w:p>
        </w:tc>
      </w:tr>
      <w:tr>
        <w:tc>
          <w:tcPr/>
          <w:p>
            <w:pPr>
              <w:pStyle w:val="Compact"/>
              <w:jc w:val="left"/>
            </w:pPr>
            <w:r>
              <w:t xml:space="preserve">10</w:t>
            </w:r>
          </w:p>
        </w:tc>
        <w:tc>
          <w:tcPr/>
          <w:p>
            <w:pPr>
              <w:pStyle w:val="Compact"/>
              <w:jc w:val="left"/>
            </w:pPr>
            <w:r>
              <w:t xml:space="preserve">45</w:t>
            </w:r>
          </w:p>
        </w:tc>
        <w:tc>
          <w:tcPr/>
          <w:p>
            <w:pPr>
              <w:pStyle w:val="Compact"/>
              <w:jc w:val="left"/>
            </w:pPr>
            <w:r>
              <w:t xml:space="preserve">You need structured communication.</w:t>
            </w:r>
          </w:p>
        </w:tc>
      </w:tr>
      <w:tr>
        <w:tc>
          <w:tcPr/>
          <w:p>
            <w:pPr>
              <w:pStyle w:val="Compact"/>
              <w:jc w:val="left"/>
            </w:pPr>
            <w:r>
              <w:t xml:space="preserve">20</w:t>
            </w:r>
          </w:p>
        </w:tc>
        <w:tc>
          <w:tcPr/>
          <w:p>
            <w:pPr>
              <w:pStyle w:val="Compact"/>
              <w:jc w:val="left"/>
            </w:pPr>
            <w:r>
              <w:t xml:space="preserve">190</w:t>
            </w:r>
          </w:p>
        </w:tc>
        <w:tc>
          <w:tcPr/>
          <w:p>
            <w:pPr>
              <w:pStyle w:val="Compact"/>
              <w:jc w:val="left"/>
            </w:pPr>
            <w:r>
              <w:t xml:space="preserve">Without systems, information is lost constantly.</w:t>
            </w:r>
          </w:p>
        </w:tc>
      </w:tr>
      <w:tr>
        <w:tc>
          <w:tcPr/>
          <w:p>
            <w:pPr>
              <w:pStyle w:val="Compact"/>
              <w:jc w:val="left"/>
            </w:pPr>
            <w:r>
              <w:t xml:space="preserve">50</w:t>
            </w:r>
          </w:p>
        </w:tc>
        <w:tc>
          <w:tcPr/>
          <w:p>
            <w:pPr>
              <w:pStyle w:val="Compact"/>
              <w:jc w:val="left"/>
            </w:pPr>
            <w:r>
              <w:t xml:space="preserve">1,225</w:t>
            </w:r>
          </w:p>
        </w:tc>
        <w:tc>
          <w:tcPr/>
          <w:p>
            <w:pPr>
              <w:pStyle w:val="Compact"/>
              <w:jc w:val="left"/>
            </w:pPr>
            <w:r>
              <w:t xml:space="preserve">Formal communication channels are mandatory.</w:t>
            </w:r>
          </w:p>
        </w:tc>
      </w:tr>
      <w:tr>
        <w:tc>
          <w:tcPr/>
          <w:p>
            <w:pPr>
              <w:pStyle w:val="Compact"/>
              <w:jc w:val="left"/>
            </w:pPr>
            <w:r>
              <w:t xml:space="preserve">100</w:t>
            </w:r>
          </w:p>
        </w:tc>
        <w:tc>
          <w:tcPr/>
          <w:p>
            <w:pPr>
              <w:pStyle w:val="Compact"/>
              <w:jc w:val="left"/>
            </w:pPr>
            <w:r>
              <w:t xml:space="preserve">4,950</w:t>
            </w:r>
          </w:p>
        </w:tc>
        <w:tc>
          <w:tcPr/>
          <w:p>
            <w:pPr>
              <w:pStyle w:val="Compact"/>
              <w:jc w:val="left"/>
            </w:pPr>
            <w:r>
              <w:t xml:space="preserve">Hierarchy or network structure required.</w:t>
            </w:r>
          </w:p>
        </w:tc>
      </w:tr>
    </w:tbl>
    <w:p>
      <w:pPr>
        <w:pStyle w:val="BodyText"/>
      </w:pPr>
      <w:r>
        <w:t xml:space="preserve">This is why small groups feel</w:t>
      </w:r>
      <w:r>
        <w:t xml:space="preserve"> </w:t>
      </w:r>
      <w:r>
        <w:t xml:space="preserve">“</w:t>
      </w:r>
      <w:r>
        <w:t xml:space="preserve">tight</w:t>
      </w:r>
      <w:r>
        <w:t xml:space="preserve">”</w:t>
      </w:r>
      <w:r>
        <w:t xml:space="preserve"> </w:t>
      </w:r>
      <w:r>
        <w:t xml:space="preserve">and large groups feel</w:t>
      </w:r>
      <w:r>
        <w:t xml:space="preserve"> </w:t>
      </w:r>
      <w:r>
        <w:t xml:space="preserve">“</w:t>
      </w:r>
      <w:r>
        <w:t xml:space="preserve">bureaucratic</w:t>
      </w:r>
      <w:r>
        <w:t xml:space="preserve">”</w:t>
      </w:r>
      <w:r>
        <w:t xml:space="preserve"> </w:t>
      </w:r>
      <w:r>
        <w:t xml:space="preserve">— the communication channels scale quadratically. You can’t fight the math. You can only design systems that acknowledge it.</w:t>
      </w:r>
      <w:r>
        <w:rPr>
          <w:rStyle w:val="FootnoteReference"/>
        </w:rPr>
        <w:footnoteReference w:id="164"/>
      </w:r>
    </w:p>
    <w:bookmarkEnd w:id="165"/>
    <w:bookmarkStart w:id="167" w:name="X89070432e95e1e0cf25a7126d2b68c49cdfaef4"/>
    <w:p>
      <w:pPr>
        <w:pStyle w:val="Heading3"/>
      </w:pPr>
      <w:r>
        <w:t xml:space="preserve">Dunbar Numbers — The Social Brain Hypothesis</w:t>
      </w:r>
    </w:p>
    <w:p>
      <w:pPr>
        <w:pStyle w:val="FirstParagraph"/>
      </w:pPr>
      <w:r>
        <w:t xml:space="preserve">Robin Dunbar’s research on primate neocortex size and social group sizes produced a series of concentric circles of human social capacity:</w:t>
      </w:r>
      <w:r>
        <w:rPr>
          <w:rStyle w:val="FootnoteReference"/>
        </w:rPr>
        <w:footnoteReference w:id="166"/>
      </w:r>
    </w:p>
    <w:p>
      <w:pPr>
        <w:pStyle w:val="BodyText"/>
      </w:pPr>
      <m:oMathPara>
        <m:oMathParaPr>
          <m:jc m:val="center"/>
        </m:oMathParaPr>
        <m:oMath>
          <m:sSub>
            <m:e>
              <m:r>
                <m:t>D</m:t>
              </m:r>
            </m:e>
            <m:sub>
              <m:r>
                <m:t>n</m:t>
              </m:r>
            </m:sub>
          </m:sSub>
          <m:r>
            <m:rPr>
              <m:sty m:val="p"/>
            </m:rPr>
            <m:t>=</m:t>
          </m:r>
          <m:r>
            <m:t>5</m:t>
          </m:r>
          <m:r>
            <m:rPr>
              <m:sty m:val="p"/>
            </m:rPr>
            <m:t>⋅</m:t>
          </m:r>
          <m:sSup>
            <m:e>
              <m:r>
                <m:t>3</m:t>
              </m:r>
            </m:e>
            <m:sup>
              <m:r>
                <m:t>n</m:t>
              </m:r>
              <m:r>
                <m:rPr>
                  <m:sty m:val="p"/>
                </m:rPr>
                <m:t>−</m:t>
              </m:r>
              <m:r>
                <m:t>1</m:t>
              </m:r>
            </m:sup>
          </m:sSup>
          <m:r>
            <m:t> </m:t>
          </m:r>
          <m:r>
            <m:rPr>
              <m:nor/>
              <m:sty m:val="p"/>
            </m:rPr>
            <m:t>for </m:t>
          </m:r>
          <m:r>
            <m:t>n</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m:oMathPara>
    </w:p>
    <w:tbl>
      <w:tblPr>
        <w:tblStyle w:val="Table"/>
        <w:tblW w:type="pct" w:w="5000"/>
        <w:jc w:val="left"/>
        <w:tblLayout w:type="fixed"/>
        <w:tblLook w:firstRow="1" w:lastRow="0" w:firstColumn="0" w:lastColumn="0" w:noHBand="0" w:noVBand="0" w:val="0020"/>
      </w:tblPr>
      <w:tblGrid>
        <w:gridCol w:w="1046"/>
        <w:gridCol w:w="896"/>
        <w:gridCol w:w="3138"/>
        <w:gridCol w:w="2839"/>
      </w:tblGrid>
      <w:tr>
        <w:trPr>
          <w:tblHeader w:val="on"/>
        </w:trPr>
        <w:tc>
          <w:tcPr/>
          <w:p>
            <w:pPr>
              <w:pStyle w:val="Compact"/>
              <w:jc w:val="left"/>
            </w:pPr>
            <w:r>
              <w:t xml:space="preserve">Layer</w:t>
            </w:r>
          </w:p>
        </w:tc>
        <w:tc>
          <w:tcPr/>
          <w:p>
            <w:pPr>
              <w:pStyle w:val="Compact"/>
              <w:jc w:val="left"/>
            </w:pPr>
            <w:r>
              <w:t xml:space="preserve">Size</w:t>
            </w:r>
          </w:p>
        </w:tc>
        <w:tc>
          <w:tcPr/>
          <w:p>
            <w:pPr>
              <w:pStyle w:val="Compact"/>
              <w:jc w:val="left"/>
            </w:pPr>
            <w:r>
              <w:t xml:space="preserve">Relationship quality</w:t>
            </w:r>
          </w:p>
        </w:tc>
        <w:tc>
          <w:tcPr/>
          <w:p>
            <w:pPr>
              <w:pStyle w:val="Compact"/>
              <w:jc w:val="left"/>
            </w:pPr>
            <w:r>
              <w:t xml:space="preserve">In survival context</w:t>
            </w:r>
          </w:p>
        </w:tc>
      </w:tr>
      <w:tr>
        <w:tc>
          <w:tcPr/>
          <w:p>
            <w:pPr>
              <w:pStyle w:val="Compact"/>
              <w:jc w:val="left"/>
            </w:pPr>
            <m:oMath>
              <m:sSub>
                <m:e>
                  <m:r>
                    <m:t>D</m:t>
                  </m:r>
                </m:e>
                <m:sub>
                  <m:r>
                    <m:t>1</m:t>
                  </m:r>
                </m:sub>
              </m:sSub>
            </m:oMath>
          </w:p>
        </w:tc>
        <w:tc>
          <w:tcPr/>
          <w:p>
            <w:pPr>
              <w:pStyle w:val="Compact"/>
              <w:jc w:val="left"/>
            </w:pPr>
            <w:r>
              <w:t xml:space="preserve">~5</w:t>
            </w:r>
          </w:p>
        </w:tc>
        <w:tc>
          <w:tcPr/>
          <w:p>
            <w:pPr>
              <w:pStyle w:val="Compact"/>
              <w:jc w:val="left"/>
            </w:pPr>
            <w:r>
              <w:t xml:space="preserve">Intimate support group</w:t>
            </w:r>
          </w:p>
        </w:tc>
        <w:tc>
          <w:tcPr/>
          <w:p>
            <w:pPr>
              <w:pStyle w:val="Compact"/>
              <w:jc w:val="left"/>
            </w:pPr>
            <w:r>
              <w:t xml:space="preserve">Your inner circle. Trust with your life.</w:t>
            </w:r>
          </w:p>
        </w:tc>
      </w:tr>
      <w:tr>
        <w:tc>
          <w:tcPr/>
          <w:p>
            <w:pPr>
              <w:pStyle w:val="Compact"/>
              <w:jc w:val="left"/>
            </w:pPr>
            <m:oMath>
              <m:sSub>
                <m:e>
                  <m:r>
                    <m:t>D</m:t>
                  </m:r>
                </m:e>
                <m:sub>
                  <m:r>
                    <m:t>2</m:t>
                  </m:r>
                </m:sub>
              </m:sSub>
            </m:oMath>
          </w:p>
        </w:tc>
        <w:tc>
          <w:tcPr/>
          <w:p>
            <w:pPr>
              <w:pStyle w:val="Compact"/>
              <w:jc w:val="left"/>
            </w:pPr>
            <w:r>
              <w:t xml:space="preserve">~15</w:t>
            </w:r>
          </w:p>
        </w:tc>
        <w:tc>
          <w:tcPr/>
          <w:p>
            <w:pPr>
              <w:pStyle w:val="Compact"/>
              <w:jc w:val="left"/>
            </w:pPr>
            <w:r>
              <w:t xml:space="preserve">Close friends</w:t>
            </w:r>
          </w:p>
        </w:tc>
        <w:tc>
          <w:tcPr/>
          <w:p>
            <w:pPr>
              <w:pStyle w:val="Compact"/>
              <w:jc w:val="left"/>
            </w:pPr>
            <w:r>
              <w:t xml:space="preserve">Reliable allies. Regular contact.</w:t>
            </w:r>
          </w:p>
        </w:tc>
      </w:tr>
      <w:tr>
        <w:tc>
          <w:tcPr/>
          <w:p>
            <w:pPr>
              <w:pStyle w:val="Compact"/>
              <w:jc w:val="left"/>
            </w:pPr>
            <m:oMath>
              <m:sSub>
                <m:e>
                  <m:r>
                    <m:t>D</m:t>
                  </m:r>
                </m:e>
                <m:sub>
                  <m:r>
                    <m:t>3</m:t>
                  </m:r>
                </m:sub>
              </m:sSub>
            </m:oMath>
          </w:p>
        </w:tc>
        <w:tc>
          <w:tcPr/>
          <w:p>
            <w:pPr>
              <w:pStyle w:val="Compact"/>
              <w:jc w:val="left"/>
            </w:pPr>
            <w:r>
              <w:t xml:space="preserve">~50</w:t>
            </w:r>
          </w:p>
        </w:tc>
        <w:tc>
          <w:tcPr/>
          <w:p>
            <w:pPr>
              <w:pStyle w:val="Compact"/>
              <w:jc w:val="left"/>
            </w:pPr>
            <w:r>
              <w:t xml:space="preserve">Casual friends</w:t>
            </w:r>
          </w:p>
        </w:tc>
        <w:tc>
          <w:tcPr/>
          <w:p>
            <w:pPr>
              <w:pStyle w:val="Compact"/>
              <w:jc w:val="left"/>
            </w:pPr>
            <w:r>
              <w:t xml:space="preserve">Know their names and skills. Occasional contact.</w:t>
            </w:r>
          </w:p>
        </w:tc>
      </w:tr>
      <w:tr>
        <w:tc>
          <w:tcPr/>
          <w:p>
            <w:pPr>
              <w:pStyle w:val="Compact"/>
              <w:jc w:val="left"/>
            </w:pPr>
            <m:oMath>
              <m:sSub>
                <m:e>
                  <m:r>
                    <m:t>D</m:t>
                  </m:r>
                </m:e>
                <m:sub>
                  <m:r>
                    <m:t>4</m:t>
                  </m:r>
                </m:sub>
              </m:sSub>
            </m:oMath>
          </w:p>
        </w:tc>
        <w:tc>
          <w:tcPr/>
          <w:p>
            <w:pPr>
              <w:pStyle w:val="Compact"/>
              <w:jc w:val="left"/>
            </w:pPr>
            <w:r>
              <w:t xml:space="preserve">~150</w:t>
            </w:r>
          </w:p>
        </w:tc>
        <w:tc>
          <w:tcPr/>
          <w:p>
            <w:pPr>
              <w:pStyle w:val="Compact"/>
              <w:jc w:val="left"/>
            </w:pPr>
            <w:r>
              <w:t xml:space="preserve">Meaningful contacts</w:t>
            </w:r>
          </w:p>
        </w:tc>
        <w:tc>
          <w:tcPr/>
          <w:p>
            <w:pPr>
              <w:pStyle w:val="Compact"/>
              <w:jc w:val="left"/>
            </w:pPr>
            <w:r>
              <w:t xml:space="preserve">Recognize faces. Know reputations.</w:t>
            </w:r>
          </w:p>
        </w:tc>
      </w:tr>
      <w:tr>
        <w:tc>
          <w:tcPr/>
          <w:p>
            <w:pPr>
              <w:pStyle w:val="Compact"/>
              <w:jc w:val="left"/>
            </w:pPr>
            <m:oMath>
              <m:sSub>
                <m:e>
                  <m:r>
                    <m:t>D</m:t>
                  </m:r>
                </m:e>
                <m:sub>
                  <m:r>
                    <m:t>5</m:t>
                  </m:r>
                </m:sub>
              </m:sSub>
            </m:oMath>
          </w:p>
        </w:tc>
        <w:tc>
          <w:tcPr/>
          <w:p>
            <w:pPr>
              <w:pStyle w:val="Compact"/>
              <w:jc w:val="left"/>
            </w:pPr>
            <w:r>
              <w:t xml:space="preserve">~500</w:t>
            </w:r>
          </w:p>
        </w:tc>
        <w:tc>
          <w:tcPr/>
          <w:p>
            <w:pPr>
              <w:pStyle w:val="Compact"/>
              <w:jc w:val="left"/>
            </w:pPr>
            <w:r>
              <w:t xml:space="preserve">Acquaintances</w:t>
            </w:r>
          </w:p>
        </w:tc>
        <w:tc>
          <w:tcPr/>
          <w:p>
            <w:pPr>
              <w:pStyle w:val="Compact"/>
              <w:jc w:val="left"/>
            </w:pPr>
            <w:r>
              <w:t xml:space="preserve">Names might ring a bell. Expanding network.</w:t>
            </w:r>
          </w:p>
        </w:tc>
      </w:tr>
    </w:tbl>
    <w:p>
      <w:pPr>
        <w:pStyle w:val="BodyText"/>
      </w:pPr>
      <w:r>
        <w:t xml:space="preserve">The implication for survival groups: at ~5 people, you have deep mutual knowledge. At ~15, you need explicit coordination. At ~50, you need sub-groups and representatives. At ~150, you need formal governance. The Dunbar numbers aren’t just social science — they’re the scaling limits of trust, and trust is the currency of survival.</w:t>
      </w:r>
    </w:p>
    <w:bookmarkEnd w:id="167"/>
    <w:bookmarkStart w:id="168" w:name="self-defense-last-resort"/>
    <w:p>
      <w:pPr>
        <w:pStyle w:val="Heading3"/>
      </w:pPr>
      <w:r>
        <w:t xml:space="preserve">Self-Defense (Last Resort)</w:t>
      </w:r>
    </w:p>
    <w:p>
      <w:pPr>
        <w:pStyle w:val="FirstParagraph"/>
      </w:pPr>
      <w:r>
        <w:t xml:space="preserve">The math of violence is always bad: winner is still injured and spent resources; loser is dead or vengeful; avoider is intact with resources preserved.</w:t>
      </w:r>
    </w:p>
    <w:p>
      <w:pPr>
        <w:pStyle w:val="Compact"/>
        <w:numPr>
          <w:ilvl w:val="0"/>
          <w:numId w:val="1032"/>
        </w:numPr>
      </w:pPr>
      <w:r>
        <w:rPr>
          <w:b/>
          <w:bCs/>
        </w:rPr>
        <w:t xml:space="preserve">Situational awareness.</w:t>
      </w:r>
      <w:r>
        <w:t xml:space="preserve"> </w:t>
      </w:r>
      <w:r>
        <w:t xml:space="preserve">See threats before they become fights. The best fight is the one that never happens.</w:t>
      </w:r>
    </w:p>
    <w:p>
      <w:pPr>
        <w:pStyle w:val="Compact"/>
        <w:numPr>
          <w:ilvl w:val="0"/>
          <w:numId w:val="1032"/>
        </w:numPr>
      </w:pPr>
      <w:r>
        <w:rPr>
          <w:b/>
          <w:bCs/>
        </w:rPr>
        <w:t xml:space="preserve">Barriers.</w:t>
      </w:r>
      <w:r>
        <w:t xml:space="preserve"> </w:t>
      </w:r>
      <w:r>
        <w:t xml:space="preserve">Doors, walls, fences, distance. Obstacles buy time, and time buys options.</w:t>
      </w:r>
    </w:p>
    <w:p>
      <w:pPr>
        <w:pStyle w:val="Compact"/>
        <w:numPr>
          <w:ilvl w:val="0"/>
          <w:numId w:val="1032"/>
        </w:numPr>
      </w:pPr>
      <w:r>
        <w:rPr>
          <w:b/>
          <w:bCs/>
        </w:rPr>
        <w:t xml:space="preserve">Improvised weapons.</w:t>
      </w:r>
      <w:r>
        <w:t xml:space="preserve"> </w:t>
      </w:r>
      <w:r>
        <w:t xml:space="preserve">Reach (sticks, pipes) &gt; edge (knives, glass) &gt; weight (rocks, hammers). Reach keeps them away. That’s the whole point.</w:t>
      </w:r>
    </w:p>
    <w:p>
      <w:pPr>
        <w:pStyle w:val="Compact"/>
        <w:numPr>
          <w:ilvl w:val="0"/>
          <w:numId w:val="1032"/>
        </w:numPr>
      </w:pPr>
      <w:r>
        <w:rPr>
          <w:b/>
          <w:bCs/>
        </w:rPr>
        <w:t xml:space="preserve">Numbers.</w:t>
      </w:r>
      <w:r>
        <w:t xml:space="preserve"> </w:t>
      </w:r>
      <w:r>
        <w:t xml:space="preserve">A group of 3 is harder to attack than a group of 1. This is the fundamental math of defense.</w:t>
      </w:r>
    </w:p>
    <w:bookmarkEnd w:id="168"/>
    <w:bookmarkStart w:id="169" w:name="water-energy-hygiene-at-scale"/>
    <w:p>
      <w:pPr>
        <w:pStyle w:val="Heading3"/>
      </w:pPr>
      <w:r>
        <w:t xml:space="preserve">Water · Energy · Hygiene at Scale</w:t>
      </w:r>
    </w:p>
    <w:p>
      <w:pPr>
        <w:pStyle w:val="Compact"/>
        <w:numPr>
          <w:ilvl w:val="0"/>
          <w:numId w:val="1033"/>
        </w:numPr>
      </w:pPr>
      <w:r>
        <w:rPr>
          <w:b/>
          <w:bCs/>
        </w:rPr>
        <w:t xml:space="preserve">Water:</w:t>
      </w:r>
      <w:r>
        <w:t xml:space="preserve"> </w:t>
      </w:r>
      <w:r>
        <w:t xml:space="preserve">3 liters per person per day (drinking + cooking). 10 people = 30L/day. A well producing 100L/day supports ~30 people.</w:t>
      </w:r>
    </w:p>
    <w:p>
      <w:pPr>
        <w:pStyle w:val="Compact"/>
        <w:numPr>
          <w:ilvl w:val="0"/>
          <w:numId w:val="1033"/>
        </w:numPr>
      </w:pPr>
      <w:r>
        <w:rPr>
          <w:b/>
          <w:bCs/>
        </w:rPr>
        <w:t xml:space="preserve">Energy:</w:t>
      </w:r>
      <w:r>
        <w:t xml:space="preserve"> </w:t>
      </w:r>
      <w:r>
        <w:t xml:space="preserve">One solar panel (~300W) supports basic lighting + phone charging for a small group. Heating and cooking require significantly more. Prioritize: cooking &gt; light &gt; comfort.</w:t>
      </w:r>
    </w:p>
    <w:p>
      <w:pPr>
        <w:pStyle w:val="Compact"/>
        <w:numPr>
          <w:ilvl w:val="0"/>
          <w:numId w:val="1033"/>
        </w:numPr>
      </w:pPr>
      <w:r>
        <w:rPr>
          <w:b/>
          <w:bCs/>
        </w:rPr>
        <w:t xml:space="preserve">Hygiene:</w:t>
      </w:r>
      <w:r>
        <w:t xml:space="preserve"> </w:t>
      </w:r>
      <w:r>
        <w:t xml:space="preserve">Latrines must scale with population. 1 latrine per 20 people, minimum. A cholera outbreak in a group of 50 with no sanitation will kill more than any zombie ever did.</w:t>
      </w:r>
    </w:p>
    <w:bookmarkEnd w:id="169"/>
    <w:bookmarkEnd w:id="170"/>
    <w:bookmarkStart w:id="184" w:name="mini-building-society-guide"/>
    <w:p>
      <w:pPr>
        <w:pStyle w:val="Heading2"/>
      </w:pPr>
      <w:r>
        <w:t xml:space="preserve">Mini Building Society Guide</w:t>
      </w:r>
    </w:p>
    <w:p>
      <w:pPr>
        <w:pStyle w:val="FirstParagraph"/>
      </w:pPr>
      <w:r>
        <w:t xml:space="preserve">You’ve survived. Now you need to</w:t>
      </w:r>
      <w:r>
        <w:t xml:space="preserve"> </w:t>
      </w:r>
      <w:r>
        <w:rPr>
          <w:i/>
          <w:iCs/>
        </w:rPr>
        <w:t xml:space="preserve">live</w:t>
      </w:r>
      <w:r>
        <w:t xml:space="preserve">. Organizing, making decisions together, building something that outlasts the crisis.</w:t>
      </w:r>
    </w:p>
    <w:bookmarkStart w:id="171" w:name="organizing-the-first-meeting"/>
    <w:p>
      <w:pPr>
        <w:pStyle w:val="Heading3"/>
      </w:pPr>
      <w:r>
        <w:t xml:space="preserve">Organizing: The First Meeting</w:t>
      </w:r>
    </w:p>
    <w:p>
      <w:pPr>
        <w:pStyle w:val="Compact"/>
        <w:numPr>
          <w:ilvl w:val="0"/>
          <w:numId w:val="1034"/>
        </w:numPr>
      </w:pPr>
      <w:r>
        <w:rPr>
          <w:b/>
          <w:bCs/>
        </w:rPr>
        <w:t xml:space="preserve">Agenda for Meeting #1:</w:t>
      </w:r>
    </w:p>
    <w:p>
      <w:pPr>
        <w:pStyle w:val="Compact"/>
        <w:numPr>
          <w:ilvl w:val="1"/>
          <w:numId w:val="1035"/>
        </w:numPr>
      </w:pPr>
      <w:r>
        <w:t xml:space="preserve">Who’s here? (Names, skills, needs)</w:t>
      </w:r>
    </w:p>
    <w:p>
      <w:pPr>
        <w:pStyle w:val="Compact"/>
        <w:numPr>
          <w:ilvl w:val="1"/>
          <w:numId w:val="1035"/>
        </w:numPr>
      </w:pPr>
      <w:r>
        <w:t xml:space="preserve">What do we have? (Resource inventory)</w:t>
      </w:r>
    </w:p>
    <w:p>
      <w:pPr>
        <w:pStyle w:val="Compact"/>
        <w:numPr>
          <w:ilvl w:val="1"/>
          <w:numId w:val="1035"/>
        </w:numPr>
      </w:pPr>
      <w:r>
        <w:t xml:space="preserve">What do we need? (Gap analysis)</w:t>
      </w:r>
    </w:p>
    <w:p>
      <w:pPr>
        <w:pStyle w:val="Compact"/>
        <w:numPr>
          <w:ilvl w:val="1"/>
          <w:numId w:val="1035"/>
        </w:numPr>
      </w:pPr>
      <w:r>
        <w:t xml:space="preserve">Who does what? (Role assignment)</w:t>
      </w:r>
    </w:p>
    <w:p>
      <w:pPr>
        <w:pStyle w:val="Compact"/>
        <w:numPr>
          <w:ilvl w:val="1"/>
          <w:numId w:val="1035"/>
        </w:numPr>
      </w:pPr>
      <w:r>
        <w:t xml:space="preserve">When do we meet again? (Daily at first, then weekly)</w:t>
      </w:r>
    </w:p>
    <w:p>
      <w:pPr>
        <w:pStyle w:val="Compact"/>
        <w:numPr>
          <w:ilvl w:val="0"/>
          <w:numId w:val="1034"/>
        </w:numPr>
      </w:pPr>
      <w:r>
        <w:rPr>
          <w:b/>
          <w:bCs/>
        </w:rPr>
        <w:t xml:space="preserve">Roles to fill immediately:</w:t>
      </w:r>
    </w:p>
    <w:p>
      <w:pPr>
        <w:pStyle w:val="Compact"/>
        <w:numPr>
          <w:ilvl w:val="1"/>
          <w:numId w:val="1036"/>
        </w:numPr>
      </w:pPr>
      <w:r>
        <w:rPr>
          <w:b/>
          <w:bCs/>
        </w:rPr>
        <w:t xml:space="preserve">Coordinator</w:t>
      </w:r>
      <w:r>
        <w:t xml:space="preserve"> </w:t>
      </w:r>
      <w:r>
        <w:t xml:space="preserve">— keeps the schedule, calls meetings, tracks decisions (facilitator, not leader)</w:t>
      </w:r>
    </w:p>
    <w:p>
      <w:pPr>
        <w:pStyle w:val="Compact"/>
        <w:numPr>
          <w:ilvl w:val="1"/>
          <w:numId w:val="1036"/>
        </w:numPr>
      </w:pPr>
      <w:r>
        <w:rPr>
          <w:b/>
          <w:bCs/>
        </w:rPr>
        <w:t xml:space="preserve">Supply manager</w:t>
      </w:r>
      <w:r>
        <w:t xml:space="preserve"> </w:t>
      </w:r>
      <w:r>
        <w:t xml:space="preserve">— tracks resources in and out</w:t>
      </w:r>
    </w:p>
    <w:p>
      <w:pPr>
        <w:pStyle w:val="Compact"/>
        <w:numPr>
          <w:ilvl w:val="1"/>
          <w:numId w:val="1036"/>
        </w:numPr>
      </w:pPr>
      <w:r>
        <w:rPr>
          <w:b/>
          <w:bCs/>
        </w:rPr>
        <w:t xml:space="preserve">Medic</w:t>
      </w:r>
      <w:r>
        <w:t xml:space="preserve"> </w:t>
      </w:r>
      <w:r>
        <w:t xml:space="preserve">— whoever has the most medical knowledge</w:t>
      </w:r>
    </w:p>
    <w:p>
      <w:pPr>
        <w:pStyle w:val="Compact"/>
        <w:numPr>
          <w:ilvl w:val="1"/>
          <w:numId w:val="1036"/>
        </w:numPr>
      </w:pPr>
      <w:r>
        <w:rPr>
          <w:b/>
          <w:bCs/>
        </w:rPr>
        <w:t xml:space="preserve">Security</w:t>
      </w:r>
      <w:r>
        <w:t xml:space="preserve"> </w:t>
      </w:r>
      <w:r>
        <w:t xml:space="preserve">— awareness, not aggression</w:t>
      </w:r>
    </w:p>
    <w:p>
      <w:pPr>
        <w:pStyle w:val="Compact"/>
        <w:numPr>
          <w:ilvl w:val="1"/>
          <w:numId w:val="1036"/>
        </w:numPr>
      </w:pPr>
      <w:r>
        <w:rPr>
          <w:b/>
          <w:bCs/>
        </w:rPr>
        <w:t xml:space="preserve">Cook</w:t>
      </w:r>
      <w:r>
        <w:t xml:space="preserve"> </w:t>
      </w:r>
      <w:r>
        <w:t xml:space="preserve">— communal meals build trust faster than any meeting</w:t>
      </w:r>
    </w:p>
    <w:bookmarkEnd w:id="171"/>
    <w:bookmarkStart w:id="173" w:name="Xd70b6fb167b901cac655be9039ea47dd1e8b760"/>
    <w:p>
      <w:pPr>
        <w:pStyle w:val="Heading3"/>
      </w:pPr>
      <w:r>
        <w:t xml:space="preserve">Ostrom’s 8 Principles for Common-Pool Resource Governance</w:t>
      </w:r>
    </w:p>
    <w:p>
      <w:pPr>
        <w:pStyle w:val="FirstParagraph"/>
      </w:pPr>
      <w:r>
        <w:t xml:space="preserve">Elinor Ostrom won the Nobel Prize in Economics (2009) for her work on how communities govern shared resources without top-down control. Her 8 design principles are the closest thing to a proven blueprint for self-governance:</w:t>
      </w:r>
      <w:r>
        <w:rPr>
          <w:rStyle w:val="FootnoteReference"/>
        </w:rPr>
        <w:footnoteReference w:id="172"/>
      </w:r>
    </w:p>
    <w:p>
      <w:pPr>
        <w:pStyle w:val="Compact"/>
        <w:numPr>
          <w:ilvl w:val="0"/>
          <w:numId w:val="1037"/>
        </w:numPr>
      </w:pPr>
      <w:r>
        <w:rPr>
          <w:b/>
          <w:bCs/>
        </w:rPr>
        <w:t xml:space="preserve">Clearly defined boundaries</w:t>
      </w:r>
      <w:r>
        <w:t xml:space="preserve"> </w:t>
      </w:r>
      <w:r>
        <w:t xml:space="preserve">— Who can use the resource? Who can’t?</w:t>
      </w:r>
    </w:p>
    <w:p>
      <w:pPr>
        <w:pStyle w:val="Compact"/>
        <w:numPr>
          <w:ilvl w:val="0"/>
          <w:numId w:val="1037"/>
        </w:numPr>
      </w:pPr>
      <w:r>
        <w:rPr>
          <w:b/>
          <w:bCs/>
        </w:rPr>
        <w:t xml:space="preserve">Congruence with local conditions</w:t>
      </w:r>
      <w:r>
        <w:t xml:space="preserve"> </w:t>
      </w:r>
      <w:r>
        <w:t xml:space="preserve">— Rules fit the actual situation, not an abstract ideal</w:t>
      </w:r>
    </w:p>
    <w:p>
      <w:pPr>
        <w:pStyle w:val="Compact"/>
        <w:numPr>
          <w:ilvl w:val="0"/>
          <w:numId w:val="1037"/>
        </w:numPr>
      </w:pPr>
      <w:r>
        <w:rPr>
          <w:b/>
          <w:bCs/>
        </w:rPr>
        <w:t xml:space="preserve">Participatory decision-making</w:t>
      </w:r>
      <w:r>
        <w:t xml:space="preserve"> </w:t>
      </w:r>
      <w:r>
        <w:t xml:space="preserve">— People affected by the rules help make them</w:t>
      </w:r>
    </w:p>
    <w:p>
      <w:pPr>
        <w:pStyle w:val="Compact"/>
        <w:numPr>
          <w:ilvl w:val="0"/>
          <w:numId w:val="1037"/>
        </w:numPr>
      </w:pPr>
      <w:r>
        <w:rPr>
          <w:b/>
          <w:bCs/>
        </w:rPr>
        <w:t xml:space="preserve">Monitoring</w:t>
      </w:r>
      <w:r>
        <w:t xml:space="preserve"> </w:t>
      </w:r>
      <w:r>
        <w:t xml:space="preserve">— Someone watches the resource and the rule-followers</w:t>
      </w:r>
    </w:p>
    <w:p>
      <w:pPr>
        <w:pStyle w:val="Compact"/>
        <w:numPr>
          <w:ilvl w:val="0"/>
          <w:numId w:val="1037"/>
        </w:numPr>
      </w:pPr>
      <w:r>
        <w:rPr>
          <w:b/>
          <w:bCs/>
        </w:rPr>
        <w:t xml:space="preserve">Graduated sanctions</w:t>
      </w:r>
      <w:r>
        <w:t xml:space="preserve"> </w:t>
      </w:r>
      <w:r>
        <w:t xml:space="preserve">— Small violations get small penalties, not exile</w:t>
      </w:r>
    </w:p>
    <w:p>
      <w:pPr>
        <w:pStyle w:val="Compact"/>
        <w:numPr>
          <w:ilvl w:val="0"/>
          <w:numId w:val="1037"/>
        </w:numPr>
      </w:pPr>
      <w:r>
        <w:rPr>
          <w:b/>
          <w:bCs/>
        </w:rPr>
        <w:t xml:space="preserve">Conflict resolution mechanisms</w:t>
      </w:r>
      <w:r>
        <w:t xml:space="preserve"> </w:t>
      </w:r>
      <w:r>
        <w:t xml:space="preserve">— Fast, cheap, fair dispute resolution</w:t>
      </w:r>
    </w:p>
    <w:p>
      <w:pPr>
        <w:pStyle w:val="Compact"/>
        <w:numPr>
          <w:ilvl w:val="0"/>
          <w:numId w:val="1037"/>
        </w:numPr>
      </w:pPr>
      <w:r>
        <w:rPr>
          <w:b/>
          <w:bCs/>
        </w:rPr>
        <w:t xml:space="preserve">Minimal recognition of rights</w:t>
      </w:r>
      <w:r>
        <w:t xml:space="preserve"> </w:t>
      </w:r>
      <w:r>
        <w:t xml:space="preserve">— External authorities don’t undermine local governance</w:t>
      </w:r>
    </w:p>
    <w:p>
      <w:pPr>
        <w:pStyle w:val="Compact"/>
        <w:numPr>
          <w:ilvl w:val="0"/>
          <w:numId w:val="1037"/>
        </w:numPr>
      </w:pPr>
      <w:r>
        <w:rPr>
          <w:b/>
          <w:bCs/>
        </w:rPr>
        <w:t xml:space="preserve">Nested enterprises</w:t>
      </w:r>
      <w:r>
        <w:t xml:space="preserve"> </w:t>
      </w:r>
      <w:r>
        <w:t xml:space="preserve">— Large systems are built from smaller, self-governing units</w:t>
      </w:r>
    </w:p>
    <w:p>
      <w:pPr>
        <w:pStyle w:val="FirstParagraph"/>
      </w:pPr>
      <w:r>
        <w:t xml:space="preserve">These principles emerged from studying fisheries, irrigation systems, forests, and pastures — real communities managing real scarce resources over centuries. They work because they align incentives with consequences. A community that follows all 8 is remarkably resilient. A community that ignores them is, historically, short-lived.</w:t>
      </w:r>
    </w:p>
    <w:bookmarkEnd w:id="173"/>
    <w:bookmarkStart w:id="174" w:name="forms-of-self-administration"/>
    <w:p>
      <w:pPr>
        <w:pStyle w:val="Heading3"/>
      </w:pPr>
      <w:r>
        <w:t xml:space="preserve">Forms of Self-Administration</w:t>
      </w:r>
    </w:p>
    <w:tbl>
      <w:tblPr>
        <w:tblStyle w:val="Table"/>
        <w:tblW w:type="pct" w:w="5000"/>
        <w:jc w:val="left"/>
        <w:tblLayout w:type="fixed"/>
        <w:tblLook w:firstRow="1" w:lastRow="0" w:firstColumn="0" w:lastColumn="0" w:noHBand="0" w:noVBand="0" w:val="0020"/>
      </w:tblPr>
      <w:tblGrid>
        <w:gridCol w:w="1386"/>
        <w:gridCol w:w="2574"/>
        <w:gridCol w:w="1980"/>
        <w:gridCol w:w="1980"/>
      </w:tblGrid>
      <w:tr>
        <w:trPr>
          <w:tblHeader w:val="on"/>
        </w:trPr>
        <w:tc>
          <w:tcPr/>
          <w:p>
            <w:pPr>
              <w:pStyle w:val="Compact"/>
              <w:jc w:val="left"/>
            </w:pPr>
            <w:r>
              <w:t xml:space="preserve">Model</w:t>
            </w:r>
          </w:p>
        </w:tc>
        <w:tc>
          <w:tcPr/>
          <w:p>
            <w:pPr>
              <w:pStyle w:val="Compact"/>
              <w:jc w:val="left"/>
            </w:pPr>
            <w:r>
              <w:t xml:space="preserve">How it works</w:t>
            </w:r>
          </w:p>
        </w:tc>
        <w:tc>
          <w:tcPr/>
          <w:p>
            <w:pPr>
              <w:pStyle w:val="Compact"/>
              <w:jc w:val="left"/>
            </w:pPr>
            <w:r>
              <w:t xml:space="preserve">Best for</w:t>
            </w:r>
          </w:p>
        </w:tc>
        <w:tc>
          <w:tcPr/>
          <w:p>
            <w:pPr>
              <w:pStyle w:val="Compact"/>
              <w:jc w:val="left"/>
            </w:pPr>
            <w:r>
              <w:t xml:space="preserve">Weakness</w:t>
            </w:r>
          </w:p>
        </w:tc>
      </w:tr>
      <w:tr>
        <w:tc>
          <w:tcPr/>
          <w:p>
            <w:pPr>
              <w:pStyle w:val="Compact"/>
              <w:jc w:val="left"/>
            </w:pPr>
            <w:r>
              <w:t xml:space="preserve">Consensus</w:t>
            </w:r>
          </w:p>
        </w:tc>
        <w:tc>
          <w:tcPr/>
          <w:p>
            <w:pPr>
              <w:pStyle w:val="Compact"/>
              <w:jc w:val="left"/>
            </w:pPr>
            <w:r>
              <w:t xml:space="preserve">Everyone must agree. Discussion until unanimous.</w:t>
            </w:r>
          </w:p>
        </w:tc>
        <w:tc>
          <w:tcPr/>
          <w:p>
            <w:pPr>
              <w:pStyle w:val="Compact"/>
              <w:jc w:val="left"/>
            </w:pPr>
            <w:r>
              <w:t xml:space="preserve">Small groups (≤8)</w:t>
            </w:r>
          </w:p>
        </w:tc>
        <w:tc>
          <w:tcPr/>
          <w:p>
            <w:pPr>
              <w:pStyle w:val="Compact"/>
              <w:jc w:val="left"/>
            </w:pPr>
            <w:r>
              <w:t xml:space="preserve">Slow. One holdout blocks everything.</w:t>
            </w:r>
          </w:p>
        </w:tc>
      </w:tr>
      <w:tr>
        <w:tc>
          <w:tcPr/>
          <w:p>
            <w:pPr>
              <w:pStyle w:val="Compact"/>
              <w:jc w:val="left"/>
            </w:pPr>
            <w:r>
              <w:t xml:space="preserve">Consent</w:t>
            </w:r>
          </w:p>
        </w:tc>
        <w:tc>
          <w:tcPr/>
          <w:p>
            <w:pPr>
              <w:pStyle w:val="Compact"/>
              <w:jc w:val="left"/>
            </w:pPr>
            <w:r>
              <w:t xml:space="preserve">Decisions proceed unless someone objects with reason.</w:t>
            </w:r>
          </w:p>
        </w:tc>
        <w:tc>
          <w:tcPr/>
          <w:p>
            <w:pPr>
              <w:pStyle w:val="Compact"/>
              <w:jc w:val="left"/>
            </w:pPr>
            <w:r>
              <w:t xml:space="preserve">Small-medium (≤25)</w:t>
            </w:r>
          </w:p>
        </w:tc>
        <w:tc>
          <w:tcPr/>
          <w:p>
            <w:pPr>
              <w:pStyle w:val="Compact"/>
              <w:jc w:val="left"/>
            </w:pPr>
            <w:r>
              <w:t xml:space="preserve">Faster. Requires trust.</w:t>
            </w:r>
          </w:p>
        </w:tc>
      </w:tr>
      <w:tr>
        <w:tc>
          <w:tcPr/>
          <w:p>
            <w:pPr>
              <w:pStyle w:val="Compact"/>
              <w:jc w:val="left"/>
            </w:pPr>
            <w:r>
              <w:t xml:space="preserve">Voting</w:t>
            </w:r>
          </w:p>
        </w:tc>
        <w:tc>
          <w:tcPr/>
          <w:p>
            <w:pPr>
              <w:pStyle w:val="Compact"/>
              <w:jc w:val="left"/>
            </w:pPr>
            <w:r>
              <w:t xml:space="preserve">Majority wins. Simple, familiar.</w:t>
            </w:r>
          </w:p>
        </w:tc>
        <w:tc>
          <w:tcPr/>
          <w:p>
            <w:pPr>
              <w:pStyle w:val="Compact"/>
              <w:jc w:val="left"/>
            </w:pPr>
            <w:r>
              <w:t xml:space="preserve">Medium (≤100)</w:t>
            </w:r>
          </w:p>
        </w:tc>
        <w:tc>
          <w:tcPr/>
          <w:p>
            <w:pPr>
              <w:pStyle w:val="Compact"/>
              <w:jc w:val="left"/>
            </w:pPr>
            <w:r>
              <w:t xml:space="preserve">Minority gets overridden.</w:t>
            </w:r>
          </w:p>
        </w:tc>
      </w:tr>
      <w:tr>
        <w:tc>
          <w:tcPr/>
          <w:p>
            <w:pPr>
              <w:pStyle w:val="Compact"/>
              <w:jc w:val="left"/>
            </w:pPr>
            <w:r>
              <w:t xml:space="preserve">Delegation</w:t>
            </w:r>
          </w:p>
        </w:tc>
        <w:tc>
          <w:tcPr/>
          <w:p>
            <w:pPr>
              <w:pStyle w:val="Compact"/>
              <w:jc w:val="left"/>
            </w:pPr>
            <w:r>
              <w:t xml:space="preserve">Groups elect representatives who decide.</w:t>
            </w:r>
          </w:p>
        </w:tc>
        <w:tc>
          <w:tcPr/>
          <w:p>
            <w:pPr>
              <w:pStyle w:val="Compact"/>
              <w:jc w:val="left"/>
            </w:pPr>
            <w:r>
              <w:t xml:space="preserve">Large (100+)</w:t>
            </w:r>
          </w:p>
        </w:tc>
        <w:tc>
          <w:tcPr/>
          <w:p>
            <w:pPr>
              <w:pStyle w:val="Compact"/>
              <w:jc w:val="left"/>
            </w:pPr>
            <w:r>
              <w:t xml:space="preserve">Distance between decision-makers and affected people.</w:t>
            </w:r>
          </w:p>
        </w:tc>
      </w:tr>
      <w:tr>
        <w:tc>
          <w:tcPr/>
          <w:p>
            <w:pPr>
              <w:pStyle w:val="Compact"/>
              <w:jc w:val="left"/>
            </w:pPr>
            <w:r>
              <w:t xml:space="preserve">Rotation</w:t>
            </w:r>
          </w:p>
        </w:tc>
        <w:tc>
          <w:tcPr/>
          <w:p>
            <w:pPr>
              <w:pStyle w:val="Compact"/>
              <w:jc w:val="left"/>
            </w:pPr>
            <w:r>
              <w:t xml:space="preserve">Roles rotate on a fixed schedule.</w:t>
            </w:r>
          </w:p>
        </w:tc>
        <w:tc>
          <w:tcPr/>
          <w:p>
            <w:pPr>
              <w:pStyle w:val="Compact"/>
              <w:jc w:val="left"/>
            </w:pPr>
            <w:r>
              <w:t xml:space="preserve">Any size</w:t>
            </w:r>
          </w:p>
        </w:tc>
        <w:tc>
          <w:tcPr/>
          <w:p>
            <w:pPr>
              <w:pStyle w:val="Compact"/>
              <w:jc w:val="left"/>
            </w:pPr>
            <w:r>
              <w:t xml:space="preserve">Inconsistent leadership.</w:t>
            </w:r>
          </w:p>
        </w:tc>
      </w:tr>
    </w:tbl>
    <w:p>
      <w:pPr>
        <w:pStyle w:val="BodyText"/>
      </w:pPr>
      <w:r>
        <w:rPr>
          <w:b/>
          <w:bCs/>
        </w:rPr>
        <w:t xml:space="preserve">Recommendation:</w:t>
      </w:r>
      <w:r>
        <w:t xml:space="preserve"> </w:t>
      </w:r>
      <w:r>
        <w:t xml:space="preserve">Start with Consent for day-to-day, Voting for big decisions. Adjust as you scale.</w:t>
      </w:r>
    </w:p>
    <w:bookmarkEnd w:id="174"/>
    <w:bookmarkStart w:id="175" w:name="X88acd73383b0cf2bf252ac0cf527268c9b9f584"/>
    <w:p>
      <w:pPr>
        <w:pStyle w:val="Heading3"/>
      </w:pPr>
      <w:r>
        <w:t xml:space="preserve">Psychology of the Masses / Sociology Basics</w:t>
      </w:r>
    </w:p>
    <w:p>
      <w:pPr>
        <w:pStyle w:val="Compact"/>
        <w:numPr>
          <w:ilvl w:val="0"/>
          <w:numId w:val="1038"/>
        </w:numPr>
      </w:pPr>
      <w:r>
        <w:rPr>
          <w:b/>
          <w:bCs/>
        </w:rPr>
        <w:t xml:space="preserve">Us vs. Them.</w:t>
      </w:r>
      <w:r>
        <w:t xml:space="preserve"> </w:t>
      </w:r>
      <w:r>
        <w:t xml:space="preserve">The most powerful social force. It can unite against an external threat — or split from within. If someone is trying to convince you that a subgroup within your community is the enemy,</w:t>
      </w:r>
      <w:r>
        <w:t xml:space="preserve"> </w:t>
      </w:r>
      <w:r>
        <w:rPr>
          <w:i/>
          <w:iCs/>
        </w:rPr>
        <w:t xml:space="preserve">that person is the actual threat</w:t>
      </w:r>
      <w:r>
        <w:t xml:space="preserve">.</w:t>
      </w:r>
    </w:p>
    <w:p>
      <w:pPr>
        <w:pStyle w:val="Compact"/>
        <w:numPr>
          <w:ilvl w:val="0"/>
          <w:numId w:val="1038"/>
        </w:numPr>
      </w:pPr>
      <w:r>
        <w:rPr>
          <w:b/>
          <w:bCs/>
        </w:rPr>
        <w:t xml:space="preserve">Conformity pressure.</w:t>
      </w:r>
      <w:r>
        <w:t xml:space="preserve"> </w:t>
      </w:r>
      <w:r>
        <w:t xml:space="preserve">Solomon Asch showed people will deny the evidence of their own eyes to agree with a group. If everyone says the water is safe and you think it isn’t — speak up. Dissent is a survival skill.</w:t>
      </w:r>
    </w:p>
    <w:p>
      <w:pPr>
        <w:pStyle w:val="Compact"/>
        <w:numPr>
          <w:ilvl w:val="0"/>
          <w:numId w:val="1038"/>
        </w:numPr>
      </w:pPr>
      <w:r>
        <w:rPr>
          <w:b/>
          <w:bCs/>
        </w:rPr>
        <w:t xml:space="preserve">Diffusion of responsibility.</w:t>
      </w:r>
      <w:r>
        <w:t xml:space="preserve"> </w:t>
      </w:r>
      <w:r>
        <w:t xml:space="preserve">“</w:t>
      </w:r>
      <w:r>
        <w:t xml:space="preserve">Someone else will handle it.</w:t>
      </w:r>
      <w:r>
        <w:t xml:space="preserve">”</w:t>
      </w:r>
      <w:r>
        <w:t xml:space="preserve"> </w:t>
      </w:r>
      <w:r>
        <w:t xml:space="preserve">Assign specific tasks to specific people.</w:t>
      </w:r>
      <w:r>
        <w:t xml:space="preserve"> </w:t>
      </w:r>
      <w:r>
        <w:t xml:space="preserve">“</w:t>
      </w:r>
      <w:r>
        <w:t xml:space="preserve">Someone check the perimeter</w:t>
      </w:r>
      <w:r>
        <w:t xml:space="preserve">”</w:t>
      </w:r>
      <w:r>
        <w:t xml:space="preserve"> </w:t>
      </w:r>
      <w:r>
        <w:t xml:space="preserve">= nobody checks.</w:t>
      </w:r>
      <w:r>
        <w:t xml:space="preserve"> </w:t>
      </w:r>
      <w:r>
        <w:t xml:space="preserve">“</w:t>
      </w:r>
      <w:r>
        <w:t xml:space="preserve">Anna, check the perimeter at 2100</w:t>
      </w:r>
      <w:r>
        <w:t xml:space="preserve">”</w:t>
      </w:r>
      <w:r>
        <w:t xml:space="preserve"> </w:t>
      </w:r>
      <w:r>
        <w:t xml:space="preserve">= perimeter gets checked.</w:t>
      </w:r>
    </w:p>
    <w:p>
      <w:pPr>
        <w:pStyle w:val="Compact"/>
        <w:numPr>
          <w:ilvl w:val="0"/>
          <w:numId w:val="1038"/>
        </w:numPr>
      </w:pPr>
      <w:r>
        <w:rPr>
          <w:b/>
          <w:bCs/>
        </w:rPr>
        <w:t xml:space="preserve">Authority capture.</w:t>
      </w:r>
      <w:r>
        <w:t xml:space="preserve"> </w:t>
      </w:r>
      <w:r>
        <w:t xml:space="preserve">In crisis, people defer to whoever seems most confident. Confidence ≠ competence. The quiet person with the notebook is probably right.</w:t>
      </w:r>
    </w:p>
    <w:bookmarkEnd w:id="175"/>
    <w:bookmarkStart w:id="179" w:name="group-complexity-scaling"/>
    <w:p>
      <w:pPr>
        <w:pStyle w:val="Heading3"/>
      </w:pPr>
      <w:r>
        <w:t xml:space="preserve">Group Complexity Scaling</w:t>
      </w:r>
    </w:p>
    <w:p>
      <w:pPr>
        <w:pStyle w:val="FirstParagraph"/>
      </w:pPr>
      <w:r>
        <w:t xml:space="preserve">As groups grow, the internal complexity grows faster than the headcount. We can model this as:</w:t>
      </w:r>
    </w:p>
    <w:p>
      <w:pPr>
        <w:pStyle w:val="CaptionedFigure"/>
      </w:pPr>
      <w:r>
        <w:drawing>
          <wp:inline>
            <wp:extent cx="5334000" cy="3184877"/>
            <wp:effectExtent b="0" l="0" r="0" t="0"/>
            <wp:docPr descr="Group Complexity Scaling — communication channels, governance layers, and management overhead" title="" id="177" name="Picture"/>
            <a:graphic>
              <a:graphicData uri="http://schemas.openxmlformats.org/drawingml/2006/picture">
                <pic:pic>
                  <pic:nvPicPr>
                    <pic:cNvPr descr="../diagrams/group_complexity_scaling.png" id="178" name="Picture"/>
                    <pic:cNvPicPr>
                      <a:picLocks noChangeArrowheads="1" noChangeAspect="1"/>
                    </pic:cNvPicPr>
                  </pic:nvPicPr>
                  <pic:blipFill>
                    <a:blip r:embed="rId176"/>
                    <a:stretch>
                      <a:fillRect/>
                    </a:stretch>
                  </pic:blipFill>
                  <pic:spPr bwMode="auto">
                    <a:xfrm>
                      <a:off x="0" y="0"/>
                      <a:ext cx="5334000" cy="3184877"/>
                    </a:xfrm>
                    <a:prstGeom prst="rect">
                      <a:avLst/>
                    </a:prstGeom>
                    <a:noFill/>
                    <a:ln w="9525">
                      <a:noFill/>
                      <a:headEnd/>
                      <a:tailEnd/>
                    </a:ln>
                  </pic:spPr>
                </pic:pic>
              </a:graphicData>
            </a:graphic>
          </wp:inline>
        </w:drawing>
      </w:r>
    </w:p>
    <w:p>
      <w:pPr>
        <w:pStyle w:val="ImageCaption"/>
      </w:pPr>
      <w:r>
        <w:t xml:space="preserve">Group Complexity Scaling — communication channels, governance layers, and management overhead</w:t>
      </w:r>
    </w:p>
    <w:bookmarkEnd w:id="179"/>
    <w:bookmarkStart w:id="183" w:name="scaling-requirements-1-10-100"/>
    <w:p>
      <w:pPr>
        <w:pStyle w:val="Heading3"/>
      </w:pPr>
      <w:r>
        <w:t xml:space="preserve">Scaling Requirements: 1 → 10 → 100</w:t>
      </w:r>
    </w:p>
    <w:p>
      <w:pPr>
        <w:pStyle w:val="CaptionedFigure"/>
      </w:pPr>
      <w:r>
        <w:drawing>
          <wp:inline>
            <wp:extent cx="5334000" cy="2650917"/>
            <wp:effectExtent b="0" l="0" r="0" t="0"/>
            <wp:docPr descr="Scaling Chart" title="" id="181" name="Picture"/>
            <a:graphic>
              <a:graphicData uri="http://schemas.openxmlformats.org/drawingml/2006/picture">
                <pic:pic>
                  <pic:nvPicPr>
                    <pic:cNvPr descr="../diagrams/scaling_chart.png" id="182" name="Picture"/>
                    <pic:cNvPicPr>
                      <a:picLocks noChangeArrowheads="1" noChangeAspect="1"/>
                    </pic:cNvPicPr>
                  </pic:nvPicPr>
                  <pic:blipFill>
                    <a:blip r:embed="rId180"/>
                    <a:stretch>
                      <a:fillRect/>
                    </a:stretch>
                  </pic:blipFill>
                  <pic:spPr bwMode="auto">
                    <a:xfrm>
                      <a:off x="0" y="0"/>
                      <a:ext cx="5334000" cy="2650917"/>
                    </a:xfrm>
                    <a:prstGeom prst="rect">
                      <a:avLst/>
                    </a:prstGeom>
                    <a:noFill/>
                    <a:ln w="9525">
                      <a:noFill/>
                      <a:headEnd/>
                      <a:tailEnd/>
                    </a:ln>
                  </pic:spPr>
                </pic:pic>
              </a:graphicData>
            </a:graphic>
          </wp:inline>
        </w:drawing>
      </w:r>
    </w:p>
    <w:p>
      <w:pPr>
        <w:pStyle w:val="ImageCaption"/>
      </w:pPr>
      <w:r>
        <w:t xml:space="preserve">Scaling Chart</w:t>
      </w:r>
    </w:p>
    <w:tbl>
      <w:tblPr>
        <w:tblStyle w:val="Table"/>
        <w:tblW w:type="pct" w:w="5000"/>
        <w:jc w:val="left"/>
        <w:tblLayout w:type="fixed"/>
        <w:tblLook w:firstRow="1" w:lastRow="0" w:firstColumn="0" w:lastColumn="0" w:noHBand="0" w:noVBand="0" w:val="0020"/>
      </w:tblPr>
      <w:tblGrid>
        <w:gridCol w:w="924"/>
        <w:gridCol w:w="1848"/>
        <w:gridCol w:w="1716"/>
        <w:gridCol w:w="1716"/>
        <w:gridCol w:w="1716"/>
      </w:tblGrid>
      <w:tr>
        <w:trPr>
          <w:tblHeader w:val="on"/>
        </w:trPr>
        <w:tc>
          <w:tcPr/>
          <w:p>
            <w:pPr>
              <w:pStyle w:val="Compact"/>
              <w:jc w:val="left"/>
            </w:pPr>
            <w:r>
              <w:t xml:space="preserve">Scale</w:t>
            </w:r>
          </w:p>
        </w:tc>
        <w:tc>
          <w:tcPr/>
          <w:p>
            <w:pPr>
              <w:pStyle w:val="Compact"/>
              <w:jc w:val="left"/>
            </w:pPr>
            <w:r>
              <w:t xml:space="preserve">Key challenge</w:t>
            </w:r>
          </w:p>
        </w:tc>
        <w:tc>
          <w:tcPr/>
          <w:p>
            <w:pPr>
              <w:pStyle w:val="Compact"/>
              <w:jc w:val="left"/>
            </w:pPr>
            <w:r>
              <w:t xml:space="preserve">What breaks</w:t>
            </w:r>
          </w:p>
        </w:tc>
        <w:tc>
          <w:tcPr/>
          <w:p>
            <w:pPr>
              <w:pStyle w:val="Compact"/>
              <w:jc w:val="left"/>
            </w:pPr>
            <w:r>
              <w:t xml:space="preserve">What to add</w:t>
            </w:r>
          </w:p>
        </w:tc>
        <w:tc>
          <w:tcPr/>
          <w:p>
            <w:pPr>
              <w:pStyle w:val="Compact"/>
              <w:jc w:val="left"/>
            </w:pPr>
            <w:r>
              <w:t xml:space="preserve">Dunbar layer</w:t>
            </w:r>
          </w:p>
        </w:tc>
      </w:tr>
      <w:tr>
        <w:tc>
          <w:tcPr/>
          <w:p>
            <w:pPr>
              <w:pStyle w:val="Compact"/>
              <w:jc w:val="left"/>
            </w:pPr>
            <w:r>
              <w:t xml:space="preserve">1 person</w:t>
            </w:r>
          </w:p>
        </w:tc>
        <w:tc>
          <w:tcPr/>
          <w:p>
            <w:pPr>
              <w:pStyle w:val="Compact"/>
              <w:jc w:val="left"/>
            </w:pPr>
            <w:r>
              <w:t xml:space="preserve">Loneliness, skill gaps</w:t>
            </w:r>
          </w:p>
        </w:tc>
        <w:tc>
          <w:tcPr/>
          <w:p>
            <w:pPr>
              <w:pStyle w:val="Compact"/>
              <w:jc w:val="left"/>
            </w:pPr>
            <w:r>
              <w:t xml:space="preserve">Nothing — it’s just you</w:t>
            </w:r>
          </w:p>
        </w:tc>
        <w:tc>
          <w:tcPr/>
          <w:p>
            <w:pPr>
              <w:pStyle w:val="Compact"/>
              <w:jc w:val="left"/>
            </w:pPr>
            <w:r>
              <w:t xml:space="preserve">Find people. Any people.</w:t>
            </w:r>
          </w:p>
        </w:tc>
        <w:tc>
          <w:tcPr/>
          <w:p>
            <w:pPr>
              <w:pStyle w:val="Compact"/>
              <w:jc w:val="left"/>
            </w:pPr>
            <m:oMath>
              <m:sSub>
                <m:e>
                  <m:r>
                    <m:t>D</m:t>
                  </m:r>
                </m:e>
                <m:sub>
                  <m:r>
                    <m:t>1</m:t>
                  </m:r>
                </m:sub>
              </m:sSub>
            </m:oMath>
            <w:r>
              <w:t xml:space="preserve"> </w:t>
            </w:r>
            <w:r>
              <w:t xml:space="preserve">(you)</w:t>
            </w:r>
          </w:p>
        </w:tc>
      </w:tr>
      <w:tr>
        <w:tc>
          <w:tcPr/>
          <w:p>
            <w:pPr>
              <w:pStyle w:val="Compact"/>
              <w:jc w:val="left"/>
            </w:pPr>
            <w:r>
              <w:t xml:space="preserve">2–5</w:t>
            </w:r>
          </w:p>
        </w:tc>
        <w:tc>
          <w:tcPr/>
          <w:p>
            <w:pPr>
              <w:pStyle w:val="Compact"/>
              <w:jc w:val="left"/>
            </w:pPr>
            <w:r>
              <w:t xml:space="preserve">Communication, trust</w:t>
            </w:r>
          </w:p>
        </w:tc>
        <w:tc>
          <w:tcPr/>
          <w:p>
            <w:pPr>
              <w:pStyle w:val="Compact"/>
              <w:jc w:val="left"/>
            </w:pPr>
            <w:r>
              <w:t xml:space="preserve">Unspoken expectations</w:t>
            </w:r>
          </w:p>
        </w:tc>
        <w:tc>
          <w:tcPr/>
          <w:p>
            <w:pPr>
              <w:pStyle w:val="Compact"/>
              <w:jc w:val="left"/>
            </w:pPr>
            <w:r>
              <w:t xml:space="preserve">Explicit agreements, shared meals</w:t>
            </w:r>
          </w:p>
        </w:tc>
        <w:tc>
          <w:tcPr/>
          <w:p>
            <w:pPr>
              <w:pStyle w:val="Compact"/>
              <w:jc w:val="left"/>
            </w:pPr>
            <m:oMath>
              <m:sSub>
                <m:e>
                  <m:r>
                    <m:t>D</m:t>
                  </m:r>
                </m:e>
                <m:sub>
                  <m:r>
                    <m:t>1</m:t>
                  </m:r>
                </m:sub>
              </m:sSub>
            </m:oMath>
            <w:r>
              <w:t xml:space="preserve"> </w:t>
            </w:r>
            <w:r>
              <w:t xml:space="preserve">(intimates)</w:t>
            </w:r>
          </w:p>
        </w:tc>
      </w:tr>
      <w:tr>
        <w:tc>
          <w:tcPr/>
          <w:p>
            <w:pPr>
              <w:pStyle w:val="Compact"/>
              <w:jc w:val="left"/>
            </w:pPr>
            <w:r>
              <w:t xml:space="preserve">6–10</w:t>
            </w:r>
          </w:p>
        </w:tc>
        <w:tc>
          <w:tcPr/>
          <w:p>
            <w:pPr>
              <w:pStyle w:val="Compact"/>
              <w:jc w:val="left"/>
            </w:pPr>
            <w:r>
              <w:t xml:space="preserve">Coordination, role clarity</w:t>
            </w:r>
          </w:p>
        </w:tc>
        <w:tc>
          <w:tcPr/>
          <w:p>
            <w:pPr>
              <w:pStyle w:val="Compact"/>
              <w:jc w:val="left"/>
            </w:pPr>
            <w:r>
              <w:t xml:space="preserve">“</w:t>
            </w:r>
            <w:r>
              <w:t xml:space="preserve">I thought you were doing that</w:t>
            </w:r>
            <w:r>
              <w:t xml:space="preserve">”</w:t>
            </w:r>
          </w:p>
        </w:tc>
        <w:tc>
          <w:tcPr/>
          <w:p>
            <w:pPr>
              <w:pStyle w:val="Compact"/>
              <w:jc w:val="left"/>
            </w:pPr>
            <w:r>
              <w:t xml:space="preserve">Regular meetings, written task lists</w:t>
            </w:r>
          </w:p>
        </w:tc>
        <w:tc>
          <w:tcPr/>
          <w:p>
            <w:pPr>
              <w:pStyle w:val="Compact"/>
              <w:jc w:val="left"/>
            </w:pPr>
            <m:oMath>
              <m:sSub>
                <m:e>
                  <m:r>
                    <m:t>D</m:t>
                  </m:r>
                </m:e>
                <m:sub>
                  <m:r>
                    <m:t>2</m:t>
                  </m:r>
                </m:sub>
              </m:sSub>
            </m:oMath>
            <w:r>
              <w:t xml:space="preserve"> </w:t>
            </w:r>
            <w:r>
              <w:t xml:space="preserve">(close friends)</w:t>
            </w:r>
          </w:p>
        </w:tc>
      </w:tr>
      <w:tr>
        <w:tc>
          <w:tcPr/>
          <w:p>
            <w:pPr>
              <w:pStyle w:val="Compact"/>
              <w:jc w:val="left"/>
            </w:pPr>
            <w:r>
              <w:t xml:space="preserve">11–25</w:t>
            </w:r>
          </w:p>
        </w:tc>
        <w:tc>
          <w:tcPr/>
          <w:p>
            <w:pPr>
              <w:pStyle w:val="Compact"/>
              <w:jc w:val="left"/>
            </w:pPr>
            <w:r>
              <w:t xml:space="preserve">Decision speed</w:t>
            </w:r>
          </w:p>
        </w:tc>
        <w:tc>
          <w:tcPr/>
          <w:p>
            <w:pPr>
              <w:pStyle w:val="Compact"/>
              <w:jc w:val="left"/>
            </w:pPr>
            <w:r>
              <w:t xml:space="preserve">Consensus too slow</w:t>
            </w:r>
          </w:p>
        </w:tc>
        <w:tc>
          <w:tcPr/>
          <w:p>
            <w:pPr>
              <w:pStyle w:val="Compact"/>
              <w:jc w:val="left"/>
            </w:pPr>
            <w:r>
              <w:t xml:space="preserve">Switch to Consent or Voting</w:t>
            </w:r>
          </w:p>
        </w:tc>
        <w:tc>
          <w:tcPr/>
          <w:p>
            <w:pPr>
              <w:pStyle w:val="Compact"/>
              <w:jc w:val="left"/>
            </w:pPr>
            <m:oMath>
              <m:sSub>
                <m:e>
                  <m:r>
                    <m:t>D</m:t>
                  </m:r>
                </m:e>
                <m:sub>
                  <m:r>
                    <m:t>2</m:t>
                  </m:r>
                </m:sub>
              </m:sSub>
            </m:oMath>
            <w:r>
              <w:t xml:space="preserve">→</w:t>
            </w:r>
            <m:oMath>
              <m:sSub>
                <m:e>
                  <m:r>
                    <m:t>D</m:t>
                  </m:r>
                </m:e>
                <m:sub>
                  <m:r>
                    <m:t>3</m:t>
                  </m:r>
                </m:sub>
              </m:sSub>
            </m:oMath>
            <w:r>
              <w:t xml:space="preserve"> </w:t>
            </w:r>
            <w:r>
              <w:t xml:space="preserve">transition</w:t>
            </w:r>
          </w:p>
        </w:tc>
      </w:tr>
      <w:tr>
        <w:tc>
          <w:tcPr/>
          <w:p>
            <w:pPr>
              <w:pStyle w:val="Compact"/>
              <w:jc w:val="left"/>
            </w:pPr>
            <w:r>
              <w:t xml:space="preserve">26–50</w:t>
            </w:r>
          </w:p>
        </w:tc>
        <w:tc>
          <w:tcPr/>
          <w:p>
            <w:pPr>
              <w:pStyle w:val="Compact"/>
              <w:jc w:val="left"/>
            </w:pPr>
            <w:r>
              <w:t xml:space="preserve">Sub-groups form</w:t>
            </w:r>
          </w:p>
        </w:tc>
        <w:tc>
          <w:tcPr/>
          <w:p>
            <w:pPr>
              <w:pStyle w:val="Compact"/>
              <w:jc w:val="left"/>
            </w:pPr>
            <w:r>
              <w:t xml:space="preserve">Information silos</w:t>
            </w:r>
          </w:p>
        </w:tc>
        <w:tc>
          <w:tcPr/>
          <w:p>
            <w:pPr>
              <w:pStyle w:val="Compact"/>
              <w:jc w:val="left"/>
            </w:pPr>
            <w:r>
              <w:t xml:space="preserve">Communication channels, representatives</w:t>
            </w:r>
          </w:p>
        </w:tc>
        <w:tc>
          <w:tcPr/>
          <w:p>
            <w:pPr>
              <w:pStyle w:val="Compact"/>
              <w:jc w:val="left"/>
            </w:pPr>
            <m:oMath>
              <m:sSub>
                <m:e>
                  <m:r>
                    <m:t>D</m:t>
                  </m:r>
                </m:e>
                <m:sub>
                  <m:r>
                    <m:t>3</m:t>
                  </m:r>
                </m:sub>
              </m:sSub>
            </m:oMath>
            <w:r>
              <w:t xml:space="preserve"> </w:t>
            </w:r>
            <w:r>
              <w:t xml:space="preserve">(casual friends)</w:t>
            </w:r>
          </w:p>
        </w:tc>
      </w:tr>
      <w:tr>
        <w:tc>
          <w:tcPr/>
          <w:p>
            <w:pPr>
              <w:pStyle w:val="Compact"/>
              <w:jc w:val="left"/>
            </w:pPr>
            <w:r>
              <w:t xml:space="preserve">51–100</w:t>
            </w:r>
          </w:p>
        </w:tc>
        <w:tc>
          <w:tcPr/>
          <w:p>
            <w:pPr>
              <w:pStyle w:val="Compact"/>
              <w:jc w:val="left"/>
            </w:pPr>
            <w:r>
              <w:t xml:space="preserve">Governance complexity</w:t>
            </w:r>
          </w:p>
        </w:tc>
        <w:tc>
          <w:tcPr/>
          <w:p>
            <w:pPr>
              <w:pStyle w:val="Compact"/>
              <w:jc w:val="left"/>
            </w:pPr>
            <w:r>
              <w:t xml:space="preserve">Power concentration</w:t>
            </w:r>
          </w:p>
        </w:tc>
        <w:tc>
          <w:tcPr/>
          <w:p>
            <w:pPr>
              <w:pStyle w:val="Compact"/>
              <w:jc w:val="left"/>
            </w:pPr>
            <w:r>
              <w:t xml:space="preserve">Formal roles, accountability, rotation</w:t>
            </w:r>
          </w:p>
        </w:tc>
        <w:tc>
          <w:tcPr/>
          <w:p>
            <w:pPr>
              <w:pStyle w:val="Compact"/>
              <w:jc w:val="left"/>
            </w:pPr>
            <m:oMath>
              <m:sSub>
                <m:e>
                  <m:r>
                    <m:t>D</m:t>
                  </m:r>
                </m:e>
                <m:sub>
                  <m:r>
                    <m:t>4</m:t>
                  </m:r>
                </m:sub>
              </m:sSub>
            </m:oMath>
            <w:r>
              <w:t xml:space="preserve"> </w:t>
            </w:r>
            <w:r>
              <w:t xml:space="preserve">(meaningful contacts)</w:t>
            </w:r>
          </w:p>
        </w:tc>
      </w:tr>
      <w:tr>
        <w:tc>
          <w:tcPr/>
          <w:p>
            <w:pPr>
              <w:pStyle w:val="Compact"/>
              <w:jc w:val="left"/>
            </w:pPr>
            <w:r>
              <w:t xml:space="preserve">100+</w:t>
            </w:r>
          </w:p>
        </w:tc>
        <w:tc>
          <w:tcPr/>
          <w:p>
            <w:pPr>
              <w:pStyle w:val="Compact"/>
              <w:jc w:val="left"/>
            </w:pPr>
            <w:r>
              <w:t xml:space="preserve">Institutional memory</w:t>
            </w:r>
          </w:p>
        </w:tc>
        <w:tc>
          <w:tcPr/>
          <w:p>
            <w:pPr>
              <w:pStyle w:val="Compact"/>
              <w:jc w:val="left"/>
            </w:pPr>
            <w:r>
              <w:t xml:space="preserve">Forgetting why decisions were made</w:t>
            </w:r>
          </w:p>
        </w:tc>
        <w:tc>
          <w:tcPr/>
          <w:p>
            <w:pPr>
              <w:pStyle w:val="Compact"/>
              <w:jc w:val="left"/>
            </w:pPr>
            <w:r>
              <w:t xml:space="preserve">Written records, onboarding for newcomers</w:t>
            </w:r>
          </w:p>
        </w:tc>
        <w:tc>
          <w:tcPr/>
          <w:p>
            <w:pPr>
              <w:pStyle w:val="Compact"/>
              <w:jc w:val="left"/>
            </w:pPr>
            <m:oMath>
              <m:sSub>
                <m:e>
                  <m:r>
                    <m:t>D</m:t>
                  </m:r>
                </m:e>
                <m:sub>
                  <m:r>
                    <m:t>5</m:t>
                  </m:r>
                </m:sub>
              </m:sSub>
            </m:oMath>
            <w:r>
              <w:t xml:space="preserve"> </w:t>
            </w:r>
            <w:r>
              <w:t xml:space="preserve">(acquaintances)</w:t>
            </w:r>
          </w:p>
        </w:tc>
      </w:tr>
    </w:tbl>
    <w:p>
      <w:pPr>
        <w:pStyle w:val="BodyText"/>
      </w:pPr>
      <w:r>
        <w:t xml:space="preserve">The pattern: every time you roughly double the group, your coordination systems need to level up. Don’t wait for things to break — anticipate the next scale and prepare before you reach it. The Dunbar numbers tell you approximately where the breakpoints are; Ostrom’s principles tell you how to build the structures that bridge them.</w:t>
      </w:r>
    </w:p>
    <w:p>
      <w:pPr>
        <w:pStyle w:val="BodyText"/>
      </w:pPr>
      <w:r>
        <w:t xml:space="preserve">title:</w:t>
      </w:r>
      <w:r>
        <w:t xml:space="preserve"> </w:t>
      </w:r>
      <w:r>
        <w:t xml:space="preserve">“</w:t>
      </w:r>
      <w:r>
        <w:t xml:space="preserve">Professional Support Directory</w:t>
      </w:r>
      <w:r>
        <w:t xml:space="preserve">”</w:t>
      </w:r>
      <w:r>
        <w:t xml:space="preserve"> </w:t>
      </w:r>
      <w:r>
        <w:t xml:space="preserve">chapter: 7</w:t>
      </w:r>
      <w:r>
        <w:t xml:space="preserve"> </w:t>
      </w:r>
      <w:r>
        <w:t xml:space="preserve">revision:</w:t>
      </w:r>
      <w:r>
        <w:t xml:space="preserve"> </w:t>
      </w:r>
      <w:r>
        <w:t xml:space="preserve">“</w:t>
      </w:r>
      <w:r>
        <w:t xml:space="preserve">3.2.0</w:t>
      </w:r>
      <w:r>
        <w:t xml:space="preserve">”</w:t>
      </w:r>
      <w:r>
        <w:t xml:space="preserve"> </w:t>
      </w:r>
      <w:r>
        <w:t xml:space="preserve">last_updated:</w:t>
      </w:r>
      <w:r>
        <w:t xml:space="preserve"> </w:t>
      </w:r>
      <w:r>
        <w:t xml:space="preserve">“</w:t>
      </w:r>
      <w:r>
        <w:t xml:space="preserve">2026-05-03</w:t>
      </w:r>
      <w:r>
        <w:t xml:space="preserve">”</w:t>
      </w:r>
      <w:r>
        <w:t xml:space="preserve"> </w:t>
      </w:r>
      <w:r>
        <w:t xml:space="preserve">dependencies: []</w:t>
      </w:r>
      <w:r>
        <w:t xml:space="preserve"> </w:t>
      </w:r>
      <w:r>
        <w:t xml:space="preserve">—</w:t>
      </w:r>
    </w:p>
    <w:bookmarkEnd w:id="183"/>
    <w:bookmarkEnd w:id="184"/>
    <w:bookmarkEnd w:id="185"/>
    <w:bookmarkStart w:id="212" w:name="Xe3a7452c2e8a3a60422c4f8e73d7cbf71e02c48"/>
    <w:p>
      <w:pPr>
        <w:pStyle w:val="Heading1"/>
      </w:pPr>
      <w:r>
        <w:t xml:space="preserve">📞 Professional Support Directory — When the Bathroom Isn’t Enough</w:t>
      </w:r>
    </w:p>
    <w:p>
      <w:pPr>
        <w:pStyle w:val="FirstParagraph"/>
      </w:pPr>
      <w:r>
        <w:t xml:space="preserve">This guide is a first response tool, not a replacement for professional help. The bathroom is where you stabilize. The people and organizations listed here are where you</w:t>
      </w:r>
      <w:r>
        <w:t xml:space="preserve"> </w:t>
      </w:r>
      <w:r>
        <w:rPr>
          <w:i/>
          <w:iCs/>
        </w:rPr>
        <w:t xml:space="preserve">resolve</w:t>
      </w:r>
      <w:r>
        <w:t xml:space="preserve">. Every entry in this directory was referenced by at least one path in the main guide — this section is where those references land.</w:t>
      </w:r>
    </w:p>
    <w:p>
      <w:pPr>
        <w:pStyle w:val="BodyText"/>
      </w:pPr>
      <w:r>
        <w:rPr>
          <w:b/>
          <w:bCs/>
        </w:rPr>
        <w:t xml:space="preserve">How to use this directory:</w:t>
      </w:r>
      <w:r>
        <w:t xml:space="preserve"> </w:t>
      </w:r>
      <w:r>
        <w:t xml:space="preserve">Find the category that matches your need. Call the number, visit the website, or go to the place. If the first contact doesn’t work, try the next one. Persistence is not weakness — it’s logistics.</w:t>
      </w:r>
    </w:p>
    <w:p>
      <w:pPr>
        <w:pStyle w:val="BodyText"/>
      </w:pPr>
      <w:r>
        <w:rPr>
          <w:b/>
          <w:bCs/>
        </w:rPr>
        <w:t xml:space="preserve">Regional note:</w:t>
      </w:r>
      <w:r>
        <w:t xml:space="preserve"> </w:t>
      </w:r>
      <w:r>
        <w:t xml:space="preserve">Listings are primarily oriented toward Germany (D) with EU context. If you’re reading this elsewhere, the categories still apply — substitute your local equivalents.</w:t>
      </w:r>
    </w:p>
    <w:bookmarkStart w:id="186" w:name="emergency-numbers"/>
    <w:p>
      <w:pPr>
        <w:pStyle w:val="Heading2"/>
      </w:pPr>
      <w:r>
        <w:t xml:space="preserve">Emergency Numbers</w:t>
      </w:r>
    </w:p>
    <w:tbl>
      <w:tblPr>
        <w:tblStyle w:val="Table"/>
        <w:tblW w:type="pct" w:w="5000"/>
        <w:jc w:val="left"/>
        <w:tblLayout w:type="fixed"/>
        <w:tblLook w:firstRow="1" w:lastRow="0" w:firstColumn="0" w:lastColumn="0" w:noHBand="0" w:noVBand="0" w:val="0020"/>
      </w:tblPr>
      <w:tblGrid>
        <w:gridCol w:w="1926"/>
        <w:gridCol w:w="1712"/>
        <w:gridCol w:w="2782"/>
        <w:gridCol w:w="1498"/>
      </w:tblGrid>
      <w:tr>
        <w:trPr>
          <w:tblHeader w:val="on"/>
        </w:trPr>
        <w:tc>
          <w:tcPr/>
          <w:p>
            <w:pPr>
              <w:pStyle w:val="Compact"/>
              <w:jc w:val="left"/>
            </w:pPr>
            <w:r>
              <w:t xml:space="preserve">Service</w:t>
            </w:r>
          </w:p>
        </w:tc>
        <w:tc>
          <w:tcPr/>
          <w:p>
            <w:pPr>
              <w:pStyle w:val="Compact"/>
              <w:jc w:val="left"/>
            </w:pPr>
            <w:r>
              <w:t xml:space="preserve">Number</w:t>
            </w:r>
          </w:p>
        </w:tc>
        <w:tc>
          <w:tcPr/>
          <w:p>
            <w:pPr>
              <w:pStyle w:val="Compact"/>
              <w:jc w:val="left"/>
            </w:pPr>
            <w:r>
              <w:t xml:space="preserve">When to call</w:t>
            </w:r>
          </w:p>
        </w:tc>
        <w:tc>
          <w:tcPr/>
          <w:p>
            <w:pPr>
              <w:pStyle w:val="Compact"/>
              <w:jc w:val="left"/>
            </w:pPr>
            <w:r>
              <w:t xml:space="preserve">Notes</w:t>
            </w:r>
          </w:p>
        </w:tc>
      </w:tr>
      <w:tr>
        <w:tc>
          <w:tcPr/>
          <w:p>
            <w:pPr>
              <w:pStyle w:val="Compact"/>
              <w:jc w:val="left"/>
            </w:pPr>
            <w:r>
              <w:rPr>
                <w:b/>
                <w:bCs/>
              </w:rPr>
              <w:t xml:space="preserve">Fire / Medical Emergency</w:t>
            </w:r>
          </w:p>
        </w:tc>
        <w:tc>
          <w:tcPr/>
          <w:p>
            <w:pPr>
              <w:pStyle w:val="Compact"/>
              <w:jc w:val="left"/>
            </w:pPr>
            <w:r>
              <w:rPr>
                <w:b/>
                <w:bCs/>
              </w:rPr>
              <w:t xml:space="preserve">112</w:t>
            </w:r>
          </w:p>
        </w:tc>
        <w:tc>
          <w:tcPr/>
          <w:p>
            <w:pPr>
              <w:pStyle w:val="Compact"/>
              <w:jc w:val="left"/>
            </w:pPr>
            <w:r>
              <w:t xml:space="preserve">Life-threatening medical emergencies, fires, accidents</w:t>
            </w:r>
          </w:p>
        </w:tc>
        <w:tc>
          <w:tcPr/>
          <w:p>
            <w:pPr>
              <w:pStyle w:val="Compact"/>
              <w:jc w:val="left"/>
            </w:pPr>
            <w:r>
              <w:t xml:space="preserve">EU-wide. Dispatcher stays on line. Speakerphone for hands free.</w:t>
            </w:r>
          </w:p>
        </w:tc>
      </w:tr>
      <w:tr>
        <w:tc>
          <w:tcPr/>
          <w:p>
            <w:pPr>
              <w:pStyle w:val="Compact"/>
              <w:jc w:val="left"/>
            </w:pPr>
            <w:r>
              <w:rPr>
                <w:b/>
                <w:bCs/>
              </w:rPr>
              <w:t xml:space="preserve">Police</w:t>
            </w:r>
          </w:p>
        </w:tc>
        <w:tc>
          <w:tcPr/>
          <w:p>
            <w:pPr>
              <w:pStyle w:val="Compact"/>
              <w:jc w:val="left"/>
            </w:pPr>
            <w:r>
              <w:rPr>
                <w:b/>
                <w:bCs/>
              </w:rPr>
              <w:t xml:space="preserve">110</w:t>
            </w:r>
          </w:p>
        </w:tc>
        <w:tc>
          <w:tcPr/>
          <w:p>
            <w:pPr>
              <w:pStyle w:val="Compact"/>
              <w:jc w:val="left"/>
            </w:pPr>
            <w:r>
              <w:t xml:space="preserve">Crimes in progress, threats, domestic violence</w:t>
            </w:r>
          </w:p>
        </w:tc>
        <w:tc>
          <w:tcPr/>
          <w:p>
            <w:pPr>
              <w:pStyle w:val="Compact"/>
              <w:jc w:val="left"/>
            </w:pPr>
            <w:r>
              <w:t xml:space="preserve">EU-wide. Can’t speak? Dial, wait, press 55 (Germany).</w:t>
            </w:r>
          </w:p>
        </w:tc>
      </w:tr>
      <w:tr>
        <w:tc>
          <w:tcPr/>
          <w:p>
            <w:pPr>
              <w:pStyle w:val="Compact"/>
              <w:jc w:val="left"/>
            </w:pPr>
            <w:r>
              <w:rPr>
                <w:b/>
                <w:bCs/>
              </w:rPr>
              <w:t xml:space="preserve">Poison Control</w:t>
            </w:r>
          </w:p>
        </w:tc>
        <w:tc>
          <w:tcPr/>
          <w:p>
            <w:pPr>
              <w:pStyle w:val="Compact"/>
              <w:jc w:val="left"/>
            </w:pPr>
            <w:r>
              <w:t xml:space="preserve">030/19240 (Berlin)</w:t>
            </w:r>
          </w:p>
        </w:tc>
        <w:tc>
          <w:tcPr/>
          <w:p>
            <w:pPr>
              <w:pStyle w:val="Compact"/>
              <w:jc w:val="left"/>
            </w:pPr>
            <w:r>
              <w:t xml:space="preserve">Suspected poisoning, overdose, chemical exposure</w:t>
            </w:r>
          </w:p>
        </w:tc>
        <w:tc>
          <w:tcPr/>
          <w:p>
            <w:pPr>
              <w:pStyle w:val="Compact"/>
              <w:jc w:val="left"/>
            </w:pPr>
            <w:r>
              <w:t xml:space="preserve">Have substance name ready.</w:t>
            </w:r>
          </w:p>
        </w:tc>
      </w:tr>
      <w:tr>
        <w:tc>
          <w:tcPr/>
          <w:p>
            <w:pPr>
              <w:pStyle w:val="Compact"/>
              <w:jc w:val="left"/>
            </w:pPr>
            <w:r>
              <w:rPr>
                <w:b/>
                <w:bCs/>
              </w:rPr>
              <w:t xml:space="preserve">Crisis Line (general)</w:t>
            </w:r>
          </w:p>
        </w:tc>
        <w:tc>
          <w:tcPr/>
          <w:p>
            <w:pPr>
              <w:pStyle w:val="Compact"/>
              <w:jc w:val="left"/>
            </w:pPr>
            <w:r>
              <w:t xml:space="preserve">0800/111 0 111</w:t>
            </w:r>
          </w:p>
        </w:tc>
        <w:tc>
          <w:tcPr/>
          <w:p>
            <w:pPr>
              <w:pStyle w:val="Compact"/>
              <w:jc w:val="left"/>
            </w:pPr>
            <w:r>
              <w:t xml:space="preserve">Acute emotional crisis, suicidal thoughts</w:t>
            </w:r>
          </w:p>
        </w:tc>
        <w:tc>
          <w:tcPr/>
          <w:p>
            <w:pPr>
              <w:pStyle w:val="Compact"/>
              <w:jc w:val="left"/>
            </w:pPr>
            <w:r>
              <w:t xml:space="preserve">Free, 24/7, anonymous. No question too small.</w:t>
            </w:r>
          </w:p>
        </w:tc>
      </w:tr>
      <w:tr>
        <w:tc>
          <w:tcPr/>
          <w:p>
            <w:pPr>
              <w:pStyle w:val="Compact"/>
              <w:jc w:val="left"/>
            </w:pPr>
            <w:r>
              <w:rPr>
                <w:b/>
                <w:bCs/>
              </w:rPr>
              <w:t xml:space="preserve">Children &amp; Youth Emergency</w:t>
            </w:r>
          </w:p>
        </w:tc>
        <w:tc>
          <w:tcPr/>
          <w:p>
            <w:pPr>
              <w:pStyle w:val="Compact"/>
              <w:jc w:val="left"/>
            </w:pPr>
            <w:r>
              <w:t xml:space="preserve">116 111</w:t>
            </w:r>
          </w:p>
        </w:tc>
        <w:tc>
          <w:tcPr/>
          <w:p>
            <w:pPr>
              <w:pStyle w:val="Compact"/>
              <w:jc w:val="left"/>
            </w:pPr>
            <w:r>
              <w:t xml:space="preserve">Children/teens in crisis</w:t>
            </w:r>
          </w:p>
        </w:tc>
        <w:tc>
          <w:tcPr/>
          <w:p>
            <w:pPr>
              <w:pStyle w:val="Compact"/>
              <w:jc w:val="left"/>
            </w:pPr>
            <w:r>
              <w:t xml:space="preserve">EU-wide. Also for adults concerned about a young person.</w:t>
            </w:r>
          </w:p>
        </w:tc>
      </w:tr>
    </w:tbl>
    <w:p>
      <w:pPr>
        <w:pStyle w:val="BodyText"/>
      </w:pPr>
      <w:r>
        <w:rPr>
          <w:b/>
          <w:bCs/>
        </w:rPr>
        <w:t xml:space="preserve">The 112/110 decision matrix:</w:t>
      </w:r>
    </w:p>
    <w:p>
      <w:pPr>
        <w:pStyle w:val="SourceCode"/>
      </w:pPr>
      <w:r>
        <w:rPr>
          <w:rStyle w:val="VerbatimChar"/>
        </w:rPr>
        <w:t xml:space="preserve">◆ Is someone's life in immediate danger?</w:t>
      </w:r>
      <w:r>
        <w:br/>
      </w:r>
      <w:r>
        <w:br/>
      </w:r>
      <w:r>
        <w:rPr>
          <w:rStyle w:val="VerbatimChar"/>
        </w:rPr>
        <w:t xml:space="preserve">    ├─ Yes → 112 (ambulance + fire if needed)</w:t>
      </w:r>
      <w:r>
        <w:br/>
      </w:r>
      <w:r>
        <w:rPr>
          <w:rStyle w:val="VerbatimChar"/>
        </w:rPr>
        <w:t xml:space="preserve">    └─ No, but there's a crime/threat → 110 (police)</w:t>
      </w:r>
      <w:r>
        <w:br/>
      </w:r>
      <w:r>
        <w:rPr>
          <w:rStyle w:val="VerbatimChar"/>
        </w:rPr>
        <w:t xml:space="preserve">       No, and it's emotional/psychological → 0800/111 0 111</w:t>
      </w:r>
    </w:p>
    <w:bookmarkEnd w:id="186"/>
    <w:bookmarkStart w:id="198" w:name="psychological-support"/>
    <w:p>
      <w:pPr>
        <w:pStyle w:val="Heading2"/>
      </w:pPr>
      <w:r>
        <w:t xml:space="preserve">Psychological Support</w:t>
      </w:r>
    </w:p>
    <w:p>
      <w:pPr>
        <w:pStyle w:val="FirstParagraph"/>
      </w:pPr>
      <w:r>
        <w:t xml:space="preserve">Your brain is an organ. Sometimes organs need professional attention. This isn’t character failure — it’s maintenance.</w:t>
      </w:r>
    </w:p>
    <w:bookmarkStart w:id="192" w:name="evidence-based-therapy-effectiveness"/>
    <w:p>
      <w:pPr>
        <w:pStyle w:val="Heading3"/>
      </w:pPr>
      <w:r>
        <w:t xml:space="preserve">Evidence-Based Therapy Effectiveness</w:t>
      </w:r>
    </w:p>
    <w:p>
      <w:pPr>
        <w:pStyle w:val="FirstParagraph"/>
      </w:pPr>
      <w:r>
        <w:t xml:space="preserve">When you’re told to</w:t>
      </w:r>
      <w:r>
        <w:t xml:space="preserve"> </w:t>
      </w:r>
      <w:r>
        <w:t xml:space="preserve">“</w:t>
      </w:r>
      <w:r>
        <w:t xml:space="preserve">get help,</w:t>
      </w:r>
      <w:r>
        <w:t xml:space="preserve">”</w:t>
      </w:r>
      <w:r>
        <w:t xml:space="preserve"> </w:t>
      </w:r>
      <w:r>
        <w:t xml:space="preserve">it helps to know that the help actually works. Here’s what the evidence says about major therapeutic approaches:</w:t>
      </w:r>
      <w:r>
        <w:rPr>
          <w:rStyle w:val="FootnoteReference"/>
        </w:rPr>
        <w:footnoteReference w:id="187"/>
      </w:r>
    </w:p>
    <w:tbl>
      <w:tblPr>
        <w:tblStyle w:val="Table"/>
        <w:tblW w:type="pct" w:w="5000"/>
        <w:jc w:val="left"/>
        <w:tblLayout w:type="fixed"/>
        <w:tblLook w:firstRow="1" w:lastRow="0" w:firstColumn="0" w:lastColumn="0" w:noHBand="0" w:noVBand="0" w:val="0020"/>
      </w:tblPr>
      <w:tblGrid>
        <w:gridCol w:w="1397"/>
        <w:gridCol w:w="1863"/>
        <w:gridCol w:w="2329"/>
        <w:gridCol w:w="2329"/>
      </w:tblGrid>
      <w:tr>
        <w:trPr>
          <w:tblHeader w:val="on"/>
        </w:trPr>
        <w:tc>
          <w:tcPr/>
          <w:p>
            <w:pPr>
              <w:pStyle w:val="Compact"/>
              <w:jc w:val="left"/>
            </w:pPr>
            <w:r>
              <w:t xml:space="preserve">Therapy</w:t>
            </w:r>
          </w:p>
        </w:tc>
        <w:tc>
          <w:tcPr/>
          <w:p>
            <w:pPr>
              <w:pStyle w:val="Compact"/>
              <w:jc w:val="left"/>
            </w:pPr>
            <w:r>
              <w:t xml:space="preserve">Primary use</w:t>
            </w:r>
          </w:p>
        </w:tc>
        <w:tc>
          <w:tcPr/>
          <w:p>
            <w:pPr>
              <w:pStyle w:val="Compact"/>
              <w:jc w:val="left"/>
            </w:pPr>
            <w:r>
              <w:t xml:space="preserve">Response rate</w:t>
            </w:r>
          </w:p>
        </w:tc>
        <w:tc>
          <w:tcPr/>
          <w:p>
            <w:pPr>
              <w:pStyle w:val="Compact"/>
              <w:jc w:val="left"/>
            </w:pPr>
            <w:r>
              <w:t xml:space="preserve">Evidence level</w:t>
            </w:r>
          </w:p>
        </w:tc>
      </w:tr>
      <w:tr>
        <w:tc>
          <w:tcPr/>
          <w:p>
            <w:pPr>
              <w:pStyle w:val="Compact"/>
              <w:jc w:val="left"/>
            </w:pPr>
            <w:r>
              <w:t xml:space="preserve">CBT (Cognitive Behavioral Therapy)</w:t>
            </w:r>
          </w:p>
        </w:tc>
        <w:tc>
          <w:tcPr/>
          <w:p>
            <w:pPr>
              <w:pStyle w:val="Compact"/>
              <w:jc w:val="left"/>
            </w:pPr>
            <w:r>
              <w:t xml:space="preserve">Anxiety, depression, PTSD</w:t>
            </w:r>
          </w:p>
        </w:tc>
        <w:tc>
          <w:tcPr/>
          <w:p>
            <w:pPr>
              <w:pStyle w:val="Compact"/>
              <w:jc w:val="left"/>
            </w:pPr>
            <w:r>
              <w:t xml:space="preserve">~60% response rate for anxiety</w:t>
            </w:r>
            <w:r>
              <w:rPr>
                <w:rStyle w:val="FootnoteReference"/>
              </w:rPr>
              <w:footnoteReference w:id="188"/>
            </w:r>
          </w:p>
        </w:tc>
        <w:tc>
          <w:tcPr/>
          <w:p>
            <w:pPr>
              <w:pStyle w:val="Compact"/>
              <w:jc w:val="left"/>
            </w:pPr>
            <w:r>
              <w:t xml:space="preserve">★★★ Multiple large RCTs and meta-analyses</w:t>
            </w:r>
          </w:p>
        </w:tc>
      </w:tr>
      <w:tr>
        <w:tc>
          <w:tcPr/>
          <w:p>
            <w:pPr>
              <w:pStyle w:val="Compact"/>
              <w:jc w:val="left"/>
            </w:pPr>
            <w:r>
              <w:t xml:space="preserve">EMDR (Eye Movement Desensitization)</w:t>
            </w:r>
          </w:p>
        </w:tc>
        <w:tc>
          <w:tcPr/>
          <w:p>
            <w:pPr>
              <w:pStyle w:val="Compact"/>
              <w:jc w:val="left"/>
            </w:pPr>
            <w:r>
              <w:t xml:space="preserve">PTSD, trauma</w:t>
            </w:r>
          </w:p>
        </w:tc>
        <w:tc>
          <w:tcPr/>
          <w:p>
            <w:pPr>
              <w:pStyle w:val="Compact"/>
              <w:jc w:val="left"/>
            </w:pPr>
            <w:r>
              <w:t xml:space="preserve">~70% PTSD symptom reduction</w:t>
            </w:r>
            <w:r>
              <w:rPr>
                <w:rStyle w:val="FootnoteReference"/>
              </w:rPr>
              <w:footnoteReference w:id="189"/>
            </w:r>
          </w:p>
        </w:tc>
        <w:tc>
          <w:tcPr/>
          <w:p>
            <w:pPr>
              <w:pStyle w:val="Compact"/>
              <w:jc w:val="left"/>
            </w:pPr>
            <w:r>
              <w:t xml:space="preserve">★★★ WHO-recommended for PTSD</w:t>
            </w:r>
          </w:p>
        </w:tc>
      </w:tr>
      <w:tr>
        <w:tc>
          <w:tcPr/>
          <w:p>
            <w:pPr>
              <w:pStyle w:val="Compact"/>
              <w:jc w:val="left"/>
            </w:pPr>
            <w:r>
              <w:t xml:space="preserve">IPT (Interpersonal Therapy)</w:t>
            </w:r>
          </w:p>
        </w:tc>
        <w:tc>
          <w:tcPr/>
          <w:p>
            <w:pPr>
              <w:pStyle w:val="Compact"/>
              <w:jc w:val="left"/>
            </w:pPr>
            <w:r>
              <w:t xml:space="preserve">Depression, grief</w:t>
            </w:r>
          </w:p>
        </w:tc>
        <w:tc>
          <w:tcPr/>
          <w:p>
            <w:pPr>
              <w:pStyle w:val="Compact"/>
              <w:jc w:val="left"/>
            </w:pPr>
            <w:r>
              <w:t xml:space="preserve">~50–60% response rate for depression</w:t>
            </w:r>
          </w:p>
        </w:tc>
        <w:tc>
          <w:tcPr/>
          <w:p>
            <w:pPr>
              <w:pStyle w:val="Compact"/>
              <w:jc w:val="left"/>
            </w:pPr>
            <w:r>
              <w:t xml:space="preserve">★★★ Well-validated</w:t>
            </w:r>
          </w:p>
        </w:tc>
      </w:tr>
      <w:tr>
        <w:tc>
          <w:tcPr/>
          <w:p>
            <w:pPr>
              <w:pStyle w:val="Compact"/>
              <w:jc w:val="left"/>
            </w:pPr>
            <w:r>
              <w:t xml:space="preserve">Psychodynamic therapy</w:t>
            </w:r>
          </w:p>
        </w:tc>
        <w:tc>
          <w:tcPr/>
          <w:p>
            <w:pPr>
              <w:pStyle w:val="Compact"/>
              <w:jc w:val="left"/>
            </w:pPr>
            <w:r>
              <w:t xml:space="preserve">Personality, chronic patterns</w:t>
            </w:r>
          </w:p>
        </w:tc>
        <w:tc>
          <w:tcPr/>
          <w:p>
            <w:pPr>
              <w:pStyle w:val="Compact"/>
              <w:jc w:val="left"/>
            </w:pPr>
            <w:r>
              <w:t xml:space="preserve">~50% improvement; effects increase over time</w:t>
            </w:r>
            <w:r>
              <w:rPr>
                <w:rStyle w:val="FootnoteReference"/>
              </w:rPr>
              <w:footnoteReference w:id="190"/>
            </w:r>
          </w:p>
        </w:tc>
        <w:tc>
          <w:tcPr/>
          <w:p>
            <w:pPr>
              <w:pStyle w:val="Compact"/>
              <w:jc w:val="left"/>
            </w:pPr>
            <w:r>
              <w:t xml:space="preserve">★★☆ Growing evidence base</w:t>
            </w:r>
          </w:p>
        </w:tc>
      </w:tr>
      <w:tr>
        <w:tc>
          <w:tcPr/>
          <w:p>
            <w:pPr>
              <w:pStyle w:val="Compact"/>
              <w:jc w:val="left"/>
            </w:pPr>
            <w:r>
              <w:t xml:space="preserve">MBSR (Mindfulness-Based Stress Reduction)</w:t>
            </w:r>
          </w:p>
        </w:tc>
        <w:tc>
          <w:tcPr/>
          <w:p>
            <w:pPr>
              <w:pStyle w:val="Compact"/>
              <w:jc w:val="left"/>
            </w:pPr>
            <w:r>
              <w:t xml:space="preserve">Stress, anxiety, chronic pain</w:t>
            </w:r>
          </w:p>
        </w:tc>
        <w:tc>
          <w:tcPr/>
          <w:p>
            <w:pPr>
              <w:pStyle w:val="Compact"/>
              <w:jc w:val="left"/>
            </w:pPr>
            <w:r>
              <w:t xml:space="preserve">~30–40% symptom reduction</w:t>
            </w:r>
            <w:r>
              <w:rPr>
                <w:rStyle w:val="FootnoteReference"/>
              </w:rPr>
              <w:footnoteReference w:id="191"/>
            </w:r>
          </w:p>
        </w:tc>
        <w:tc>
          <w:tcPr/>
          <w:p>
            <w:pPr>
              <w:pStyle w:val="Compact"/>
              <w:jc w:val="left"/>
            </w:pPr>
            <w:r>
              <w:t xml:space="preserve">★★★ Kabat-Zinn’s 8-week program, widely replicated</w:t>
            </w:r>
          </w:p>
        </w:tc>
      </w:tr>
    </w:tbl>
    <w:p>
      <w:pPr>
        <w:pStyle w:val="BodyText"/>
      </w:pPr>
      <w:r>
        <w:t xml:space="preserve">The response rates aren’t 100% because human brains are not simple machines. But a 60% chance of significant improvement is substantially better than the 0% chance of improvement from sitting in a bathroom indefinitely. The</w:t>
      </w:r>
      <w:r>
        <w:t xml:space="preserve"> </w:t>
      </w:r>
      <w:r>
        <w:t xml:space="preserve">“</w:t>
      </w:r>
      <w:r>
        <w:t xml:space="preserve">what if it doesn’t work for me?</w:t>
      </w:r>
      <w:r>
        <w:t xml:space="preserve">”</w:t>
      </w:r>
      <w:r>
        <w:t xml:space="preserve"> </w:t>
      </w:r>
      <w:r>
        <w:t xml:space="preserve">worry is understandable but statistically unwarranted — and if one approach doesn’t work, another might.</w:t>
      </w:r>
    </w:p>
    <w:bookmarkEnd w:id="192"/>
    <w:bookmarkStart w:id="194" w:name="iasc-intervention-pyramid"/>
    <w:p>
      <w:pPr>
        <w:pStyle w:val="Heading3"/>
      </w:pPr>
      <w:r>
        <w:t xml:space="preserve">IASC Intervention Pyramid</w:t>
      </w:r>
    </w:p>
    <w:p>
      <w:pPr>
        <w:pStyle w:val="FirstParagraph"/>
      </w:pPr>
      <w:r>
        <w:t xml:space="preserve">The Inter-Agency Standing Committee (IASC) defines a pyramid of mental health and psychosocial support in emergencies:</w:t>
      </w:r>
      <w:r>
        <w:rPr>
          <w:rStyle w:val="FootnoteReference"/>
        </w:rPr>
        <w:footnoteReference w:id="193"/>
      </w:r>
    </w:p>
    <w:p>
      <w:pPr>
        <w:pStyle w:val="SourceCode"/>
      </w:pPr>
      <w:r>
        <w:rPr>
          <w:rStyle w:val="VerbatimChar"/>
        </w:rPr>
        <w:t xml:space="preserve">                    ╱╲</w:t>
      </w:r>
      <w:r>
        <w:br/>
      </w:r>
      <w:r>
        <w:rPr>
          <w:rStyle w:val="VerbatimChar"/>
        </w:rPr>
        <w:t xml:space="preserve">                   ╱    ╲</w:t>
      </w:r>
      <w:r>
        <w:br/>
      </w:r>
      <w:r>
        <w:rPr>
          <w:rStyle w:val="VerbatimChar"/>
        </w:rPr>
        <w:t xml:space="preserve">                  ╱  4.  ╲     Specialized services</w:t>
      </w:r>
      <w:r>
        <w:br/>
      </w:r>
      <w:r>
        <w:rPr>
          <w:rStyle w:val="VerbatimChar"/>
        </w:rPr>
        <w:t xml:space="preserve">                 ╱  Clinical ╲   (psychiatry, specialized therapy)</w:t>
      </w:r>
      <w:r>
        <w:br/>
      </w:r>
      <w:r>
        <w:rPr>
          <w:rStyle w:val="VerbatimChar"/>
        </w:rPr>
        <w:t xml:space="preserve">                ╱──────────────╲</w:t>
      </w:r>
      <w:r>
        <w:br/>
      </w:r>
      <w:r>
        <w:rPr>
          <w:rStyle w:val="VerbatimChar"/>
        </w:rPr>
        <w:t xml:space="preserve">               ╱    3. Focused  ╲   Non-specialized support</w:t>
      </w:r>
      <w:r>
        <w:br/>
      </w:r>
      <w:r>
        <w:rPr>
          <w:rStyle w:val="VerbatimChar"/>
        </w:rPr>
        <w:t xml:space="preserve">              ╱   non-specialized ╲  (trained counselors, support groups)</w:t>
      </w:r>
      <w:r>
        <w:br/>
      </w:r>
      <w:r>
        <w:rPr>
          <w:rStyle w:val="VerbatimChar"/>
        </w:rPr>
        <w:t xml:space="preserve">             ╱──────────────────────╲</w:t>
      </w:r>
      <w:r>
        <w:br/>
      </w:r>
      <w:r>
        <w:rPr>
          <w:rStyle w:val="VerbatimChar"/>
        </w:rPr>
        <w:t xml:space="preserve">            ╱   2. Community &amp; family  ╲   Social support</w:t>
      </w:r>
      <w:r>
        <w:br/>
      </w:r>
      <w:r>
        <w:rPr>
          <w:rStyle w:val="VerbatimChar"/>
        </w:rPr>
        <w:t xml:space="preserve">           ╱     support mechanisms      ╲  (group activities, peer support)</w:t>
      </w:r>
      <w:r>
        <w:br/>
      </w:r>
      <w:r>
        <w:rPr>
          <w:rStyle w:val="VerbatimChar"/>
        </w:rPr>
        <w:t xml:space="preserve">          ╱────────────────────────────────╲</w:t>
      </w:r>
      <w:r>
        <w:br/>
      </w:r>
      <w:r>
        <w:rPr>
          <w:rStyle w:val="VerbatimChar"/>
        </w:rPr>
        <w:t xml:space="preserve">         ╱   1. Basic services &amp; security    ╲   Foundational needs</w:t>
      </w:r>
      <w:r>
        <w:br/>
      </w:r>
      <w:r>
        <w:rPr>
          <w:rStyle w:val="VerbatimChar"/>
        </w:rPr>
        <w:t xml:space="preserve">        ╱     (food, shelter, water, safety)   ╲  (this is where the</w:t>
      </w:r>
      <w:r>
        <w:br/>
      </w:r>
      <w:r>
        <w:rPr>
          <w:rStyle w:val="VerbatimChar"/>
        </w:rPr>
        <w:t xml:space="preserve">       ╱──────────────────────────────────────────╲  Zombie Guide lives)</w:t>
      </w:r>
    </w:p>
    <w:p>
      <w:pPr>
        <w:pStyle w:val="FirstParagraph"/>
      </w:pPr>
      <w:r>
        <w:rPr>
          <w:b/>
          <w:bCs/>
        </w:rPr>
        <w:t xml:space="preserve">Key insight:</w:t>
      </w:r>
      <w:r>
        <w:t xml:space="preserve"> </w:t>
      </w:r>
      <w:r>
        <w:t xml:space="preserve">Layer 1 must be secure before Layer 2 is meaningful, Layer 2 before Layer 3, and so on. This is why the guide prioritizes physical safety first — you can’t do therapy when you’re still in danger. The IASC pyramid is also why the Zombie Guide’s survival section (Layer 1) comes before the Building Society section (Layer 2–3).</w:t>
      </w:r>
    </w:p>
    <w:bookmarkEnd w:id="194"/>
    <w:bookmarkStart w:id="195" w:name="crisis-acute-support"/>
    <w:p>
      <w:pPr>
        <w:pStyle w:val="Heading3"/>
      </w:pPr>
      <w:r>
        <w:t xml:space="preserve">Crisis &amp; Acute Support</w:t>
      </w:r>
    </w:p>
    <w:tbl>
      <w:tblPr>
        <w:tblStyle w:val="Table"/>
        <w:tblW w:type="pct" w:w="5000"/>
        <w:jc w:val="left"/>
        <w:tblLayout w:type="fixed"/>
        <w:tblLook w:firstRow="1" w:lastRow="0" w:firstColumn="0" w:lastColumn="0" w:noHBand="0" w:noVBand="0" w:val="0020"/>
      </w:tblPr>
      <w:tblGrid>
        <w:gridCol w:w="1685"/>
        <w:gridCol w:w="1516"/>
        <w:gridCol w:w="2527"/>
        <w:gridCol w:w="2190"/>
      </w:tblGrid>
      <w:tr>
        <w:trPr>
          <w:tblHeader w:val="on"/>
        </w:trPr>
        <w:tc>
          <w:tcPr/>
          <w:p>
            <w:pPr>
              <w:pStyle w:val="Compact"/>
              <w:jc w:val="left"/>
            </w:pPr>
            <w:r>
              <w:t xml:space="preserve">Resource</w:t>
            </w:r>
          </w:p>
        </w:tc>
        <w:tc>
          <w:tcPr/>
          <w:p>
            <w:pPr>
              <w:pStyle w:val="Compact"/>
              <w:jc w:val="left"/>
            </w:pPr>
            <w:r>
              <w:t xml:space="preserve">Contact</w:t>
            </w:r>
          </w:p>
        </w:tc>
        <w:tc>
          <w:tcPr/>
          <w:p>
            <w:pPr>
              <w:pStyle w:val="Compact"/>
              <w:jc w:val="left"/>
            </w:pPr>
            <w:r>
              <w:t xml:space="preserve">What it offers</w:t>
            </w:r>
          </w:p>
        </w:tc>
        <w:tc>
          <w:tcPr/>
          <w:p>
            <w:pPr>
              <w:pStyle w:val="Compact"/>
              <w:jc w:val="left"/>
            </w:pPr>
            <w:r>
              <w:t xml:space="preserve">When to use</w:t>
            </w:r>
          </w:p>
        </w:tc>
      </w:tr>
      <w:tr>
        <w:tc>
          <w:tcPr/>
          <w:p>
            <w:pPr>
              <w:pStyle w:val="Compact"/>
              <w:jc w:val="left"/>
            </w:pPr>
            <w:r>
              <w:rPr>
                <w:b/>
                <w:bCs/>
              </w:rPr>
              <w:t xml:space="preserve">Telefonseelsorge</w:t>
            </w:r>
          </w:p>
        </w:tc>
        <w:tc>
          <w:tcPr/>
          <w:p>
            <w:pPr>
              <w:pStyle w:val="Compact"/>
              <w:jc w:val="left"/>
            </w:pPr>
            <w:r>
              <w:t xml:space="preserve">0800/111 0 111 (or 0 222)</w:t>
            </w:r>
          </w:p>
        </w:tc>
        <w:tc>
          <w:tcPr/>
          <w:p>
            <w:pPr>
              <w:pStyle w:val="Compact"/>
              <w:jc w:val="left"/>
            </w:pPr>
            <w:r>
              <w:t xml:space="preserve">Anonymous, free, 24/7 phone counseling</w:t>
            </w:r>
          </w:p>
        </w:tc>
        <w:tc>
          <w:tcPr/>
          <w:p>
            <w:pPr>
              <w:pStyle w:val="Compact"/>
              <w:jc w:val="left"/>
            </w:pPr>
            <w:r>
              <w:t xml:space="preserve">Acute emotional crisis, loneliness, despair</w:t>
            </w:r>
          </w:p>
        </w:tc>
      </w:tr>
      <w:tr>
        <w:tc>
          <w:tcPr/>
          <w:p>
            <w:pPr>
              <w:pStyle w:val="Compact"/>
              <w:jc w:val="left"/>
            </w:pPr>
            <w:r>
              <w:rPr>
                <w:b/>
                <w:bCs/>
              </w:rPr>
              <w:t xml:space="preserve">Nummer gegen Kummer</w:t>
            </w:r>
          </w:p>
        </w:tc>
        <w:tc>
          <w:tcPr/>
          <w:p>
            <w:pPr>
              <w:pStyle w:val="Compact"/>
              <w:jc w:val="left"/>
            </w:pPr>
            <w:r>
              <w:t xml:space="preserve">116 111 (youth) / 0800/111 0550 (parents)</w:t>
            </w:r>
          </w:p>
        </w:tc>
        <w:tc>
          <w:tcPr/>
          <w:p>
            <w:pPr>
              <w:pStyle w:val="Compact"/>
              <w:jc w:val="left"/>
            </w:pPr>
            <w:r>
              <w:t xml:space="preserve">Phone counseling for youth and parents</w:t>
            </w:r>
          </w:p>
        </w:tc>
        <w:tc>
          <w:tcPr/>
          <w:p>
            <w:pPr>
              <w:pStyle w:val="Compact"/>
              <w:jc w:val="left"/>
            </w:pPr>
            <w:r>
              <w:t xml:space="preserve">When a young person is struggling, or you’re struggling as a parent</w:t>
            </w:r>
          </w:p>
        </w:tc>
      </w:tr>
      <w:tr>
        <w:tc>
          <w:tcPr/>
          <w:p>
            <w:pPr>
              <w:pStyle w:val="Compact"/>
              <w:jc w:val="left"/>
            </w:pPr>
            <w:r>
              <w:rPr>
                <w:b/>
                <w:bCs/>
              </w:rPr>
              <w:t xml:space="preserve">Psychiatrischer Krisendienst</w:t>
            </w:r>
          </w:p>
        </w:tc>
        <w:tc>
          <w:tcPr/>
          <w:p>
            <w:pPr>
              <w:pStyle w:val="Compact"/>
              <w:jc w:val="left"/>
            </w:pPr>
            <w:r>
              <w:t xml:space="preserve">Search:</w:t>
            </w:r>
            <w:r>
              <w:t xml:space="preserve"> </w:t>
            </w:r>
            <w:r>
              <w:t xml:space="preserve">“</w:t>
            </w:r>
            <w:r>
              <w:t xml:space="preserve">[your city] psychiatrischer Krisendienst</w:t>
            </w:r>
            <w:r>
              <w:t xml:space="preserve">”</w:t>
            </w:r>
          </w:p>
        </w:tc>
        <w:tc>
          <w:tcPr/>
          <w:p>
            <w:pPr>
              <w:pStyle w:val="Compact"/>
              <w:jc w:val="left"/>
            </w:pPr>
            <w:r>
              <w:t xml:space="preserve">Mobile crisis team — they come to you</w:t>
            </w:r>
          </w:p>
        </w:tc>
        <w:tc>
          <w:tcPr/>
          <w:p>
            <w:pPr>
              <w:pStyle w:val="Compact"/>
              <w:jc w:val="left"/>
            </w:pPr>
            <w:r>
              <w:t xml:space="preserve">When you can’t go to them. Many cities have 24/7 teams.</w:t>
            </w:r>
          </w:p>
        </w:tc>
      </w:tr>
    </w:tbl>
    <w:bookmarkEnd w:id="195"/>
    <w:bookmarkStart w:id="196" w:name="ongoing-support"/>
    <w:p>
      <w:pPr>
        <w:pStyle w:val="Heading3"/>
      </w:pPr>
      <w:r>
        <w:t xml:space="preserve">Ongoing Support</w:t>
      </w:r>
    </w:p>
    <w:tbl>
      <w:tblPr>
        <w:tblStyle w:val="Table"/>
        <w:tblW w:type="pct" w:w="5000"/>
        <w:jc w:val="left"/>
        <w:tblLayout w:type="fixed"/>
        <w:tblLook w:firstRow="1" w:lastRow="0" w:firstColumn="0" w:lastColumn="0" w:noHBand="0" w:noVBand="0" w:val="0020"/>
      </w:tblPr>
      <w:tblGrid>
        <w:gridCol w:w="2084"/>
        <w:gridCol w:w="2709"/>
        <w:gridCol w:w="3126"/>
      </w:tblGrid>
      <w:tr>
        <w:trPr>
          <w:tblHeader w:val="on"/>
        </w:trPr>
        <w:tc>
          <w:tcPr/>
          <w:p>
            <w:pPr>
              <w:pStyle w:val="Compact"/>
              <w:jc w:val="left"/>
            </w:pPr>
            <w:r>
              <w:t xml:space="preserve">Resource</w:t>
            </w:r>
          </w:p>
        </w:tc>
        <w:tc>
          <w:tcPr/>
          <w:p>
            <w:pPr>
              <w:pStyle w:val="Compact"/>
              <w:jc w:val="left"/>
            </w:pPr>
            <w:r>
              <w:t xml:space="preserve">How to access</w:t>
            </w:r>
          </w:p>
        </w:tc>
        <w:tc>
          <w:tcPr/>
          <w:p>
            <w:pPr>
              <w:pStyle w:val="Compact"/>
              <w:jc w:val="left"/>
            </w:pPr>
            <w:r>
              <w:t xml:space="preserve">What it offers</w:t>
            </w:r>
          </w:p>
        </w:tc>
      </w:tr>
      <w:tr>
        <w:tc>
          <w:tcPr/>
          <w:p>
            <w:pPr>
              <w:pStyle w:val="Compact"/>
              <w:jc w:val="left"/>
            </w:pPr>
            <w:r>
              <w:rPr>
                <w:b/>
                <w:bCs/>
              </w:rPr>
              <w:t xml:space="preserve">Hausarzt (GP)</w:t>
            </w:r>
          </w:p>
        </w:tc>
        <w:tc>
          <w:tcPr/>
          <w:p>
            <w:pPr>
              <w:pStyle w:val="Compact"/>
              <w:jc w:val="left"/>
            </w:pPr>
            <w:r>
              <w:t xml:space="preserve">Make an appointment</w:t>
            </w:r>
          </w:p>
        </w:tc>
        <w:tc>
          <w:tcPr/>
          <w:p>
            <w:pPr>
              <w:pStyle w:val="Compact"/>
              <w:jc w:val="left"/>
            </w:pPr>
            <w:r>
              <w:t xml:space="preserve">First point of entry. Can refer to specialists, prescribe medication, sign you off work.</w:t>
            </w:r>
          </w:p>
        </w:tc>
      </w:tr>
      <w:tr>
        <w:tc>
          <w:tcPr/>
          <w:p>
            <w:pPr>
              <w:pStyle w:val="Compact"/>
              <w:jc w:val="left"/>
            </w:pPr>
            <w:r>
              <w:rPr>
                <w:b/>
                <w:bCs/>
              </w:rPr>
              <w:t xml:space="preserve">Psychotherapist</w:t>
            </w:r>
          </w:p>
        </w:tc>
        <w:tc>
          <w:tcPr/>
          <w:p>
            <w:pPr>
              <w:pStyle w:val="Compact"/>
              <w:jc w:val="left"/>
            </w:pPr>
            <w:r>
              <w:t xml:space="preserve">Search: therapie.de, psych-info.de, Jameda</w:t>
            </w:r>
          </w:p>
        </w:tc>
        <w:tc>
          <w:tcPr/>
          <w:p>
            <w:pPr>
              <w:pStyle w:val="Compact"/>
              <w:jc w:val="left"/>
            </w:pPr>
            <w:r>
              <w:t xml:space="preserve">Talk therapy, CBT, trauma processing. Waitlists can be long — ask about</w:t>
            </w:r>
            <w:r>
              <w:t xml:space="preserve"> </w:t>
            </w:r>
            <w:r>
              <w:t xml:space="preserve">“</w:t>
            </w:r>
            <w:r>
              <w:t xml:space="preserve">Akutplätze.</w:t>
            </w:r>
            <w:r>
              <w:t xml:space="preserve">”</w:t>
            </w:r>
          </w:p>
        </w:tc>
      </w:tr>
      <w:tr>
        <w:tc>
          <w:tcPr/>
          <w:p>
            <w:pPr>
              <w:pStyle w:val="Compact"/>
              <w:jc w:val="left"/>
            </w:pPr>
            <w:r>
              <w:rPr>
                <w:b/>
                <w:bCs/>
              </w:rPr>
              <w:t xml:space="preserve">Psychiatrist</w:t>
            </w:r>
          </w:p>
        </w:tc>
        <w:tc>
          <w:tcPr/>
          <w:p>
            <w:pPr>
              <w:pStyle w:val="Compact"/>
              <w:jc w:val="left"/>
            </w:pPr>
            <w:r>
              <w:t xml:space="preserve">Via GP referral or direct</w:t>
            </w:r>
          </w:p>
        </w:tc>
        <w:tc>
          <w:tcPr/>
          <w:p>
            <w:pPr>
              <w:pStyle w:val="Compact"/>
              <w:jc w:val="left"/>
            </w:pPr>
            <w:r>
              <w:t xml:space="preserve">Medication management, diagnosis, severe mental health conditions.</w:t>
            </w:r>
          </w:p>
        </w:tc>
      </w:tr>
      <w:tr>
        <w:tc>
          <w:tcPr/>
          <w:p>
            <w:pPr>
              <w:pStyle w:val="Compact"/>
              <w:jc w:val="left"/>
            </w:pPr>
            <w:r>
              <w:rPr>
                <w:b/>
                <w:bCs/>
              </w:rPr>
              <w:t xml:space="preserve">EAP (Employee Assistance)</w:t>
            </w:r>
          </w:p>
        </w:tc>
        <w:tc>
          <w:tcPr/>
          <w:p>
            <w:pPr>
              <w:pStyle w:val="Compact"/>
              <w:jc w:val="left"/>
            </w:pPr>
            <w:r>
              <w:t xml:space="preserve">Via your employer (if available)</w:t>
            </w:r>
          </w:p>
        </w:tc>
        <w:tc>
          <w:tcPr/>
          <w:p>
            <w:pPr>
              <w:pStyle w:val="Compact"/>
              <w:jc w:val="left"/>
            </w:pPr>
            <w:r>
              <w:t xml:space="preserve">Free, confidential short-term counseling. Often underused.</w:t>
            </w:r>
          </w:p>
        </w:tc>
      </w:tr>
      <w:tr>
        <w:tc>
          <w:tcPr/>
          <w:p>
            <w:pPr>
              <w:pStyle w:val="Compact"/>
              <w:jc w:val="left"/>
            </w:pPr>
            <w:r>
              <w:rPr>
                <w:b/>
                <w:bCs/>
              </w:rPr>
              <w:t xml:space="preserve">Self-help groups</w:t>
            </w:r>
          </w:p>
        </w:tc>
        <w:tc>
          <w:tcPr/>
          <w:p>
            <w:pPr>
              <w:pStyle w:val="Compact"/>
              <w:jc w:val="left"/>
            </w:pPr>
            <w:r>
              <w:t xml:space="preserve">Search: selbsthilfegruppe.de</w:t>
            </w:r>
          </w:p>
        </w:tc>
        <w:tc>
          <w:tcPr/>
          <w:p>
            <w:pPr>
              <w:pStyle w:val="Compact"/>
              <w:jc w:val="left"/>
            </w:pPr>
            <w:r>
              <w:t xml:space="preserve">Peer support for specific issues. Shared experience is powerful medicine.</w:t>
            </w:r>
          </w:p>
        </w:tc>
      </w:tr>
    </w:tbl>
    <w:bookmarkEnd w:id="196"/>
    <w:bookmarkStart w:id="197" w:name="friends-psych-support-guide"/>
    <w:p>
      <w:pPr>
        <w:pStyle w:val="Heading3"/>
      </w:pPr>
      <w:r>
        <w:t xml:space="preserve">Friends’ Psych Support Guide</w:t>
      </w:r>
    </w:p>
    <w:p>
      <w:pPr>
        <w:pStyle w:val="FirstParagraph"/>
      </w:pPr>
      <w:r>
        <w:t xml:space="preserve">When someone you care about is struggling and you don’t know what to do:</w:t>
      </w:r>
    </w:p>
    <w:p>
      <w:pPr>
        <w:pStyle w:val="Compact"/>
        <w:numPr>
          <w:ilvl w:val="0"/>
          <w:numId w:val="1039"/>
        </w:numPr>
      </w:pPr>
      <w:r>
        <w:rPr>
          <w:b/>
          <w:bCs/>
        </w:rPr>
        <w:t xml:space="preserve">Listen before fixing.</w:t>
      </w:r>
      <w:r>
        <w:t xml:space="preserve"> </w:t>
      </w:r>
      <w:r>
        <w:t xml:space="preserve">Ask:</w:t>
      </w:r>
      <w:r>
        <w:t xml:space="preserve"> </w:t>
      </w:r>
      <w:r>
        <w:t xml:space="preserve">“</w:t>
      </w:r>
      <w:r>
        <w:t xml:space="preserve">Do you want me to just listen, or do you want suggestions?</w:t>
      </w:r>
      <w:r>
        <w:t xml:space="preserve">”</w:t>
      </w:r>
      <w:r>
        <w:t xml:space="preserve"> </w:t>
      </w:r>
      <w:r>
        <w:t xml:space="preserve">Respect the answer.</w:t>
      </w:r>
    </w:p>
    <w:p>
      <w:pPr>
        <w:pStyle w:val="Compact"/>
        <w:numPr>
          <w:ilvl w:val="0"/>
          <w:numId w:val="1039"/>
        </w:numPr>
      </w:pPr>
      <w:r>
        <w:rPr>
          <w:b/>
          <w:bCs/>
        </w:rPr>
        <w:t xml:space="preserve">Don’t minimize.</w:t>
      </w:r>
      <w:r>
        <w:t xml:space="preserve"> </w:t>
      </w:r>
      <w:r>
        <w:t xml:space="preserve">Avoid</w:t>
      </w:r>
      <w:r>
        <w:t xml:space="preserve"> </w:t>
      </w:r>
      <w:r>
        <w:t xml:space="preserve">“</w:t>
      </w:r>
      <w:r>
        <w:t xml:space="preserve">it could be worse</w:t>
      </w:r>
      <w:r>
        <w:t xml:space="preserve">”</w:t>
      </w:r>
      <w:r>
        <w:t xml:space="preserve"> </w:t>
      </w:r>
      <w:r>
        <w:t xml:space="preserve">or</w:t>
      </w:r>
      <w:r>
        <w:t xml:space="preserve"> </w:t>
      </w:r>
      <w:r>
        <w:t xml:space="preserve">“</w:t>
      </w:r>
      <w:r>
        <w:t xml:space="preserve">just think positive.</w:t>
      </w:r>
      <w:r>
        <w:t xml:space="preserve">”</w:t>
      </w:r>
      <w:r>
        <w:t xml:space="preserve"> </w:t>
      </w:r>
      <w:r>
        <w:t xml:space="preserve">Well-intentioned and deeply unhelpful.</w:t>
      </w:r>
    </w:p>
    <w:p>
      <w:pPr>
        <w:pStyle w:val="Compact"/>
        <w:numPr>
          <w:ilvl w:val="0"/>
          <w:numId w:val="1039"/>
        </w:numPr>
      </w:pPr>
      <w:r>
        <w:rPr>
          <w:b/>
          <w:bCs/>
        </w:rPr>
        <w:t xml:space="preserve">Stay connected.</w:t>
      </w:r>
      <w:r>
        <w:t xml:space="preserve"> </w:t>
      </w:r>
      <w:r>
        <w:t xml:space="preserve">Check in regularly, even with a simple</w:t>
      </w:r>
      <w:r>
        <w:t xml:space="preserve"> </w:t>
      </w:r>
      <w:r>
        <w:t xml:space="preserve">“</w:t>
      </w:r>
      <w:r>
        <w:t xml:space="preserve">thinking of you.</w:t>
      </w:r>
      <w:r>
        <w:t xml:space="preserve">”</w:t>
      </w:r>
      <w:r>
        <w:t xml:space="preserve"> </w:t>
      </w:r>
      <w:r>
        <w:t xml:space="preserve">Isolation amplifies everything.</w:t>
      </w:r>
    </w:p>
    <w:p>
      <w:pPr>
        <w:pStyle w:val="Compact"/>
        <w:numPr>
          <w:ilvl w:val="0"/>
          <w:numId w:val="1039"/>
        </w:numPr>
      </w:pPr>
      <w:r>
        <w:rPr>
          <w:b/>
          <w:bCs/>
        </w:rPr>
        <w:t xml:space="preserve">Know your limits.</w:t>
      </w:r>
      <w:r>
        <w:t xml:space="preserve"> </w:t>
      </w:r>
      <w:r>
        <w:t xml:space="preserve">You are a friend, not a therapist. If the situation exceeds your capacity, say so with love:</w:t>
      </w:r>
      <w:r>
        <w:t xml:space="preserve"> </w:t>
      </w:r>
      <w:r>
        <w:t xml:space="preserve">“</w:t>
      </w:r>
      <w:r>
        <w:t xml:space="preserve">I care about you and I think you need more support than I can give. Can I help you find someone?</w:t>
      </w:r>
      <w:r>
        <w:t xml:space="preserve">”</w:t>
      </w:r>
    </w:p>
    <w:p>
      <w:pPr>
        <w:pStyle w:val="Compact"/>
        <w:numPr>
          <w:ilvl w:val="0"/>
          <w:numId w:val="1039"/>
        </w:numPr>
      </w:pPr>
      <w:r>
        <w:rPr>
          <w:b/>
          <w:bCs/>
        </w:rPr>
        <w:t xml:space="preserve">Take care of yourself.</w:t>
      </w:r>
      <w:r>
        <w:t xml:space="preserve"> </w:t>
      </w:r>
      <w:r>
        <w:t xml:space="preserve">Empathy is finite. Refill your own reserves → 📍 Calm Guide (Ch.4).</w:t>
      </w:r>
    </w:p>
    <w:bookmarkEnd w:id="197"/>
    <w:bookmarkEnd w:id="198"/>
    <w:bookmarkStart w:id="203" w:name="legal-support"/>
    <w:p>
      <w:pPr>
        <w:pStyle w:val="Heading2"/>
      </w:pPr>
      <w:r>
        <w:t xml:space="preserve">Legal Support</w:t>
      </w:r>
    </w:p>
    <w:p>
      <w:pPr>
        <w:pStyle w:val="FirstParagraph"/>
      </w:pPr>
      <w:r>
        <w:t xml:space="preserve">When the situation involves law, rights, or potential criminal liability, you need someone who speaks the language of the system.</w:t>
      </w:r>
    </w:p>
    <w:bookmarkStart w:id="201" w:name="self-defense-law-germany-32-stgb-notwehr"/>
    <w:p>
      <w:pPr>
        <w:pStyle w:val="Heading3"/>
      </w:pPr>
      <w:r>
        <w:t xml:space="preserve">Self-Defense Law (Germany — §32 StGB Notwehr)</w:t>
      </w:r>
    </w:p>
    <w:p>
      <w:pPr>
        <w:pStyle w:val="Compact"/>
        <w:numPr>
          <w:ilvl w:val="0"/>
          <w:numId w:val="1040"/>
        </w:numPr>
      </w:pPr>
      <w:r>
        <w:t xml:space="preserve">You may defend yourself against a</w:t>
      </w:r>
      <w:r>
        <w:t xml:space="preserve"> </w:t>
      </w:r>
      <w:r>
        <w:rPr>
          <w:b/>
          <w:bCs/>
        </w:rPr>
        <w:t xml:space="preserve">present, unlawful attack</w:t>
      </w:r>
      <w:r>
        <w:t xml:space="preserve"> </w:t>
      </w:r>
      <w:r>
        <w:t xml:space="preserve">against yourself or another person.</w:t>
      </w:r>
      <w:r>
        <w:rPr>
          <w:rStyle w:val="FootnoteReference"/>
        </w:rPr>
        <w:footnoteReference w:id="199"/>
      </w:r>
    </w:p>
    <w:p>
      <w:pPr>
        <w:pStyle w:val="Compact"/>
        <w:numPr>
          <w:ilvl w:val="0"/>
          <w:numId w:val="1040"/>
        </w:numPr>
      </w:pPr>
      <w:r>
        <w:t xml:space="preserve">The defense must be</w:t>
      </w:r>
      <w:r>
        <w:t xml:space="preserve"> </w:t>
      </w:r>
      <w:r>
        <w:rPr>
          <w:b/>
          <w:bCs/>
        </w:rPr>
        <w:t xml:space="preserve">necessary</w:t>
      </w:r>
      <w:r>
        <w:t xml:space="preserve"> </w:t>
      </w:r>
      <w:r>
        <w:t xml:space="preserve">— no less harmful alternative available.</w:t>
      </w:r>
    </w:p>
    <w:p>
      <w:pPr>
        <w:pStyle w:val="Compact"/>
        <w:numPr>
          <w:ilvl w:val="0"/>
          <w:numId w:val="1040"/>
        </w:numPr>
      </w:pPr>
      <w:r>
        <w:t xml:space="preserve">The defense must be</w:t>
      </w:r>
      <w:r>
        <w:t xml:space="preserve"> </w:t>
      </w:r>
      <w:r>
        <w:rPr>
          <w:b/>
          <w:bCs/>
        </w:rPr>
        <w:t xml:space="preserve">proportionate</w:t>
      </w:r>
      <w:r>
        <w:t xml:space="preserve"> </w:t>
      </w:r>
      <w:r>
        <w:t xml:space="preserve">— you can’t use deadly force to protect property alone.</w:t>
      </w:r>
    </w:p>
    <w:p>
      <w:pPr>
        <w:pStyle w:val="Compact"/>
        <w:numPr>
          <w:ilvl w:val="0"/>
          <w:numId w:val="1040"/>
        </w:numPr>
      </w:pPr>
      <w:r>
        <w:t xml:space="preserve">No duty to retreat in Germany, but retreating is always the safer legal strategy.</w:t>
      </w:r>
    </w:p>
    <w:p>
      <w:pPr>
        <w:pStyle w:val="Compact"/>
        <w:numPr>
          <w:ilvl w:val="0"/>
          <w:numId w:val="1040"/>
        </w:numPr>
      </w:pPr>
      <w:r>
        <w:t xml:space="preserve">If you acted in self-defense and are unsure about the legal outcome → contact a lawyer</w:t>
      </w:r>
      <w:r>
        <w:t xml:space="preserve"> </w:t>
      </w:r>
      <w:r>
        <w:rPr>
          <w:b/>
          <w:bCs/>
        </w:rPr>
        <w:t xml:space="preserve">before</w:t>
      </w:r>
      <w:r>
        <w:t xml:space="preserve"> </w:t>
      </w:r>
      <w:r>
        <w:t xml:space="preserve">making any statements to police.</w:t>
      </w:r>
    </w:p>
    <w:p>
      <w:pPr>
        <w:pStyle w:val="FirstParagraph"/>
      </w:pPr>
      <w:r>
        <w:t xml:space="preserve">The four elements of §32 StGB, formalized:</w:t>
      </w:r>
    </w:p>
    <w:tbl>
      <w:tblPr>
        <w:tblStyle w:val="Table"/>
        <w:tblW w:type="pct" w:w="5000"/>
        <w:jc w:val="left"/>
        <w:tblLayout w:type="fixed"/>
        <w:tblLook w:firstRow="1" w:lastRow="0" w:firstColumn="0" w:lastColumn="0" w:noHBand="0" w:noVBand="0" w:val="0020"/>
      </w:tblPr>
      <w:tblGrid>
        <w:gridCol w:w="1549"/>
        <w:gridCol w:w="3099"/>
        <w:gridCol w:w="3271"/>
      </w:tblGrid>
      <w:tr>
        <w:trPr>
          <w:tblHeader w:val="on"/>
        </w:trPr>
        <w:tc>
          <w:tcPr/>
          <w:p>
            <w:pPr>
              <w:pStyle w:val="Compact"/>
              <w:jc w:val="left"/>
            </w:pPr>
            <w:r>
              <w:t xml:space="preserve">Element</w:t>
            </w:r>
          </w:p>
        </w:tc>
        <w:tc>
          <w:tcPr/>
          <w:p>
            <w:pPr>
              <w:pStyle w:val="Compact"/>
              <w:jc w:val="left"/>
            </w:pPr>
            <w:r>
              <w:t xml:space="preserve">Legal requirement</w:t>
            </w:r>
          </w:p>
        </w:tc>
        <w:tc>
          <w:tcPr/>
          <w:p>
            <w:pPr>
              <w:pStyle w:val="Compact"/>
              <w:jc w:val="left"/>
            </w:pPr>
            <w:r>
              <w:t xml:space="preserve">Practical meaning</w:t>
            </w:r>
          </w:p>
        </w:tc>
      </w:tr>
      <w:tr>
        <w:tc>
          <w:tcPr/>
          <w:p>
            <w:pPr>
              <w:pStyle w:val="Compact"/>
              <w:jc w:val="left"/>
            </w:pPr>
            <w:r>
              <w:t xml:space="preserve">(1) Present attack</w:t>
            </w:r>
          </w:p>
        </w:tc>
        <w:tc>
          <w:tcPr/>
          <w:p>
            <w:pPr>
              <w:pStyle w:val="Compact"/>
              <w:jc w:val="left"/>
            </w:pPr>
            <w:r>
              <w:t xml:space="preserve">An attack is happening</w:t>
            </w:r>
            <w:r>
              <w:t xml:space="preserve"> </w:t>
            </w:r>
            <w:r>
              <w:rPr>
                <w:i/>
                <w:iCs/>
              </w:rPr>
              <w:t xml:space="preserve">now</w:t>
            </w:r>
            <w:r>
              <w:t xml:space="preserve">, not hypothetical</w:t>
            </w:r>
          </w:p>
        </w:tc>
        <w:tc>
          <w:tcPr/>
          <w:p>
            <w:pPr>
              <w:pStyle w:val="Compact"/>
              <w:jc w:val="left"/>
            </w:pPr>
            <w:r>
              <w:t xml:space="preserve">You can’t preemptively defend against an imagined threat</w:t>
            </w:r>
          </w:p>
        </w:tc>
      </w:tr>
      <w:tr>
        <w:tc>
          <w:tcPr/>
          <w:p>
            <w:pPr>
              <w:pStyle w:val="Compact"/>
              <w:jc w:val="left"/>
            </w:pPr>
            <w:r>
              <w:t xml:space="preserve">(2) Unlawful</w:t>
            </w:r>
          </w:p>
        </w:tc>
        <w:tc>
          <w:tcPr/>
          <w:p>
            <w:pPr>
              <w:pStyle w:val="Compact"/>
              <w:jc w:val="left"/>
            </w:pPr>
            <w:r>
              <w:t xml:space="preserve">The attack violates law</w:t>
            </w:r>
          </w:p>
        </w:tc>
        <w:tc>
          <w:tcPr/>
          <w:p>
            <w:pPr>
              <w:pStyle w:val="Compact"/>
              <w:jc w:val="left"/>
            </w:pPr>
            <w:r>
              <w:t xml:space="preserve">You can’t claim self-defense against lawful actions (e.g., police arrest)</w:t>
            </w:r>
          </w:p>
        </w:tc>
      </w:tr>
      <w:tr>
        <w:tc>
          <w:tcPr/>
          <w:p>
            <w:pPr>
              <w:pStyle w:val="Compact"/>
              <w:jc w:val="left"/>
            </w:pPr>
            <w:r>
              <w:t xml:space="preserve">(3) Defensive action</w:t>
            </w:r>
          </w:p>
        </w:tc>
        <w:tc>
          <w:tcPr/>
          <w:p>
            <w:pPr>
              <w:pStyle w:val="Compact"/>
              <w:jc w:val="left"/>
            </w:pPr>
            <w:r>
              <w:t xml:space="preserve">Your response is directed at stopping the attack</w:t>
            </w:r>
          </w:p>
        </w:tc>
        <w:tc>
          <w:tcPr/>
          <w:p>
            <w:pPr>
              <w:pStyle w:val="Compact"/>
              <w:jc w:val="left"/>
            </w:pPr>
            <w:r>
              <w:t xml:space="preserve">Vengeance after the fact ≠ self-defense</w:t>
            </w:r>
          </w:p>
        </w:tc>
      </w:tr>
      <w:tr>
        <w:tc>
          <w:tcPr/>
          <w:p>
            <w:pPr>
              <w:pStyle w:val="Compact"/>
              <w:jc w:val="left"/>
            </w:pPr>
            <w:r>
              <w:t xml:space="preserve">(4) Proportionality</w:t>
            </w:r>
          </w:p>
        </w:tc>
        <w:tc>
          <w:tcPr/>
          <w:p>
            <w:pPr>
              <w:pStyle w:val="Compact"/>
              <w:jc w:val="left"/>
            </w:pPr>
            <w:r>
              <w:t xml:space="preserve">The response is commensurate with the threat</w:t>
            </w:r>
          </w:p>
        </w:tc>
        <w:tc>
          <w:tcPr/>
          <w:p>
            <w:pPr>
              <w:pStyle w:val="Compact"/>
              <w:jc w:val="left"/>
            </w:pPr>
            <w:r>
              <w:t xml:space="preserve">No shooting someone for pushing you</w:t>
            </w:r>
            <w:r>
              <w:rPr>
                <w:rStyle w:val="FootnoteReference"/>
              </w:rPr>
              <w:footnoteReference w:id="200"/>
            </w:r>
          </w:p>
        </w:tc>
      </w:tr>
    </w:tbl>
    <w:bookmarkEnd w:id="201"/>
    <w:bookmarkStart w:id="202" w:name="finding-legal-help"/>
    <w:p>
      <w:pPr>
        <w:pStyle w:val="Heading3"/>
      </w:pPr>
      <w:r>
        <w:t xml:space="preserve">Finding Legal Help</w:t>
      </w:r>
    </w:p>
    <w:tbl>
      <w:tblPr>
        <w:tblStyle w:val="Table"/>
        <w:tblW w:type="pct" w:w="5000"/>
        <w:jc w:val="left"/>
        <w:tblLayout w:type="fixed"/>
        <w:tblLook w:firstRow="1" w:lastRow="0" w:firstColumn="0" w:lastColumn="0" w:noHBand="0" w:noVBand="0" w:val="0020"/>
      </w:tblPr>
      <w:tblGrid>
        <w:gridCol w:w="2329"/>
        <w:gridCol w:w="2096"/>
        <w:gridCol w:w="3494"/>
      </w:tblGrid>
      <w:tr>
        <w:trPr>
          <w:tblHeader w:val="on"/>
        </w:trPr>
        <w:tc>
          <w:tcPr/>
          <w:p>
            <w:pPr>
              <w:pStyle w:val="Compact"/>
              <w:jc w:val="left"/>
            </w:pPr>
            <w:r>
              <w:t xml:space="preserve">Resource</w:t>
            </w:r>
          </w:p>
        </w:tc>
        <w:tc>
          <w:tcPr/>
          <w:p>
            <w:pPr>
              <w:pStyle w:val="Compact"/>
              <w:jc w:val="left"/>
            </w:pPr>
            <w:r>
              <w:t xml:space="preserve">Contact</w:t>
            </w:r>
          </w:p>
        </w:tc>
        <w:tc>
          <w:tcPr/>
          <w:p>
            <w:pPr>
              <w:pStyle w:val="Compact"/>
              <w:jc w:val="left"/>
            </w:pPr>
            <w:r>
              <w:t xml:space="preserve">What it offers</w:t>
            </w:r>
          </w:p>
        </w:tc>
      </w:tr>
      <w:tr>
        <w:tc>
          <w:tcPr/>
          <w:p>
            <w:pPr>
              <w:pStyle w:val="Compact"/>
              <w:jc w:val="left"/>
            </w:pPr>
            <w:r>
              <w:rPr>
                <w:b/>
                <w:bCs/>
              </w:rPr>
              <w:t xml:space="preserve">Notdienst (emergency lawyer)</w:t>
            </w:r>
          </w:p>
        </w:tc>
        <w:tc>
          <w:tcPr/>
          <w:p>
            <w:pPr>
              <w:pStyle w:val="Compact"/>
              <w:jc w:val="left"/>
            </w:pPr>
            <w:r>
              <w:t xml:space="preserve">0180/522 44 66</w:t>
            </w:r>
          </w:p>
        </w:tc>
        <w:tc>
          <w:tcPr/>
          <w:p>
            <w:pPr>
              <w:pStyle w:val="Compact"/>
              <w:jc w:val="left"/>
            </w:pPr>
            <w:r>
              <w:t xml:space="preserve">24/7 emergency legal advice</w:t>
            </w:r>
          </w:p>
        </w:tc>
      </w:tr>
      <w:tr>
        <w:tc>
          <w:tcPr/>
          <w:p>
            <w:pPr>
              <w:pStyle w:val="Compact"/>
              <w:jc w:val="left"/>
            </w:pPr>
            <w:r>
              <w:rPr>
                <w:b/>
                <w:bCs/>
              </w:rPr>
              <w:t xml:space="preserve">Rechtsanwaltskammer</w:t>
            </w:r>
          </w:p>
        </w:tc>
        <w:tc>
          <w:tcPr/>
          <w:p>
            <w:pPr>
              <w:pStyle w:val="Compact"/>
              <w:jc w:val="left"/>
            </w:pPr>
            <w:r>
              <w:t xml:space="preserve">Search:</w:t>
            </w:r>
            <w:r>
              <w:t xml:space="preserve"> </w:t>
            </w:r>
            <w:r>
              <w:t xml:space="preserve">“</w:t>
            </w:r>
            <w:r>
              <w:t xml:space="preserve">[your city] Rechtsanwaltskammer</w:t>
            </w:r>
            <w:r>
              <w:t xml:space="preserve">”</w:t>
            </w:r>
          </w:p>
        </w:tc>
        <w:tc>
          <w:tcPr/>
          <w:p>
            <w:pPr>
              <w:pStyle w:val="Compact"/>
              <w:jc w:val="left"/>
            </w:pPr>
            <w:r>
              <w:t xml:space="preserve">Lawyer directory, free initial consultation referrals</w:t>
            </w:r>
          </w:p>
        </w:tc>
      </w:tr>
      <w:tr>
        <w:tc>
          <w:tcPr/>
          <w:p>
            <w:pPr>
              <w:pStyle w:val="Compact"/>
              <w:jc w:val="left"/>
            </w:pPr>
            <w:r>
              <w:rPr>
                <w:b/>
                <w:bCs/>
              </w:rPr>
              <w:t xml:space="preserve">Beratungshilfe</w:t>
            </w:r>
          </w:p>
        </w:tc>
        <w:tc>
          <w:tcPr/>
          <w:p>
            <w:pPr>
              <w:pStyle w:val="Compact"/>
              <w:jc w:val="left"/>
            </w:pPr>
            <w:r>
              <w:t xml:space="preserve">Local Amtsgericht</w:t>
            </w:r>
          </w:p>
        </w:tc>
        <w:tc>
          <w:tcPr/>
          <w:p>
            <w:pPr>
              <w:pStyle w:val="Compact"/>
              <w:jc w:val="left"/>
            </w:pPr>
            <w:r>
              <w:t xml:space="preserve">Free legal advice for low-income individuals</w:t>
            </w:r>
          </w:p>
        </w:tc>
      </w:tr>
      <w:tr>
        <w:tc>
          <w:tcPr/>
          <w:p>
            <w:pPr>
              <w:pStyle w:val="Compact"/>
              <w:jc w:val="left"/>
            </w:pPr>
            <w:r>
              <w:rPr>
                <w:b/>
                <w:bCs/>
              </w:rPr>
              <w:t xml:space="preserve">Fachanwalt für Strafrecht</w:t>
            </w:r>
          </w:p>
        </w:tc>
        <w:tc>
          <w:tcPr/>
          <w:p>
            <w:pPr>
              <w:pStyle w:val="Compact"/>
              <w:jc w:val="left"/>
            </w:pPr>
            <w:r>
              <w:t xml:space="preserve">Search:</w:t>
            </w:r>
            <w:r>
              <w:t xml:space="preserve"> </w:t>
            </w:r>
            <w:r>
              <w:t xml:space="preserve">“</w:t>
            </w:r>
            <w:r>
              <w:t xml:space="preserve">[your city] Fachanwalt Strafrecht</w:t>
            </w:r>
            <w:r>
              <w:t xml:space="preserve">”</w:t>
            </w:r>
          </w:p>
        </w:tc>
        <w:tc>
          <w:tcPr/>
          <w:p>
            <w:pPr>
              <w:pStyle w:val="Compact"/>
              <w:jc w:val="left"/>
            </w:pPr>
            <w:r>
              <w:t xml:space="preserve">Criminal law specialist</w:t>
            </w:r>
          </w:p>
        </w:tc>
      </w:tr>
      <w:tr>
        <w:tc>
          <w:tcPr/>
          <w:p>
            <w:pPr>
              <w:pStyle w:val="Compact"/>
              <w:jc w:val="left"/>
            </w:pPr>
            <w:r>
              <w:rPr>
                <w:b/>
                <w:bCs/>
              </w:rPr>
              <w:t xml:space="preserve">Weisser Ring</w:t>
            </w:r>
          </w:p>
        </w:tc>
        <w:tc>
          <w:tcPr/>
          <w:p>
            <w:pPr>
              <w:pStyle w:val="Compact"/>
              <w:jc w:val="left"/>
            </w:pPr>
            <w:r>
              <w:t xml:space="preserve">0180/34 34 34</w:t>
            </w:r>
          </w:p>
        </w:tc>
        <w:tc>
          <w:tcPr/>
          <w:p>
            <w:pPr>
              <w:pStyle w:val="Compact"/>
              <w:jc w:val="left"/>
            </w:pPr>
            <w:r>
              <w:t xml:space="preserve">Support for crime victims — legal, financial, emotional</w:t>
            </w:r>
          </w:p>
        </w:tc>
      </w:tr>
    </w:tbl>
    <w:bookmarkEnd w:id="202"/>
    <w:bookmarkEnd w:id="203"/>
    <w:bookmarkStart w:id="207" w:name="medical-support"/>
    <w:p>
      <w:pPr>
        <w:pStyle w:val="Heading2"/>
      </w:pPr>
      <w:r>
        <w:t xml:space="preserve">Medical Support</w:t>
      </w:r>
    </w:p>
    <w:bookmarkStart w:id="204" w:name="reproductive-health"/>
    <w:p>
      <w:pPr>
        <w:pStyle w:val="Heading3"/>
      </w:pPr>
      <w:r>
        <w:t xml:space="preserve">Reproductive Health</w:t>
      </w:r>
    </w:p>
    <w:tbl>
      <w:tblPr>
        <w:tblStyle w:val="Table"/>
        <w:tblW w:type="pct" w:w="5000"/>
        <w:jc w:val="left"/>
        <w:tblLayout w:type="fixed"/>
        <w:tblLook w:firstRow="1" w:lastRow="0" w:firstColumn="0" w:lastColumn="0" w:noHBand="0" w:noVBand="0" w:val="0020"/>
      </w:tblPr>
      <w:tblGrid>
        <w:gridCol w:w="2329"/>
        <w:gridCol w:w="2096"/>
        <w:gridCol w:w="3494"/>
      </w:tblGrid>
      <w:tr>
        <w:trPr>
          <w:tblHeader w:val="on"/>
        </w:trPr>
        <w:tc>
          <w:tcPr/>
          <w:p>
            <w:pPr>
              <w:pStyle w:val="Compact"/>
              <w:jc w:val="left"/>
            </w:pPr>
            <w:r>
              <w:t xml:space="preserve">Resource</w:t>
            </w:r>
          </w:p>
        </w:tc>
        <w:tc>
          <w:tcPr/>
          <w:p>
            <w:pPr>
              <w:pStyle w:val="Compact"/>
              <w:jc w:val="left"/>
            </w:pPr>
            <w:r>
              <w:t xml:space="preserve">Contact</w:t>
            </w:r>
          </w:p>
        </w:tc>
        <w:tc>
          <w:tcPr/>
          <w:p>
            <w:pPr>
              <w:pStyle w:val="Compact"/>
              <w:jc w:val="left"/>
            </w:pPr>
            <w:r>
              <w:t xml:space="preserve">What it offers</w:t>
            </w:r>
          </w:p>
        </w:tc>
      </w:tr>
      <w:tr>
        <w:tc>
          <w:tcPr/>
          <w:p>
            <w:pPr>
              <w:pStyle w:val="Compact"/>
              <w:jc w:val="left"/>
            </w:pPr>
            <w:r>
              <w:rPr>
                <w:b/>
                <w:bCs/>
              </w:rPr>
              <w:t xml:space="preserve">Pro Familia</w:t>
            </w:r>
          </w:p>
        </w:tc>
        <w:tc>
          <w:tcPr/>
          <w:p>
            <w:pPr>
              <w:pStyle w:val="Compact"/>
              <w:jc w:val="left"/>
            </w:pPr>
            <w:r>
              <w:t xml:space="preserve">profamilia.de</w:t>
            </w:r>
          </w:p>
        </w:tc>
        <w:tc>
          <w:tcPr/>
          <w:p>
            <w:pPr>
              <w:pStyle w:val="Compact"/>
              <w:jc w:val="left"/>
            </w:pPr>
            <w:r>
              <w:t xml:space="preserve">Counseling on pregnancy, contraception, abortion, sexual health. Non-judgmental. Confidential.</w:t>
            </w:r>
          </w:p>
        </w:tc>
      </w:tr>
      <w:tr>
        <w:tc>
          <w:tcPr/>
          <w:p>
            <w:pPr>
              <w:pStyle w:val="Compact"/>
              <w:jc w:val="left"/>
            </w:pPr>
            <w:r>
              <w:rPr>
                <w:b/>
                <w:bCs/>
              </w:rPr>
              <w:t xml:space="preserve">Schwangerschaftskonfliktberatung</w:t>
            </w:r>
          </w:p>
        </w:tc>
        <w:tc>
          <w:tcPr/>
          <w:p>
            <w:pPr>
              <w:pStyle w:val="Compact"/>
              <w:jc w:val="left"/>
            </w:pPr>
            <w:r>
              <w:t xml:space="preserve">Search:</w:t>
            </w:r>
            <w:r>
              <w:t xml:space="preserve"> </w:t>
            </w:r>
            <w:r>
              <w:t xml:space="preserve">“</w:t>
            </w:r>
            <w:r>
              <w:t xml:space="preserve">[your city] Schwangerschaftskonfliktberatung</w:t>
            </w:r>
            <w:r>
              <w:t xml:space="preserve">”</w:t>
            </w:r>
          </w:p>
        </w:tc>
        <w:tc>
          <w:tcPr/>
          <w:p>
            <w:pPr>
              <w:pStyle w:val="Compact"/>
              <w:jc w:val="left"/>
            </w:pPr>
            <w:r>
              <w:t xml:space="preserve">Mandatory counseling before abortion in Germany. Free.</w:t>
            </w:r>
          </w:p>
        </w:tc>
      </w:tr>
      <w:tr>
        <w:tc>
          <w:tcPr/>
          <w:p>
            <w:pPr>
              <w:pStyle w:val="Compact"/>
              <w:jc w:val="left"/>
            </w:pPr>
            <w:r>
              <w:rPr>
                <w:b/>
                <w:bCs/>
              </w:rPr>
              <w:t xml:space="preserve">Gynecologist (Frauenarzt)</w:t>
            </w:r>
          </w:p>
        </w:tc>
        <w:tc>
          <w:tcPr/>
          <w:p>
            <w:pPr>
              <w:pStyle w:val="Compact"/>
              <w:jc w:val="left"/>
            </w:pPr>
            <w:r>
              <w:t xml:space="preserve">Search: Jameda, Doctolib</w:t>
            </w:r>
          </w:p>
        </w:tc>
        <w:tc>
          <w:tcPr/>
          <w:p>
            <w:pPr>
              <w:pStyle w:val="Compact"/>
              <w:jc w:val="left"/>
            </w:pPr>
            <w:r>
              <w:t xml:space="preserve">Reproductive health, prenatal care, contraception.</w:t>
            </w:r>
          </w:p>
        </w:tc>
      </w:tr>
    </w:tbl>
    <w:bookmarkEnd w:id="204"/>
    <w:bookmarkStart w:id="205" w:name="pediatric-child-health"/>
    <w:p>
      <w:pPr>
        <w:pStyle w:val="Heading3"/>
      </w:pPr>
      <w:r>
        <w:t xml:space="preserve">Pediatric / Child Health</w:t>
      </w:r>
    </w:p>
    <w:tbl>
      <w:tblPr>
        <w:tblStyle w:val="Table"/>
        <w:tblW w:type="pct" w:w="5000"/>
        <w:jc w:val="left"/>
        <w:tblLayout w:type="fixed"/>
        <w:tblLook w:firstRow="1" w:lastRow="0" w:firstColumn="0" w:lastColumn="0" w:noHBand="0" w:noVBand="0" w:val="0020"/>
      </w:tblPr>
      <w:tblGrid>
        <w:gridCol w:w="2329"/>
        <w:gridCol w:w="2096"/>
        <w:gridCol w:w="3494"/>
      </w:tblGrid>
      <w:tr>
        <w:trPr>
          <w:tblHeader w:val="on"/>
        </w:trPr>
        <w:tc>
          <w:tcPr/>
          <w:p>
            <w:pPr>
              <w:pStyle w:val="Compact"/>
              <w:jc w:val="left"/>
            </w:pPr>
            <w:r>
              <w:t xml:space="preserve">Resource</w:t>
            </w:r>
          </w:p>
        </w:tc>
        <w:tc>
          <w:tcPr/>
          <w:p>
            <w:pPr>
              <w:pStyle w:val="Compact"/>
              <w:jc w:val="left"/>
            </w:pPr>
            <w:r>
              <w:t xml:space="preserve">Contact</w:t>
            </w:r>
          </w:p>
        </w:tc>
        <w:tc>
          <w:tcPr/>
          <w:p>
            <w:pPr>
              <w:pStyle w:val="Compact"/>
              <w:jc w:val="left"/>
            </w:pPr>
            <w:r>
              <w:t xml:space="preserve">What it offers</w:t>
            </w:r>
          </w:p>
        </w:tc>
      </w:tr>
      <w:tr>
        <w:tc>
          <w:tcPr/>
          <w:p>
            <w:pPr>
              <w:pStyle w:val="Compact"/>
              <w:jc w:val="left"/>
            </w:pPr>
            <w:r>
              <w:rPr>
                <w:b/>
                <w:bCs/>
              </w:rPr>
              <w:t xml:space="preserve">Kinderarzt</w:t>
            </w:r>
          </w:p>
        </w:tc>
        <w:tc>
          <w:tcPr/>
          <w:p>
            <w:pPr>
              <w:pStyle w:val="Compact"/>
              <w:jc w:val="left"/>
            </w:pPr>
            <w:r>
              <w:t xml:space="preserve">Search: Jameda, Doctolib</w:t>
            </w:r>
          </w:p>
        </w:tc>
        <w:tc>
          <w:tcPr/>
          <w:p>
            <w:pPr>
              <w:pStyle w:val="Compact"/>
              <w:jc w:val="left"/>
            </w:pPr>
            <w:r>
              <w:t xml:space="preserve">General child health, vaccinations, development checks.</w:t>
            </w:r>
          </w:p>
        </w:tc>
      </w:tr>
      <w:tr>
        <w:tc>
          <w:tcPr/>
          <w:p>
            <w:pPr>
              <w:pStyle w:val="Compact"/>
              <w:jc w:val="left"/>
            </w:pPr>
            <w:r>
              <w:rPr>
                <w:b/>
                <w:bCs/>
              </w:rPr>
              <w:t xml:space="preserve">Kinder- und Jugendpsychiatrie</w:t>
            </w:r>
          </w:p>
        </w:tc>
        <w:tc>
          <w:tcPr/>
          <w:p>
            <w:pPr>
              <w:pStyle w:val="Compact"/>
              <w:jc w:val="left"/>
            </w:pPr>
            <w:r>
              <w:t xml:space="preserve">Via GP referral or direct</w:t>
            </w:r>
          </w:p>
        </w:tc>
        <w:tc>
          <w:tcPr/>
          <w:p>
            <w:pPr>
              <w:pStyle w:val="Compact"/>
              <w:jc w:val="left"/>
            </w:pPr>
            <w:r>
              <w:t xml:space="preserve">Mental health support for children and adolescents.</w:t>
            </w:r>
          </w:p>
        </w:tc>
      </w:tr>
      <w:tr>
        <w:tc>
          <w:tcPr/>
          <w:p>
            <w:pPr>
              <w:pStyle w:val="Compact"/>
              <w:jc w:val="left"/>
            </w:pPr>
            <w:r>
              <w:rPr>
                <w:b/>
                <w:bCs/>
              </w:rPr>
              <w:t xml:space="preserve">Kinderschutzbund</w:t>
            </w:r>
          </w:p>
        </w:tc>
        <w:tc>
          <w:tcPr/>
          <w:p>
            <w:pPr>
              <w:pStyle w:val="Compact"/>
              <w:jc w:val="left"/>
            </w:pPr>
            <w:r>
              <w:t xml:space="preserve">kinderschutzbund.de</w:t>
            </w:r>
          </w:p>
        </w:tc>
        <w:tc>
          <w:tcPr/>
          <w:p>
            <w:pPr>
              <w:pStyle w:val="Compact"/>
              <w:jc w:val="left"/>
            </w:pPr>
            <w:r>
              <w:t xml:space="preserve">Child welfare, abuse prevention, family support.</w:t>
            </w:r>
          </w:p>
        </w:tc>
      </w:tr>
    </w:tbl>
    <w:bookmarkEnd w:id="205"/>
    <w:bookmarkStart w:id="206" w:name="general-medical"/>
    <w:p>
      <w:pPr>
        <w:pStyle w:val="Heading3"/>
      </w:pPr>
      <w:r>
        <w:t xml:space="preserve">General Medical</w:t>
      </w:r>
    </w:p>
    <w:tbl>
      <w:tblPr>
        <w:tblStyle w:val="Table"/>
        <w:tblW w:type="pct" w:w="5000"/>
        <w:jc w:val="left"/>
        <w:tblLayout w:type="fixed"/>
        <w:tblLook w:firstRow="1" w:lastRow="0" w:firstColumn="0" w:lastColumn="0" w:noHBand="0" w:noVBand="0" w:val="0020"/>
      </w:tblPr>
      <w:tblGrid>
        <w:gridCol w:w="2731"/>
        <w:gridCol w:w="3277"/>
        <w:gridCol w:w="1911"/>
      </w:tblGrid>
      <w:tr>
        <w:trPr>
          <w:tblHeader w:val="on"/>
        </w:trPr>
        <w:tc>
          <w:tcPr/>
          <w:p>
            <w:pPr>
              <w:pStyle w:val="Compact"/>
              <w:jc w:val="left"/>
            </w:pPr>
            <w:r>
              <w:t xml:space="preserve">Resource</w:t>
            </w:r>
          </w:p>
        </w:tc>
        <w:tc>
          <w:tcPr/>
          <w:p>
            <w:pPr>
              <w:pStyle w:val="Compact"/>
              <w:jc w:val="left"/>
            </w:pPr>
            <w:r>
              <w:t xml:space="preserve">When to use</w:t>
            </w:r>
          </w:p>
        </w:tc>
        <w:tc>
          <w:tcPr/>
          <w:p>
            <w:pPr>
              <w:pStyle w:val="Compact"/>
              <w:jc w:val="left"/>
            </w:pPr>
            <w:r>
              <w:t xml:space="preserve">Notes</w:t>
            </w:r>
          </w:p>
        </w:tc>
      </w:tr>
      <w:tr>
        <w:tc>
          <w:tcPr/>
          <w:p>
            <w:pPr>
              <w:pStyle w:val="Compact"/>
              <w:jc w:val="left"/>
            </w:pPr>
            <w:r>
              <w:rPr>
                <w:b/>
                <w:bCs/>
              </w:rPr>
              <w:t xml:space="preserve">112 / Rettungsdienst</w:t>
            </w:r>
          </w:p>
        </w:tc>
        <w:tc>
          <w:tcPr/>
          <w:p>
            <w:pPr>
              <w:pStyle w:val="Compact"/>
              <w:jc w:val="left"/>
            </w:pPr>
            <w:r>
              <w:t xml:space="preserve">Life-threatening emergencies</w:t>
            </w:r>
          </w:p>
        </w:tc>
        <w:tc>
          <w:tcPr/>
          <w:p>
            <w:pPr>
              <w:pStyle w:val="Compact"/>
              <w:jc w:val="left"/>
            </w:pPr>
            <w:r>
              <w:t xml:space="preserve">Don’t drive yourself. Ambulance = treatment starts en route.</w:t>
            </w:r>
          </w:p>
        </w:tc>
      </w:tr>
      <w:tr>
        <w:tc>
          <w:tcPr/>
          <w:p>
            <w:pPr>
              <w:pStyle w:val="Compact"/>
              <w:jc w:val="left"/>
            </w:pPr>
            <w:r>
              <w:rPr>
                <w:b/>
                <w:bCs/>
              </w:rPr>
              <w:t xml:space="preserve">Kassenärztlicher Bereitschaftsdienst</w:t>
            </w:r>
          </w:p>
        </w:tc>
        <w:tc>
          <w:tcPr/>
          <w:p>
            <w:pPr>
              <w:pStyle w:val="Compact"/>
              <w:jc w:val="left"/>
            </w:pPr>
            <w:r>
              <w:t xml:space="preserve">116 117</w:t>
            </w:r>
          </w:p>
        </w:tc>
        <w:tc>
          <w:tcPr/>
          <w:p>
            <w:pPr>
              <w:pStyle w:val="Compact"/>
              <w:jc w:val="left"/>
            </w:pPr>
            <w:r>
              <w:t xml:space="preserve">After-hours non-emergency medical care. Evenings, weekends, holidays.</w:t>
            </w:r>
          </w:p>
        </w:tc>
      </w:tr>
      <w:tr>
        <w:tc>
          <w:tcPr/>
          <w:p>
            <w:pPr>
              <w:pStyle w:val="Compact"/>
              <w:jc w:val="left"/>
            </w:pPr>
            <w:r>
              <w:rPr>
                <w:b/>
                <w:bCs/>
              </w:rPr>
              <w:t xml:space="preserve">Hausarzt</w:t>
            </w:r>
          </w:p>
        </w:tc>
        <w:tc>
          <w:tcPr/>
          <w:p>
            <w:pPr>
              <w:pStyle w:val="Compact"/>
              <w:jc w:val="left"/>
            </w:pPr>
            <w:r>
              <w:t xml:space="preserve">Everything non-urgent</w:t>
            </w:r>
          </w:p>
        </w:tc>
        <w:tc>
          <w:tcPr/>
          <w:p>
            <w:pPr>
              <w:pStyle w:val="Compact"/>
              <w:jc w:val="left"/>
            </w:pPr>
            <w:r>
              <w:t xml:space="preserve">Your coordination point. Go here first for anything not 112-worthy.</w:t>
            </w:r>
          </w:p>
        </w:tc>
      </w:tr>
    </w:tbl>
    <w:bookmarkEnd w:id="206"/>
    <w:bookmarkEnd w:id="207"/>
    <w:bookmarkStart w:id="210" w:name="social-support"/>
    <w:p>
      <w:pPr>
        <w:pStyle w:val="Heading2"/>
      </w:pPr>
      <w:r>
        <w:t xml:space="preserve">Social Support</w:t>
      </w:r>
    </w:p>
    <w:bookmarkStart w:id="208" w:name="state-child-support-germany"/>
    <w:p>
      <w:pPr>
        <w:pStyle w:val="Heading3"/>
      </w:pPr>
      <w:r>
        <w:t xml:space="preserve">State Child Support (Germany)</w:t>
      </w:r>
    </w:p>
    <w:tbl>
      <w:tblPr>
        <w:tblStyle w:val="Table"/>
        <w:tblW w:type="pct" w:w="5000"/>
        <w:jc w:val="left"/>
        <w:tblLayout w:type="fixed"/>
        <w:tblLook w:firstRow="1" w:lastRow="0" w:firstColumn="0" w:lastColumn="0" w:noHBand="0" w:noVBand="0" w:val="0020"/>
      </w:tblPr>
      <w:tblGrid>
        <w:gridCol w:w="2036"/>
        <w:gridCol w:w="2941"/>
        <w:gridCol w:w="2941"/>
      </w:tblGrid>
      <w:tr>
        <w:trPr>
          <w:tblHeader w:val="on"/>
        </w:trPr>
        <w:tc>
          <w:tcPr/>
          <w:p>
            <w:pPr>
              <w:pStyle w:val="Compact"/>
              <w:jc w:val="left"/>
            </w:pPr>
            <w:r>
              <w:t xml:space="preserve">Benefit</w:t>
            </w:r>
          </w:p>
        </w:tc>
        <w:tc>
          <w:tcPr/>
          <w:p>
            <w:pPr>
              <w:pStyle w:val="Compact"/>
              <w:jc w:val="left"/>
            </w:pPr>
            <w:r>
              <w:t xml:space="preserve">Who it’s for</w:t>
            </w:r>
          </w:p>
        </w:tc>
        <w:tc>
          <w:tcPr/>
          <w:p>
            <w:pPr>
              <w:pStyle w:val="Compact"/>
              <w:jc w:val="left"/>
            </w:pPr>
            <w:r>
              <w:t xml:space="preserve">How to apply</w:t>
            </w:r>
          </w:p>
        </w:tc>
      </w:tr>
      <w:tr>
        <w:tc>
          <w:tcPr/>
          <w:p>
            <w:pPr>
              <w:pStyle w:val="Compact"/>
              <w:jc w:val="left"/>
            </w:pPr>
            <w:r>
              <w:rPr>
                <w:b/>
                <w:bCs/>
              </w:rPr>
              <w:t xml:space="preserve">Kindergeld</w:t>
            </w:r>
          </w:p>
        </w:tc>
        <w:tc>
          <w:tcPr/>
          <w:p>
            <w:pPr>
              <w:pStyle w:val="Compact"/>
              <w:jc w:val="left"/>
            </w:pPr>
            <w:r>
              <w:t xml:space="preserve">Parents of children &lt; 18 (or &lt; 25 if in education)</w:t>
            </w:r>
          </w:p>
        </w:tc>
        <w:tc>
          <w:tcPr/>
          <w:p>
            <w:pPr>
              <w:pStyle w:val="Compact"/>
              <w:jc w:val="left"/>
            </w:pPr>
            <w:r>
              <w:t xml:space="preserve">Via Familienkasse. €250/child/month (2026).</w:t>
            </w:r>
          </w:p>
        </w:tc>
      </w:tr>
      <w:tr>
        <w:tc>
          <w:tcPr/>
          <w:p>
            <w:pPr>
              <w:pStyle w:val="Compact"/>
              <w:jc w:val="left"/>
            </w:pPr>
            <w:r>
              <w:rPr>
                <w:b/>
                <w:bCs/>
              </w:rPr>
              <w:t xml:space="preserve">Elterngeld</w:t>
            </w:r>
          </w:p>
        </w:tc>
        <w:tc>
          <w:tcPr/>
          <w:p>
            <w:pPr>
              <w:pStyle w:val="Compact"/>
              <w:jc w:val="left"/>
            </w:pPr>
            <w:r>
              <w:t xml:space="preserve">Parents on parental leave</w:t>
            </w:r>
          </w:p>
        </w:tc>
        <w:tc>
          <w:tcPr/>
          <w:p>
            <w:pPr>
              <w:pStyle w:val="Compact"/>
              <w:jc w:val="left"/>
            </w:pPr>
            <w:r>
              <w:t xml:space="preserve">Via Elterngeldstelle. Up to 65–67% of previous income for up to 14 months.</w:t>
            </w:r>
          </w:p>
        </w:tc>
      </w:tr>
      <w:tr>
        <w:tc>
          <w:tcPr/>
          <w:p>
            <w:pPr>
              <w:pStyle w:val="Compact"/>
              <w:jc w:val="left"/>
            </w:pPr>
            <w:r>
              <w:rPr>
                <w:b/>
                <w:bCs/>
              </w:rPr>
              <w:t xml:space="preserve">Unterhaltsvorschuss</w:t>
            </w:r>
          </w:p>
        </w:tc>
        <w:tc>
          <w:tcPr/>
          <w:p>
            <w:pPr>
              <w:pStyle w:val="Compact"/>
              <w:jc w:val="left"/>
            </w:pPr>
            <w:r>
              <w:t xml:space="preserve">Single parents not receiving child support</w:t>
            </w:r>
          </w:p>
        </w:tc>
        <w:tc>
          <w:tcPr/>
          <w:p>
            <w:pPr>
              <w:pStyle w:val="Compact"/>
              <w:jc w:val="left"/>
            </w:pPr>
            <w:r>
              <w:t xml:space="preserve">Via Jugendamt. State pays missing support, then collects from other parent.</w:t>
            </w:r>
          </w:p>
        </w:tc>
      </w:tr>
      <w:tr>
        <w:tc>
          <w:tcPr/>
          <w:p>
            <w:pPr>
              <w:pStyle w:val="Compact"/>
              <w:jc w:val="left"/>
            </w:pPr>
            <w:r>
              <w:rPr>
                <w:b/>
                <w:bCs/>
              </w:rPr>
              <w:t xml:space="preserve">Wohngeld</w:t>
            </w:r>
          </w:p>
        </w:tc>
        <w:tc>
          <w:tcPr/>
          <w:p>
            <w:pPr>
              <w:pStyle w:val="Compact"/>
              <w:jc w:val="left"/>
            </w:pPr>
            <w:r>
              <w:t xml:space="preserve">Low-income households</w:t>
            </w:r>
          </w:p>
        </w:tc>
        <w:tc>
          <w:tcPr/>
          <w:p>
            <w:pPr>
              <w:pStyle w:val="Compact"/>
              <w:jc w:val="left"/>
            </w:pPr>
            <w:r>
              <w:t xml:space="preserve">Via local Wohngeldbehörde. Housing cost subsidy.</w:t>
            </w:r>
          </w:p>
        </w:tc>
      </w:tr>
      <w:tr>
        <w:tc>
          <w:tcPr/>
          <w:p>
            <w:pPr>
              <w:pStyle w:val="Compact"/>
              <w:jc w:val="left"/>
            </w:pPr>
            <w:r>
              <w:rPr>
                <w:b/>
                <w:bCs/>
              </w:rPr>
              <w:t xml:space="preserve">Bürgergeld</w:t>
            </w:r>
          </w:p>
        </w:tc>
        <w:tc>
          <w:tcPr/>
          <w:p>
            <w:pPr>
              <w:pStyle w:val="Compact"/>
              <w:jc w:val="left"/>
            </w:pPr>
            <w:r>
              <w:t xml:space="preserve">Unemployed or low-income individuals</w:t>
            </w:r>
          </w:p>
        </w:tc>
        <w:tc>
          <w:tcPr/>
          <w:p>
            <w:pPr>
              <w:pStyle w:val="Compact"/>
              <w:jc w:val="left"/>
            </w:pPr>
            <w:r>
              <w:t xml:space="preserve">Via Jobcenter. Basic living support + job search assistance.</w:t>
            </w:r>
          </w:p>
        </w:tc>
      </w:tr>
    </w:tbl>
    <w:bookmarkEnd w:id="208"/>
    <w:bookmarkStart w:id="209" w:name="local-initiatives-community"/>
    <w:p>
      <w:pPr>
        <w:pStyle w:val="Heading3"/>
      </w:pPr>
      <w:r>
        <w:t xml:space="preserve">Local Initiatives &amp; Community</w:t>
      </w:r>
    </w:p>
    <w:tbl>
      <w:tblPr>
        <w:tblStyle w:val="Table"/>
        <w:tblW w:type="pct" w:w="5000"/>
        <w:jc w:val="left"/>
        <w:tblLayout w:type="fixed"/>
        <w:tblLook w:firstRow="1" w:lastRow="0" w:firstColumn="0" w:lastColumn="0" w:noHBand="0" w:noVBand="0" w:val="0020"/>
      </w:tblPr>
      <w:tblGrid>
        <w:gridCol w:w="1188"/>
        <w:gridCol w:w="3366"/>
        <w:gridCol w:w="3366"/>
      </w:tblGrid>
      <w:tr>
        <w:trPr>
          <w:tblHeader w:val="on"/>
        </w:trPr>
        <w:tc>
          <w:tcPr/>
          <w:p>
            <w:pPr>
              <w:pStyle w:val="Compact"/>
              <w:jc w:val="left"/>
            </w:pPr>
            <w:r>
              <w:t xml:space="preserve">Type</w:t>
            </w:r>
          </w:p>
        </w:tc>
        <w:tc>
          <w:tcPr/>
          <w:p>
            <w:pPr>
              <w:pStyle w:val="Compact"/>
              <w:jc w:val="left"/>
            </w:pPr>
            <w:r>
              <w:t xml:space="preserve">How to find them</w:t>
            </w:r>
          </w:p>
        </w:tc>
        <w:tc>
          <w:tcPr/>
          <w:p>
            <w:pPr>
              <w:pStyle w:val="Compact"/>
              <w:jc w:val="left"/>
            </w:pPr>
            <w:r>
              <w:t xml:space="preserve">What they offer</w:t>
            </w:r>
          </w:p>
        </w:tc>
      </w:tr>
      <w:tr>
        <w:tc>
          <w:tcPr/>
          <w:p>
            <w:pPr>
              <w:pStyle w:val="Compact"/>
              <w:jc w:val="left"/>
            </w:pPr>
            <w:r>
              <w:rPr>
                <w:b/>
                <w:bCs/>
              </w:rPr>
              <w:t xml:space="preserve">Volksküche / Soup kitchens</w:t>
            </w:r>
          </w:p>
        </w:tc>
        <w:tc>
          <w:tcPr/>
          <w:p>
            <w:pPr>
              <w:pStyle w:val="Compact"/>
              <w:jc w:val="left"/>
            </w:pPr>
            <w:r>
              <w:t xml:space="preserve">Search:</w:t>
            </w:r>
            <w:r>
              <w:t xml:space="preserve"> </w:t>
            </w:r>
            <w:r>
              <w:t xml:space="preserve">“</w:t>
            </w:r>
            <w:r>
              <w:t xml:space="preserve">Volksküche [your city]</w:t>
            </w:r>
            <w:r>
              <w:t xml:space="preserve">”</w:t>
            </w:r>
          </w:p>
        </w:tc>
        <w:tc>
          <w:tcPr/>
          <w:p>
            <w:pPr>
              <w:pStyle w:val="Compact"/>
              <w:jc w:val="left"/>
            </w:pPr>
            <w:r>
              <w:t xml:space="preserve">Free or cheap meals, community</w:t>
            </w:r>
          </w:p>
        </w:tc>
      </w:tr>
      <w:tr>
        <w:tc>
          <w:tcPr/>
          <w:p>
            <w:pPr>
              <w:pStyle w:val="Compact"/>
              <w:jc w:val="left"/>
            </w:pPr>
            <w:r>
              <w:rPr>
                <w:b/>
                <w:bCs/>
              </w:rPr>
              <w:t xml:space="preserve">Repair Cafés</w:t>
            </w:r>
          </w:p>
        </w:tc>
        <w:tc>
          <w:tcPr/>
          <w:p>
            <w:pPr>
              <w:pStyle w:val="Compact"/>
              <w:jc w:val="left"/>
            </w:pPr>
            <w:r>
              <w:t xml:space="preserve">repaircafe.org</w:t>
            </w:r>
          </w:p>
        </w:tc>
        <w:tc>
          <w:tcPr/>
          <w:p>
            <w:pPr>
              <w:pStyle w:val="Compact"/>
              <w:jc w:val="left"/>
            </w:pPr>
            <w:r>
              <w:t xml:space="preserve">Free repair sessions, skill sharing, social connection</w:t>
            </w:r>
          </w:p>
        </w:tc>
      </w:tr>
      <w:tr>
        <w:tc>
          <w:tcPr/>
          <w:p>
            <w:pPr>
              <w:pStyle w:val="Compact"/>
              <w:jc w:val="left"/>
            </w:pPr>
            <w:r>
              <w:rPr>
                <w:b/>
                <w:bCs/>
              </w:rPr>
              <w:t xml:space="preserve">Community gardens</w:t>
            </w:r>
          </w:p>
        </w:tc>
        <w:tc>
          <w:tcPr/>
          <w:p>
            <w:pPr>
              <w:pStyle w:val="Compact"/>
              <w:jc w:val="left"/>
            </w:pPr>
            <w:r>
              <w:t xml:space="preserve">Search:</w:t>
            </w:r>
            <w:r>
              <w:t xml:space="preserve"> </w:t>
            </w:r>
            <w:r>
              <w:t xml:space="preserve">“</w:t>
            </w:r>
            <w:r>
              <w:t xml:space="preserve">Urban Gardening [your city]</w:t>
            </w:r>
            <w:r>
              <w:t xml:space="preserve">”</w:t>
            </w:r>
          </w:p>
        </w:tc>
        <w:tc>
          <w:tcPr/>
          <w:p>
            <w:pPr>
              <w:pStyle w:val="Compact"/>
              <w:jc w:val="left"/>
            </w:pPr>
            <w:r>
              <w:t xml:space="preserve">Food production, community, therapy-by-dirt</w:t>
            </w:r>
          </w:p>
        </w:tc>
      </w:tr>
      <w:tr>
        <w:tc>
          <w:tcPr/>
          <w:p>
            <w:pPr>
              <w:pStyle w:val="Compact"/>
              <w:jc w:val="left"/>
            </w:pPr>
            <w:r>
              <w:rPr>
                <w:b/>
                <w:bCs/>
              </w:rPr>
              <w:t xml:space="preserve">Meetup groups</w:t>
            </w:r>
          </w:p>
        </w:tc>
        <w:tc>
          <w:tcPr/>
          <w:p>
            <w:pPr>
              <w:pStyle w:val="Compact"/>
              <w:jc w:val="left"/>
            </w:pPr>
            <w:r>
              <w:t xml:space="preserve">meetup.com</w:t>
            </w:r>
          </w:p>
        </w:tc>
        <w:tc>
          <w:tcPr/>
          <w:p>
            <w:pPr>
              <w:pStyle w:val="Compact"/>
              <w:jc w:val="left"/>
            </w:pPr>
            <w:r>
              <w:t xml:space="preserve">Interest-based social groups — board games, hiking, coding</w:t>
            </w:r>
          </w:p>
        </w:tc>
      </w:tr>
      <w:tr>
        <w:tc>
          <w:tcPr/>
          <w:p>
            <w:pPr>
              <w:pStyle w:val="Compact"/>
              <w:jc w:val="left"/>
            </w:pPr>
            <w:r>
              <w:rPr>
                <w:b/>
                <w:bCs/>
              </w:rPr>
              <w:t xml:space="preserve">Religious communities</w:t>
            </w:r>
          </w:p>
        </w:tc>
        <w:tc>
          <w:tcPr/>
          <w:p>
            <w:pPr>
              <w:pStyle w:val="Compact"/>
              <w:jc w:val="left"/>
            </w:pPr>
            <w:r>
              <w:t xml:space="preserve">Local churches, mosques, temples</w:t>
            </w:r>
          </w:p>
        </w:tc>
        <w:tc>
          <w:tcPr/>
          <w:p>
            <w:pPr>
              <w:pStyle w:val="Compact"/>
              <w:jc w:val="left"/>
            </w:pPr>
            <w:r>
              <w:t xml:space="preserve">Community, support, many are explicitly welcoming</w:t>
            </w:r>
          </w:p>
        </w:tc>
      </w:tr>
      <w:tr>
        <w:tc>
          <w:tcPr/>
          <w:p>
            <w:pPr>
              <w:pStyle w:val="Compact"/>
              <w:jc w:val="left"/>
            </w:pPr>
            <w:r>
              <w:rPr>
                <w:b/>
                <w:bCs/>
              </w:rPr>
              <w:t xml:space="preserve">Queer centers</w:t>
            </w:r>
          </w:p>
        </w:tc>
        <w:tc>
          <w:tcPr/>
          <w:p>
            <w:pPr>
              <w:pStyle w:val="Compact"/>
              <w:jc w:val="left"/>
            </w:pPr>
            <w:r>
              <w:t xml:space="preserve">Search:</w:t>
            </w:r>
            <w:r>
              <w:t xml:space="preserve"> </w:t>
            </w:r>
            <w:r>
              <w:t xml:space="preserve">“</w:t>
            </w:r>
            <w:r>
              <w:t xml:space="preserve">LSVD [your city]</w:t>
            </w:r>
            <w:r>
              <w:t xml:space="preserve">”</w:t>
            </w:r>
          </w:p>
        </w:tc>
        <w:tc>
          <w:tcPr/>
          <w:p>
            <w:pPr>
              <w:pStyle w:val="Compact"/>
              <w:jc w:val="left"/>
            </w:pPr>
            <w:r>
              <w:t xml:space="preserve">LGBTQ+ specific support, social events, counseling</w:t>
            </w:r>
          </w:p>
        </w:tc>
      </w:tr>
      <w:tr>
        <w:tc>
          <w:tcPr/>
          <w:p>
            <w:pPr>
              <w:pStyle w:val="Compact"/>
              <w:jc w:val="left"/>
            </w:pPr>
            <w:r>
              <w:rPr>
                <w:b/>
                <w:bCs/>
              </w:rPr>
              <w:t xml:space="preserve">Flüchtlingsrat</w:t>
            </w:r>
          </w:p>
        </w:tc>
        <w:tc>
          <w:tcPr/>
          <w:p>
            <w:pPr>
              <w:pStyle w:val="Compact"/>
              <w:jc w:val="left"/>
            </w:pPr>
            <w:r>
              <w:t xml:space="preserve">Search:</w:t>
            </w:r>
            <w:r>
              <w:t xml:space="preserve"> </w:t>
            </w:r>
            <w:r>
              <w:t xml:space="preserve">“</w:t>
            </w:r>
            <w:r>
              <w:t xml:space="preserve">Flüchtlingsrat [your state]</w:t>
            </w:r>
            <w:r>
              <w:t xml:space="preserve">”</w:t>
            </w:r>
          </w:p>
        </w:tc>
        <w:tc>
          <w:tcPr/>
          <w:p>
            <w:pPr>
              <w:pStyle w:val="Compact"/>
              <w:jc w:val="left"/>
            </w:pPr>
            <w:r>
              <w:t xml:space="preserve">Support for refugees and migrants — legal, social, practical</w:t>
            </w:r>
          </w:p>
        </w:tc>
      </w:tr>
    </w:tbl>
    <w:bookmarkEnd w:id="209"/>
    <w:bookmarkEnd w:id="210"/>
    <w:bookmarkStart w:id="211" w:name="quick-reference-card"/>
    <w:p>
      <w:pPr>
        <w:pStyle w:val="Heading2"/>
      </w:pPr>
      <w:r>
        <w:t xml:space="preserve">Quick Reference Card</w:t>
      </w:r>
    </w:p>
    <w:p>
      <w:pPr>
        <w:pStyle w:val="FirstParagraph"/>
      </w:pPr>
      <w:r>
        <w:rPr>
          <w:i/>
          <w:iCs/>
        </w:rPr>
        <w:t xml:space="preserve">Tear this out or photograph it. Keep it in your phone.</w:t>
      </w:r>
    </w:p>
    <w:p>
      <w:pPr>
        <w:pStyle w:val="SourceCode"/>
      </w:pPr>
      <w:r>
        <w:rPr>
          <w:rStyle w:val="VerbatimChar"/>
        </w:rPr>
        <w:t xml:space="preserve">┌──────────────────────────────────────────┐</w:t>
      </w:r>
      <w:r>
        <w:br/>
      </w:r>
      <w:r>
        <w:rPr>
          <w:rStyle w:val="VerbatimChar"/>
        </w:rPr>
        <w:t xml:space="preserve">│         EMERGENCY QUICK REFERENCE        │</w:t>
      </w:r>
      <w:r>
        <w:br/>
      </w:r>
      <w:r>
        <w:rPr>
          <w:rStyle w:val="VerbatimChar"/>
        </w:rPr>
        <w:t xml:space="preserve">├──────────────────────────────────────────┤</w:t>
      </w:r>
      <w:r>
        <w:br/>
      </w:r>
      <w:r>
        <w:rPr>
          <w:rStyle w:val="VerbatimChar"/>
        </w:rPr>
        <w:t xml:space="preserve">│  112    Fire / Medical Emergency         │</w:t>
      </w:r>
      <w:r>
        <w:br/>
      </w:r>
      <w:r>
        <w:rPr>
          <w:rStyle w:val="VerbatimChar"/>
        </w:rPr>
        <w:t xml:space="preserve">│  110    Police                           │</w:t>
      </w:r>
      <w:r>
        <w:br/>
      </w:r>
      <w:r>
        <w:rPr>
          <w:rStyle w:val="VerbatimChar"/>
        </w:rPr>
        <w:t xml:space="preserve">│  116117 After-hours doctor (non-emerg.)  │</w:t>
      </w:r>
      <w:r>
        <w:br/>
      </w:r>
      <w:r>
        <w:rPr>
          <w:rStyle w:val="VerbatimChar"/>
        </w:rPr>
        <w:t xml:space="preserve">│  0800/111 0 111  Crisis line (24/7)      │</w:t>
      </w:r>
      <w:r>
        <w:br/>
      </w:r>
      <w:r>
        <w:rPr>
          <w:rStyle w:val="VerbatimChar"/>
        </w:rPr>
        <w:t xml:space="preserve">│  116111 Youth emergency                  │</w:t>
      </w:r>
      <w:r>
        <w:br/>
      </w:r>
      <w:r>
        <w:rPr>
          <w:rStyle w:val="VerbatimChar"/>
        </w:rPr>
        <w:t xml:space="preserve">├──────────────────────────────────────────┤</w:t>
      </w:r>
      <w:r>
        <w:br/>
      </w:r>
      <w:r>
        <w:rPr>
          <w:rStyle w:val="VerbatimChar"/>
        </w:rPr>
        <w:t xml:space="preserve">│  Your doctor: ________________________   │</w:t>
      </w:r>
      <w:r>
        <w:br/>
      </w:r>
      <w:r>
        <w:rPr>
          <w:rStyle w:val="VerbatimChar"/>
        </w:rPr>
        <w:t xml:space="preserve">│  Local hospital: _____________________   │</w:t>
      </w:r>
      <w:r>
        <w:br/>
      </w:r>
      <w:r>
        <w:rPr>
          <w:rStyle w:val="VerbatimChar"/>
        </w:rPr>
        <w:t xml:space="preserve">│  Therapist: __________________________   │</w:t>
      </w:r>
      <w:r>
        <w:br/>
      </w:r>
      <w:r>
        <w:rPr>
          <w:rStyle w:val="VerbatimChar"/>
        </w:rPr>
        <w:t xml:space="preserve">│  Emergency contact: __________________   │</w:t>
      </w:r>
      <w:r>
        <w:br/>
      </w:r>
      <w:r>
        <w:rPr>
          <w:rStyle w:val="VerbatimChar"/>
        </w:rPr>
        <w:t xml:space="preserve">│  WiFi password: _____________________    │</w:t>
      </w:r>
      <w:r>
        <w:br/>
      </w:r>
      <w:r>
        <w:rPr>
          <w:rStyle w:val="VerbatimChar"/>
        </w:rPr>
        <w:t xml:space="preserve">├──────────────────────────────────────────┤</w:t>
      </w:r>
      <w:r>
        <w:br/>
      </w:r>
      <w:r>
        <w:rPr>
          <w:rStyle w:val="VerbatimChar"/>
        </w:rPr>
        <w:t xml:space="preserve">│  → Full directory: Ch.7                  │</w:t>
      </w:r>
      <w:r>
        <w:br/>
      </w:r>
      <w:r>
        <w:rPr>
          <w:rStyle w:val="VerbatimChar"/>
        </w:rPr>
        <w:t xml:space="preserve">│  → Calm Guide: Ch.4                      │</w:t>
      </w:r>
      <w:r>
        <w:br/>
      </w:r>
      <w:r>
        <w:rPr>
          <w:rStyle w:val="VerbatimChar"/>
        </w:rPr>
        <w:t xml:space="preserve">│  → Self Ambulance: Ch.5                  │</w:t>
      </w:r>
      <w:r>
        <w:br/>
      </w:r>
      <w:r>
        <w:rPr>
          <w:rStyle w:val="VerbatimChar"/>
        </w:rPr>
        <w:t xml:space="preserve">│  → IASC pyramid: p.7.2                   │</w:t>
      </w:r>
      <w:r>
        <w:br/>
      </w:r>
      <w:r>
        <w:rPr>
          <w:rStyle w:val="VerbatimChar"/>
        </w:rPr>
        <w:t xml:space="preserve">└──────────────────────────────────────────┘</w:t>
      </w:r>
    </w:p>
    <w:p>
      <w:pPr>
        <w:pStyle w:val="FirstParagraph"/>
      </w:pPr>
      <w:r>
        <w:t xml:space="preserve">title:</w:t>
      </w:r>
      <w:r>
        <w:t xml:space="preserve"> </w:t>
      </w:r>
      <w:r>
        <w:t xml:space="preserve">“</w:t>
      </w:r>
      <w:r>
        <w:t xml:space="preserve">Appendix — The Loose Ends</w:t>
      </w:r>
      <w:r>
        <w:t xml:space="preserve">”</w:t>
      </w:r>
      <w:r>
        <w:t xml:space="preserve"> </w:t>
      </w:r>
      <w:r>
        <w:t xml:space="preserve">chapter: 8</w:t>
      </w:r>
      <w:r>
        <w:t xml:space="preserve"> </w:t>
      </w:r>
      <w:r>
        <w:t xml:space="preserve">revision:</w:t>
      </w:r>
      <w:r>
        <w:t xml:space="preserve"> </w:t>
      </w:r>
      <w:r>
        <w:t xml:space="preserve">“</w:t>
      </w:r>
      <w:r>
        <w:t xml:space="preserve">3.2.0</w:t>
      </w:r>
      <w:r>
        <w:t xml:space="preserve">”</w:t>
      </w:r>
      <w:r>
        <w:t xml:space="preserve"> </w:t>
      </w:r>
      <w:r>
        <w:t xml:space="preserve">last_updated:</w:t>
      </w:r>
      <w:r>
        <w:t xml:space="preserve"> </w:t>
      </w:r>
      <w:r>
        <w:t xml:space="preserve">“</w:t>
      </w:r>
      <w:r>
        <w:t xml:space="preserve">2026-05-03</w:t>
      </w:r>
      <w:r>
        <w:t xml:space="preserve">”</w:t>
      </w:r>
      <w:r>
        <w:t xml:space="preserve"> </w:t>
      </w:r>
      <w:r>
        <w:t xml:space="preserve">dependencies:</w:t>
      </w:r>
      <w:r>
        <w:t xml:space="preserve"> </w:t>
      </w:r>
      <w:r>
        <w:t xml:space="preserve">- ../diagrams/decision_flow_graph.png</w:t>
      </w:r>
      <w:r>
        <w:t xml:space="preserve"> </w:t>
      </w:r>
      <w:r>
        <w:t xml:space="preserve">—</w:t>
      </w:r>
    </w:p>
    <w:bookmarkEnd w:id="211"/>
    <w:bookmarkEnd w:id="212"/>
    <w:bookmarkStart w:id="221" w:name="appendix-the-loose-ends"/>
    <w:p>
      <w:pPr>
        <w:pStyle w:val="Heading1"/>
      </w:pPr>
      <w:r>
        <w:t xml:space="preserve">Appendix — The Loose Ends</w:t>
      </w:r>
    </w:p>
    <w:p>
      <w:pPr>
        <w:pStyle w:val="FirstParagraph"/>
      </w:pPr>
      <w:r>
        <w:t xml:space="preserve">This section collects the things that don’t fit neatly into the flow but are essential nonetheless: the master cross-reference, fillable fields, the symbol legend, formula index, and a notes page. Think of it as the bathroom drawer where the important miscellaneous stuff lives.</w:t>
      </w:r>
    </w:p>
    <w:bookmarkStart w:id="213" w:name="X32198ad95ff20f19f3620fd3b6202c7f3f6f211"/>
    <w:p>
      <w:pPr>
        <w:pStyle w:val="Heading2"/>
      </w:pPr>
      <w:r>
        <w:t xml:space="preserve">Master Cross-Reference: Where Everything Points</w:t>
      </w:r>
    </w:p>
    <w:p>
      <w:pPr>
        <w:pStyle w:val="FirstParagraph"/>
      </w:pPr>
      <w:r>
        <w:t xml:space="preserve">Every path in this guide converges on one (or more) of four destinations. This table shows every section and where it routes.</w:t>
      </w:r>
    </w:p>
    <w:tbl>
      <w:tblPr>
        <w:tblStyle w:val="Table"/>
        <w:tblW w:type="pct" w:w="5000"/>
        <w:jc w:val="left"/>
        <w:tblLayout w:type="fixed"/>
        <w:tblLook w:firstRow="1" w:lastRow="0" w:firstColumn="0" w:lastColumn="0" w:noHBand="0" w:noVBand="0" w:val="0020"/>
      </w:tblPr>
      <w:tblGrid>
        <w:gridCol w:w="2284"/>
        <w:gridCol w:w="1675"/>
        <w:gridCol w:w="3960"/>
      </w:tblGrid>
      <w:tr>
        <w:trPr>
          <w:tblHeader w:val="on"/>
        </w:trPr>
        <w:tc>
          <w:tcPr/>
          <w:p>
            <w:pPr>
              <w:pStyle w:val="Compact"/>
              <w:jc w:val="left"/>
            </w:pPr>
            <w:r>
              <w:t xml:space="preserve">Source section</w:t>
            </w:r>
          </w:p>
        </w:tc>
        <w:tc>
          <w:tcPr/>
          <w:p>
            <w:pPr>
              <w:pStyle w:val="Compact"/>
              <w:jc w:val="left"/>
            </w:pPr>
            <w:r>
              <w:t xml:space="preserve">Routes to</w:t>
            </w:r>
          </w:p>
        </w:tc>
        <w:tc>
          <w:tcPr/>
          <w:p>
            <w:pPr>
              <w:pStyle w:val="Compact"/>
              <w:jc w:val="left"/>
            </w:pPr>
            <w:r>
              <w:t xml:space="preserve">Diagram references (v3.2)</w:t>
            </w:r>
          </w:p>
        </w:tc>
      </w:tr>
      <w:tr>
        <w:tc>
          <w:tcPr/>
          <w:p>
            <w:pPr>
              <w:pStyle w:val="Compact"/>
              <w:jc w:val="left"/>
            </w:pPr>
            <w:r>
              <w:t xml:space="preserve">A1 (Not yet geschlüpft)</w:t>
            </w:r>
          </w:p>
        </w:tc>
        <w:tc>
          <w:tcPr/>
          <w:p>
            <w:pPr>
              <w:pStyle w:val="Compact"/>
              <w:jc w:val="left"/>
            </w:pPr>
            <w:r>
              <w:t xml:space="preserve">📍 Calm Guide · 📍 Prof. Support (§14.4)</w:t>
            </w:r>
          </w:p>
        </w:tc>
        <w:tc>
          <w:tcPr/>
          <w:p>
            <w:pPr>
              <w:pStyle w:val="Compact"/>
              <w:jc w:val="left"/>
            </w:pPr>
            <w:r>
              <w:t xml:space="preserve">—</w:t>
            </w:r>
          </w:p>
        </w:tc>
      </w:tr>
      <w:tr>
        <w:tc>
          <w:tcPr/>
          <w:p>
            <w:pPr>
              <w:pStyle w:val="Compact"/>
              <w:jc w:val="left"/>
            </w:pPr>
            <w:r>
              <w:t xml:space="preserve">A2 (Geschlüpft, minutes ago)</w:t>
            </w:r>
          </w:p>
        </w:tc>
        <w:tc>
          <w:tcPr/>
          <w:p>
            <w:pPr>
              <w:pStyle w:val="Compact"/>
              <w:jc w:val="left"/>
            </w:pPr>
            <w:r>
              <w:t xml:space="preserve">📍 Zombie Guide · 📍 Self Ambulance · 📍 Calm Guide</w:t>
            </w:r>
          </w:p>
        </w:tc>
        <w:tc>
          <w:tcPr/>
          <w:p>
            <w:pPr>
              <w:pStyle w:val="Compact"/>
              <w:jc w:val="left"/>
            </w:pPr>
            <w:r>
              <w:t xml:space="preserve">—</w:t>
            </w:r>
          </w:p>
        </w:tc>
      </w:tr>
      <w:tr>
        <w:tc>
          <w:tcPr/>
          <w:p>
            <w:pPr>
              <w:pStyle w:val="Compact"/>
              <w:jc w:val="left"/>
            </w:pPr>
            <w:r>
              <w:t xml:space="preserve">A3 (Geschlüpft, days ago)</w:t>
            </w:r>
          </w:p>
        </w:tc>
        <w:tc>
          <w:tcPr/>
          <w:p>
            <w:pPr>
              <w:pStyle w:val="Compact"/>
              <w:jc w:val="left"/>
            </w:pPr>
            <w:r>
              <w:t xml:space="preserve">📍 Prof. Support (§14.4, §14.2) · 📍 Calm Guide</w:t>
            </w:r>
          </w:p>
        </w:tc>
        <w:tc>
          <w:tcPr/>
          <w:p>
            <w:pPr>
              <w:pStyle w:val="Compact"/>
              <w:jc w:val="left"/>
            </w:pPr>
            <w:r>
              <w:t xml:space="preserve">—</w:t>
            </w:r>
          </w:p>
        </w:tc>
      </w:tr>
      <w:tr>
        <w:tc>
          <w:tcPr/>
          <w:p>
            <w:pPr>
              <w:pStyle w:val="Compact"/>
              <w:jc w:val="left"/>
            </w:pPr>
            <w:r>
              <w:t xml:space="preserve">A4 (&lt; 10 years ago)</w:t>
            </w:r>
          </w:p>
        </w:tc>
        <w:tc>
          <w:tcPr/>
          <w:p>
            <w:pPr>
              <w:pStyle w:val="Compact"/>
              <w:jc w:val="left"/>
            </w:pPr>
            <w:r>
              <w:t xml:space="preserve">📍 Prof. Support (§14.5) · 📍 Calm Guide</w:t>
            </w:r>
          </w:p>
        </w:tc>
        <w:tc>
          <w:tcPr/>
          <w:p>
            <w:pPr>
              <w:pStyle w:val="Compact"/>
              <w:jc w:val="left"/>
            </w:pPr>
            <w:r>
              <w:t xml:space="preserve">—</w:t>
            </w:r>
          </w:p>
        </w:tc>
      </w:tr>
      <w:tr>
        <w:tc>
          <w:tcPr/>
          <w:p>
            <w:pPr>
              <w:pStyle w:val="Compact"/>
              <w:jc w:val="left"/>
            </w:pPr>
            <w:r>
              <w:t xml:space="preserve">A5 (&gt; 20 years ago)</w:t>
            </w:r>
          </w:p>
        </w:tc>
        <w:tc>
          <w:tcPr/>
          <w:p>
            <w:pPr>
              <w:pStyle w:val="Compact"/>
              <w:jc w:val="left"/>
            </w:pPr>
            <w:r>
              <w:t xml:space="preserve">📍 Calm Guide</w:t>
            </w:r>
          </w:p>
        </w:tc>
        <w:tc>
          <w:tcPr/>
          <w:p>
            <w:pPr>
              <w:pStyle w:val="Compact"/>
              <w:jc w:val="left"/>
            </w:pPr>
            <w:r>
              <w:t xml:space="preserve">—</w:t>
            </w:r>
          </w:p>
        </w:tc>
      </w:tr>
      <w:tr>
        <w:tc>
          <w:tcPr/>
          <w:p>
            <w:pPr>
              <w:pStyle w:val="Compact"/>
              <w:jc w:val="left"/>
            </w:pPr>
            <w:r>
              <w:t xml:space="preserve">A6 (Ambiguous)</w:t>
            </w:r>
          </w:p>
        </w:tc>
        <w:tc>
          <w:tcPr/>
          <w:p>
            <w:pPr>
              <w:pStyle w:val="Compact"/>
              <w:jc w:val="left"/>
            </w:pPr>
            <w:r>
              <w:t xml:space="preserve">📍 Calm Guide · 📍 Prof. Support (§14.4, §14.5)</w:t>
            </w:r>
          </w:p>
        </w:tc>
        <w:tc>
          <w:tcPr/>
          <w:p>
            <w:pPr>
              <w:pStyle w:val="Compact"/>
              <w:jc w:val="left"/>
            </w:pPr>
            <w:r>
              <w:t xml:space="preserve">—</w:t>
            </w:r>
          </w:p>
        </w:tc>
      </w:tr>
      <w:tr>
        <w:tc>
          <w:tcPr/>
          <w:p>
            <w:pPr>
              <w:pStyle w:val="Compact"/>
              <w:jc w:val="left"/>
            </w:pPr>
            <w:r>
              <w:t xml:space="preserve">A7 (Harmed/ended life)</w:t>
            </w:r>
          </w:p>
        </w:tc>
        <w:tc>
          <w:tcPr/>
          <w:p>
            <w:pPr>
              <w:pStyle w:val="Compact"/>
              <w:jc w:val="left"/>
            </w:pPr>
            <w:r>
              <w:t xml:space="preserve">📍 Prof. Support (§14.3, §14.2) · 📍 Self Ambulance · 📍 Calm Guide</w:t>
            </w:r>
          </w:p>
        </w:tc>
        <w:tc>
          <w:tcPr/>
          <w:p>
            <w:pPr>
              <w:pStyle w:val="Compact"/>
              <w:jc w:val="left"/>
            </w:pPr>
            <w:r>
              <w:t xml:space="preserve">—</w:t>
            </w:r>
          </w:p>
        </w:tc>
      </w:tr>
      <w:tr>
        <w:tc>
          <w:tcPr/>
          <w:p>
            <w:pPr>
              <w:pStyle w:val="Compact"/>
              <w:jc w:val="left"/>
            </w:pPr>
            <w:r>
              <w:t xml:space="preserve">A8 (Managing responsibility)</w:t>
            </w:r>
          </w:p>
        </w:tc>
        <w:tc>
          <w:tcPr/>
          <w:p>
            <w:pPr>
              <w:pStyle w:val="Compact"/>
              <w:jc w:val="left"/>
            </w:pPr>
            <w:r>
              <w:t xml:space="preserve">📍 Calm Guide · 📍 Prof. Support (§14.3, §14.2)</w:t>
            </w:r>
          </w:p>
        </w:tc>
        <w:tc>
          <w:tcPr/>
          <w:p>
            <w:pPr>
              <w:pStyle w:val="Compact"/>
              <w:jc w:val="left"/>
            </w:pPr>
            <w:r>
              <w:t xml:space="preserve">—</w:t>
            </w:r>
          </w:p>
        </w:tc>
      </w:tr>
      <w:tr>
        <w:tc>
          <w:tcPr/>
          <w:p>
            <w:pPr>
              <w:pStyle w:val="Compact"/>
              <w:jc w:val="left"/>
            </w:pPr>
            <w:r>
              <w:t xml:space="preserve">B1 (Acute anxiety)</w:t>
            </w:r>
          </w:p>
        </w:tc>
        <w:tc>
          <w:tcPr/>
          <w:p>
            <w:pPr>
              <w:pStyle w:val="Compact"/>
              <w:jc w:val="left"/>
            </w:pPr>
            <w:r>
              <w:t xml:space="preserve">📍 Calm Guide</w:t>
            </w:r>
          </w:p>
        </w:tc>
        <w:tc>
          <w:tcPr/>
          <w:p>
            <w:pPr>
              <w:pStyle w:val="Compact"/>
              <w:jc w:val="left"/>
            </w:pPr>
            <w:r>
              <w:rPr>
                <w:rStyle w:val="VerbatimChar"/>
              </w:rPr>
              <w:t xml:space="preserve">anxiety_severity_spectrum.png</w:t>
            </w:r>
          </w:p>
        </w:tc>
      </w:tr>
      <w:tr>
        <w:tc>
          <w:tcPr/>
          <w:p>
            <w:pPr>
              <w:pStyle w:val="Compact"/>
              <w:jc w:val="left"/>
            </w:pPr>
            <w:r>
              <w:t xml:space="preserve">B2 (General anxiety)</w:t>
            </w:r>
          </w:p>
        </w:tc>
        <w:tc>
          <w:tcPr/>
          <w:p>
            <w:pPr>
              <w:pStyle w:val="Compact"/>
              <w:jc w:val="left"/>
            </w:pPr>
            <w:r>
              <w:t xml:space="preserve">📍 Prof. Support (§14.2)</w:t>
            </w:r>
          </w:p>
        </w:tc>
        <w:tc>
          <w:tcPr/>
          <w:p>
            <w:pPr>
              <w:pStyle w:val="Compact"/>
              <w:jc w:val="left"/>
            </w:pPr>
            <w:r>
              <w:rPr>
                <w:rStyle w:val="VerbatimChar"/>
              </w:rPr>
              <w:t xml:space="preserve">anxiety_severity_spectrum.png</w:t>
            </w:r>
          </w:p>
        </w:tc>
      </w:tr>
      <w:tr>
        <w:tc>
          <w:tcPr/>
          <w:p>
            <w:pPr>
              <w:pStyle w:val="Compact"/>
              <w:jc w:val="left"/>
            </w:pPr>
            <w:r>
              <w:t xml:space="preserve">B3 (Worried about…)</w:t>
            </w:r>
          </w:p>
        </w:tc>
        <w:tc>
          <w:tcPr/>
          <w:p>
            <w:pPr>
              <w:pStyle w:val="Compact"/>
              <w:jc w:val="left"/>
            </w:pPr>
            <w:r>
              <w:t xml:space="preserve">📍 Prof. Support (§14.2) · 📍 Calm Guide</w:t>
            </w:r>
          </w:p>
        </w:tc>
        <w:tc>
          <w:tcPr/>
          <w:p>
            <w:pPr>
              <w:pStyle w:val="Compact"/>
              <w:jc w:val="left"/>
            </w:pPr>
            <w:r>
              <w:t xml:space="preserve">—</w:t>
            </w:r>
          </w:p>
        </w:tc>
      </w:tr>
      <w:tr>
        <w:tc>
          <w:tcPr/>
          <w:p>
            <w:pPr>
              <w:pStyle w:val="Compact"/>
              <w:jc w:val="left"/>
            </w:pPr>
            <w:r>
              <w:t xml:space="preserve">C1 (Physical pain)</w:t>
            </w:r>
          </w:p>
        </w:tc>
        <w:tc>
          <w:tcPr/>
          <w:p>
            <w:pPr>
              <w:pStyle w:val="Compact"/>
              <w:jc w:val="left"/>
            </w:pPr>
            <w:r>
              <w:t xml:space="preserve">📍 Self Ambulance</w:t>
            </w:r>
          </w:p>
        </w:tc>
        <w:tc>
          <w:tcPr/>
          <w:p>
            <w:pPr>
              <w:pStyle w:val="Compact"/>
              <w:jc w:val="left"/>
            </w:pPr>
            <w:r>
              <w:rPr>
                <w:rStyle w:val="VerbatimChar"/>
              </w:rPr>
              <w:t xml:space="preserve">pain_nrs_correlates.png</w:t>
            </w:r>
          </w:p>
        </w:tc>
      </w:tr>
      <w:tr>
        <w:tc>
          <w:tcPr/>
          <w:p>
            <w:pPr>
              <w:pStyle w:val="Compact"/>
              <w:jc w:val="left"/>
            </w:pPr>
            <w:r>
              <w:t xml:space="preserve">C2 (Psych pain)</w:t>
            </w:r>
          </w:p>
        </w:tc>
        <w:tc>
          <w:tcPr/>
          <w:p>
            <w:pPr>
              <w:pStyle w:val="Compact"/>
              <w:jc w:val="left"/>
            </w:pPr>
            <w:r>
              <w:t xml:space="preserve">📍 Calm Guide · 📍 Prof. Support (§14.2)</w:t>
            </w:r>
          </w:p>
        </w:tc>
        <w:tc>
          <w:tcPr/>
          <w:p>
            <w:pPr>
              <w:pStyle w:val="Compact"/>
              <w:jc w:val="left"/>
            </w:pPr>
            <w:r>
              <w:t xml:space="preserve">—</w:t>
            </w:r>
          </w:p>
        </w:tc>
      </w:tr>
      <w:tr>
        <w:tc>
          <w:tcPr/>
          <w:p>
            <w:pPr>
              <w:pStyle w:val="Compact"/>
              <w:jc w:val="left"/>
            </w:pPr>
            <w:r>
              <w:t xml:space="preserve">D (Endangered)</w:t>
            </w:r>
          </w:p>
        </w:tc>
        <w:tc>
          <w:tcPr/>
          <w:p>
            <w:pPr>
              <w:pStyle w:val="Compact"/>
              <w:jc w:val="left"/>
            </w:pPr>
            <w:r>
              <w:t xml:space="preserve">📍 Prof. Support (§14.3, §14.2) · 📍 Calm Guide</w:t>
            </w:r>
          </w:p>
        </w:tc>
        <w:tc>
          <w:tcPr/>
          <w:p>
            <w:pPr>
              <w:pStyle w:val="Compact"/>
              <w:jc w:val="left"/>
            </w:pPr>
            <w:r>
              <w:t xml:space="preserve">—</w:t>
            </w:r>
          </w:p>
        </w:tc>
      </w:tr>
      <w:tr>
        <w:tc>
          <w:tcPr/>
          <w:p>
            <w:pPr>
              <w:pStyle w:val="Compact"/>
              <w:jc w:val="left"/>
            </w:pPr>
            <w:r>
              <w:t xml:space="preserve">E (Congesting)</w:t>
            </w:r>
          </w:p>
        </w:tc>
        <w:tc>
          <w:tcPr/>
          <w:p>
            <w:pPr>
              <w:pStyle w:val="Compact"/>
              <w:jc w:val="left"/>
            </w:pPr>
            <w:r>
              <w:t xml:space="preserve">📍 Self Ambulance · 📍 Calm Guide · 📍 Prof. Support (§14.2)</w:t>
            </w:r>
          </w:p>
        </w:tc>
        <w:tc>
          <w:tcPr/>
          <w:p>
            <w:pPr>
              <w:pStyle w:val="Compact"/>
              <w:jc w:val="left"/>
            </w:pPr>
            <w:r>
              <w:t xml:space="preserve">—</w:t>
            </w:r>
          </w:p>
        </w:tc>
      </w:tr>
      <w:tr>
        <w:tc>
          <w:tcPr/>
          <w:p>
            <w:pPr>
              <w:pStyle w:val="Compact"/>
              <w:jc w:val="left"/>
            </w:pPr>
            <w:r>
              <w:t xml:space="preserve">F (Bad smell)</w:t>
            </w:r>
          </w:p>
        </w:tc>
        <w:tc>
          <w:tcPr/>
          <w:p>
            <w:pPr>
              <w:pStyle w:val="Compact"/>
              <w:jc w:val="left"/>
            </w:pPr>
            <w:r>
              <w:t xml:space="preserve">📍 Calm Guide (minor)</w:t>
            </w:r>
          </w:p>
        </w:tc>
        <w:tc>
          <w:tcPr/>
          <w:p>
            <w:pPr>
              <w:pStyle w:val="Compact"/>
              <w:jc w:val="left"/>
            </w:pPr>
            <w:r>
              <w:t xml:space="preserve">—</w:t>
            </w:r>
          </w:p>
        </w:tc>
      </w:tr>
      <w:tr>
        <w:tc>
          <w:tcPr/>
          <w:p>
            <w:pPr>
              <w:pStyle w:val="Compact"/>
              <w:jc w:val="left"/>
            </w:pPr>
            <w:r>
              <w:t xml:space="preserve">G (No place to go)</w:t>
            </w:r>
          </w:p>
        </w:tc>
        <w:tc>
          <w:tcPr/>
          <w:p>
            <w:pPr>
              <w:pStyle w:val="Compact"/>
              <w:jc w:val="left"/>
            </w:pPr>
            <w:r>
              <w:t xml:space="preserve">📍 Prof. Support (§14.2, §14.5) · 📍 Calm Guide</w:t>
            </w:r>
          </w:p>
        </w:tc>
        <w:tc>
          <w:tcPr/>
          <w:p>
            <w:pPr>
              <w:pStyle w:val="Compact"/>
              <w:jc w:val="left"/>
            </w:pPr>
            <w:r>
              <w:t xml:space="preserve">—</w:t>
            </w:r>
          </w:p>
        </w:tc>
      </w:tr>
      <w:tr>
        <w:tc>
          <w:tcPr/>
          <w:p>
            <w:pPr>
              <w:pStyle w:val="Compact"/>
              <w:jc w:val="left"/>
            </w:pPr>
            <w:r>
              <w:t xml:space="preserve">Ch.1 (How to Use)</w:t>
            </w:r>
          </w:p>
        </w:tc>
        <w:tc>
          <w:tcPr/>
          <w:p>
            <w:pPr>
              <w:pStyle w:val="Compact"/>
              <w:jc w:val="left"/>
            </w:pPr>
            <w:r>
              <w:t xml:space="preserve">All destinations</w:t>
            </w:r>
          </w:p>
        </w:tc>
        <w:tc>
          <w:tcPr/>
          <w:p>
            <w:pPr>
              <w:pStyle w:val="Compact"/>
              <w:jc w:val="left"/>
            </w:pPr>
            <w:r>
              <w:rPr>
                <w:rStyle w:val="VerbatimChar"/>
              </w:rPr>
              <w:t xml:space="preserve">decision_flow_graph.png</w:t>
            </w:r>
          </w:p>
        </w:tc>
      </w:tr>
      <w:tr>
        <w:tc>
          <w:tcPr/>
          <w:p>
            <w:pPr>
              <w:pStyle w:val="Compact"/>
              <w:jc w:val="left"/>
            </w:pPr>
            <w:r>
              <w:t xml:space="preserve">Ch.4 (Calm Guide)</w:t>
            </w:r>
          </w:p>
        </w:tc>
        <w:tc>
          <w:tcPr/>
          <w:p>
            <w:pPr>
              <w:pStyle w:val="Compact"/>
              <w:jc w:val="left"/>
            </w:pPr>
            <w:r>
              <w:t xml:space="preserve">📍 Prof. Support (Ch.7)</w:t>
            </w:r>
          </w:p>
        </w:tc>
        <w:tc>
          <w:tcPr/>
          <w:p>
            <w:pPr>
              <w:pStyle w:val="Compact"/>
              <w:jc w:val="left"/>
            </w:pPr>
            <w:r>
              <w:rPr>
                <w:rStyle w:val="VerbatimChar"/>
              </w:rPr>
              <w:t xml:space="preserve">stress_decay_curve.png</w:t>
            </w:r>
          </w:p>
        </w:tc>
      </w:tr>
      <w:tr>
        <w:tc>
          <w:tcPr/>
          <w:p>
            <w:pPr>
              <w:pStyle w:val="Compact"/>
              <w:jc w:val="left"/>
            </w:pPr>
            <w:r>
              <w:t xml:space="preserve">Ch.5 (Self Ambulance)</w:t>
            </w:r>
          </w:p>
        </w:tc>
        <w:tc>
          <w:tcPr/>
          <w:p>
            <w:pPr>
              <w:pStyle w:val="Compact"/>
              <w:jc w:val="left"/>
            </w:pPr>
            <w:r>
              <w:t xml:space="preserve">📍 Calm Guide · 112</w:t>
            </w:r>
          </w:p>
        </w:tc>
        <w:tc>
          <w:tcPr/>
          <w:p>
            <w:pPr>
              <w:pStyle w:val="Compact"/>
              <w:jc w:val="left"/>
            </w:pPr>
            <w:r>
              <w:rPr>
                <w:rStyle w:val="VerbatimChar"/>
              </w:rPr>
              <w:t xml:space="preserve">triage_priority_heatmap.png</w:t>
            </w:r>
            <w:r>
              <w:t xml:space="preserve">,</w:t>
            </w:r>
            <w:r>
              <w:t xml:space="preserve"> </w:t>
            </w:r>
            <w:r>
              <w:rPr>
                <w:rStyle w:val="VerbatimChar"/>
              </w:rPr>
              <w:t xml:space="preserve">pain_nrs_correlates.png</w:t>
            </w:r>
          </w:p>
        </w:tc>
      </w:tr>
      <w:tr>
        <w:tc>
          <w:tcPr/>
          <w:p>
            <w:pPr>
              <w:pStyle w:val="Compact"/>
              <w:jc w:val="left"/>
            </w:pPr>
            <w:r>
              <w:t xml:space="preserve">Ch.6 (Zombie Guide)</w:t>
            </w:r>
          </w:p>
        </w:tc>
        <w:tc>
          <w:tcPr/>
          <w:p>
            <w:pPr>
              <w:pStyle w:val="Compact"/>
              <w:jc w:val="left"/>
            </w:pPr>
            <w:r>
              <w:t xml:space="preserve">📍 Self Ambulance · 📍 Calm Guide</w:t>
            </w:r>
          </w:p>
        </w:tc>
        <w:tc>
          <w:tcPr/>
          <w:p>
            <w:pPr>
              <w:pStyle w:val="Compact"/>
              <w:jc w:val="left"/>
            </w:pPr>
            <w:r>
              <w:rPr>
                <w:rStyle w:val="VerbatimChar"/>
              </w:rPr>
              <w:t xml:space="preserve">survival_probability_function.png</w:t>
            </w:r>
            <w:r>
              <w:t xml:space="preserve">,</w:t>
            </w:r>
            <w:r>
              <w:t xml:space="preserve"> </w:t>
            </w:r>
            <w:r>
              <w:rPr>
                <w:rStyle w:val="VerbatimChar"/>
              </w:rPr>
              <w:t xml:space="preserve">group_complexity_scaling.png</w:t>
            </w:r>
            <w:r>
              <w:t xml:space="preserve">,</w:t>
            </w:r>
            <w:r>
              <w:t xml:space="preserve"> </w:t>
            </w:r>
            <w:r>
              <w:rPr>
                <w:rStyle w:val="VerbatimChar"/>
              </w:rPr>
              <w:t xml:space="preserve">water_requirements_scaling.png</w:t>
            </w:r>
          </w:p>
        </w:tc>
      </w:tr>
    </w:tbl>
    <w:p>
      <w:pPr>
        <w:pStyle w:val="BodyText"/>
      </w:pPr>
      <w:r>
        <w:rPr>
          <w:b/>
          <w:bCs/>
        </w:rPr>
        <w:t xml:space="preserve">Most-referenced destinations (by frequency):</w:t>
      </w:r>
    </w:p>
    <w:p>
      <w:pPr>
        <w:pStyle w:val="Compact"/>
        <w:numPr>
          <w:ilvl w:val="0"/>
          <w:numId w:val="1041"/>
        </w:numPr>
      </w:pPr>
      <w:r>
        <w:t xml:space="preserve">📍 Calm Guide — 13 references (heart of the document)</w:t>
      </w:r>
    </w:p>
    <w:p>
      <w:pPr>
        <w:pStyle w:val="Compact"/>
        <w:numPr>
          <w:ilvl w:val="0"/>
          <w:numId w:val="1041"/>
        </w:numPr>
      </w:pPr>
      <w:r>
        <w:t xml:space="preserve">📍 Professional Support Directory — 11 references</w:t>
      </w:r>
    </w:p>
    <w:p>
      <w:pPr>
        <w:pStyle w:val="Compact"/>
        <w:numPr>
          <w:ilvl w:val="0"/>
          <w:numId w:val="1041"/>
        </w:numPr>
      </w:pPr>
      <w:r>
        <w:t xml:space="preserve">📍 Self Ambulance Guide — 4 references</w:t>
      </w:r>
    </w:p>
    <w:p>
      <w:pPr>
        <w:pStyle w:val="Compact"/>
        <w:numPr>
          <w:ilvl w:val="0"/>
          <w:numId w:val="1041"/>
        </w:numPr>
      </w:pPr>
      <w:r>
        <w:t xml:space="preserve">📍 Zombie Guide — 1 reference (but what a reference)</w:t>
      </w:r>
    </w:p>
    <w:bookmarkEnd w:id="213"/>
    <w:bookmarkStart w:id="214" w:name="diagram-index-v3.2"/>
    <w:p>
      <w:pPr>
        <w:pStyle w:val="Heading2"/>
      </w:pPr>
      <w:r>
        <w:t xml:space="preserve">Diagram Index (v3.2)</w:t>
      </w:r>
    </w:p>
    <w:p>
      <w:pPr>
        <w:pStyle w:val="FirstParagraph"/>
      </w:pPr>
      <w:r>
        <w:t xml:space="preserve">All diagrams referenced in the guide, organized by chapter:</w:t>
      </w:r>
    </w:p>
    <w:tbl>
      <w:tblPr>
        <w:tblStyle w:val="Table"/>
        <w:tblW w:type="pct" w:w="5000"/>
        <w:jc w:val="left"/>
        <w:tblLayout w:type="fixed"/>
        <w:tblLook w:firstRow="1" w:lastRow="0" w:firstColumn="0" w:lastColumn="0" w:noHBand="0" w:noVBand="0" w:val="0020"/>
      </w:tblPr>
      <w:tblGrid>
        <w:gridCol w:w="2299"/>
        <w:gridCol w:w="2299"/>
        <w:gridCol w:w="3321"/>
      </w:tblGrid>
      <w:tr>
        <w:trPr>
          <w:tblHeader w:val="on"/>
        </w:trPr>
        <w:tc>
          <w:tcPr/>
          <w:p>
            <w:pPr>
              <w:pStyle w:val="Compact"/>
              <w:jc w:val="left"/>
            </w:pPr>
            <w:r>
              <w:t xml:space="preserve">Diagram</w:t>
            </w:r>
          </w:p>
        </w:tc>
        <w:tc>
          <w:tcPr/>
          <w:p>
            <w:pPr>
              <w:pStyle w:val="Compact"/>
              <w:jc w:val="left"/>
            </w:pPr>
            <w:r>
              <w:t xml:space="preserve">Chapter</w:t>
            </w:r>
          </w:p>
        </w:tc>
        <w:tc>
          <w:tcPr/>
          <w:p>
            <w:pPr>
              <w:pStyle w:val="Compact"/>
              <w:jc w:val="left"/>
            </w:pPr>
            <w:r>
              <w:t xml:space="preserve">Description</w:t>
            </w:r>
          </w:p>
        </w:tc>
      </w:tr>
      <w:tr>
        <w:tc>
          <w:tcPr/>
          <w:p>
            <w:pPr>
              <w:pStyle w:val="Compact"/>
              <w:jc w:val="left"/>
            </w:pPr>
            <w:r>
              <w:rPr>
                <w:rStyle w:val="VerbatimChar"/>
              </w:rPr>
              <w:t xml:space="preserve">master_flowchart.png</w:t>
            </w:r>
          </w:p>
        </w:tc>
        <w:tc>
          <w:tcPr/>
          <w:p>
            <w:pPr>
              <w:pStyle w:val="Compact"/>
              <w:jc w:val="left"/>
            </w:pPr>
            <w:r>
              <w:t xml:space="preserve">Ch.1</w:t>
            </w:r>
          </w:p>
        </w:tc>
        <w:tc>
          <w:tcPr/>
          <w:p>
            <w:pPr>
              <w:pStyle w:val="Compact"/>
              <w:jc w:val="left"/>
            </w:pPr>
            <w:r>
              <w:t xml:space="preserve">Master flowchart — all 7 entry points → 4 destinations</w:t>
            </w:r>
          </w:p>
        </w:tc>
      </w:tr>
      <w:tr>
        <w:tc>
          <w:tcPr/>
          <w:p>
            <w:pPr>
              <w:pStyle w:val="Compact"/>
              <w:jc w:val="left"/>
            </w:pPr>
            <w:r>
              <w:rPr>
                <w:rStyle w:val="VerbatimChar"/>
              </w:rPr>
              <w:t xml:space="preserve">situation_a_tree.png</w:t>
            </w:r>
          </w:p>
        </w:tc>
        <w:tc>
          <w:tcPr/>
          <w:p>
            <w:pPr>
              <w:pStyle w:val="Compact"/>
              <w:jc w:val="left"/>
            </w:pPr>
            <w:r>
              <w:t xml:space="preserve">Ch.2</w:t>
            </w:r>
          </w:p>
        </w:tc>
        <w:tc>
          <w:tcPr/>
          <w:p>
            <w:pPr>
              <w:pStyle w:val="Compact"/>
              <w:jc w:val="left"/>
            </w:pPr>
            <w:r>
              <w:t xml:space="preserve">Situation A decision tree</w:t>
            </w:r>
          </w:p>
        </w:tc>
      </w:tr>
      <w:tr>
        <w:tc>
          <w:tcPr/>
          <w:p>
            <w:pPr>
              <w:pStyle w:val="Compact"/>
              <w:jc w:val="left"/>
            </w:pPr>
            <w:r>
              <w:rPr>
                <w:rStyle w:val="VerbatimChar"/>
              </w:rPr>
              <w:t xml:space="preserve">breathing_techniques.png</w:t>
            </w:r>
          </w:p>
        </w:tc>
        <w:tc>
          <w:tcPr/>
          <w:p>
            <w:pPr>
              <w:pStyle w:val="Compact"/>
              <w:jc w:val="left"/>
            </w:pPr>
            <w:r>
              <w:t xml:space="preserve">Ch.4</w:t>
            </w:r>
          </w:p>
        </w:tc>
        <w:tc>
          <w:tcPr/>
          <w:p>
            <w:pPr>
              <w:pStyle w:val="Compact"/>
              <w:jc w:val="left"/>
            </w:pPr>
            <w:r>
              <w:t xml:space="preserve">Box Breathing, 4-7-8, Physiological Sigh</w:t>
            </w:r>
          </w:p>
        </w:tc>
      </w:tr>
      <w:tr>
        <w:tc>
          <w:tcPr/>
          <w:p>
            <w:pPr>
              <w:pStyle w:val="Compact"/>
              <w:jc w:val="left"/>
            </w:pPr>
            <w:r>
              <w:rPr>
                <w:rStyle w:val="VerbatimChar"/>
              </w:rPr>
              <w:t xml:space="preserve">survival_pyramid.png</w:t>
            </w:r>
          </w:p>
        </w:tc>
        <w:tc>
          <w:tcPr/>
          <w:p>
            <w:pPr>
              <w:pStyle w:val="Compact"/>
              <w:jc w:val="left"/>
            </w:pPr>
            <w:r>
              <w:t xml:space="preserve">Ch.6</w:t>
            </w:r>
          </w:p>
        </w:tc>
        <w:tc>
          <w:tcPr/>
          <w:p>
            <w:pPr>
              <w:pStyle w:val="Compact"/>
              <w:jc w:val="left"/>
            </w:pPr>
            <w:r>
              <w:t xml:space="preserve">Survival priority pyramid</w:t>
            </w:r>
          </w:p>
        </w:tc>
      </w:tr>
      <w:tr>
        <w:tc>
          <w:tcPr/>
          <w:p>
            <w:pPr>
              <w:pStyle w:val="Compact"/>
              <w:jc w:val="left"/>
            </w:pPr>
            <w:r>
              <w:rPr>
                <w:rStyle w:val="VerbatimChar"/>
              </w:rPr>
              <w:t xml:space="preserve">scaling_chart.png</w:t>
            </w:r>
          </w:p>
        </w:tc>
        <w:tc>
          <w:tcPr/>
          <w:p>
            <w:pPr>
              <w:pStyle w:val="Compact"/>
              <w:jc w:val="left"/>
            </w:pPr>
            <w:r>
              <w:t xml:space="preserve">Ch.6</w:t>
            </w:r>
          </w:p>
        </w:tc>
        <w:tc>
          <w:tcPr/>
          <w:p>
            <w:pPr>
              <w:pStyle w:val="Compact"/>
              <w:jc w:val="left"/>
            </w:pPr>
            <w:r>
              <w:t xml:space="preserve">Scaling requirements 1→100</w:t>
            </w:r>
          </w:p>
        </w:tc>
      </w:tr>
      <w:tr>
        <w:tc>
          <w:tcPr/>
          <w:p>
            <w:pPr>
              <w:pStyle w:val="Compact"/>
              <w:jc w:val="left"/>
            </w:pPr>
            <w:r>
              <w:rPr>
                <w:rStyle w:val="VerbatimChar"/>
              </w:rPr>
              <w:t xml:space="preserve">triage_flow.png</w:t>
            </w:r>
          </w:p>
        </w:tc>
        <w:tc>
          <w:tcPr/>
          <w:p>
            <w:pPr>
              <w:pStyle w:val="Compact"/>
              <w:jc w:val="left"/>
            </w:pPr>
            <w:r>
              <w:t xml:space="preserve">Ch.5</w:t>
            </w:r>
          </w:p>
        </w:tc>
        <w:tc>
          <w:tcPr/>
          <w:p>
            <w:pPr>
              <w:pStyle w:val="Compact"/>
              <w:jc w:val="left"/>
            </w:pPr>
            <w:r>
              <w:t xml:space="preserve">Self Ambulance triage flow</w:t>
            </w:r>
          </w:p>
        </w:tc>
      </w:tr>
      <w:tr>
        <w:tc>
          <w:tcPr/>
          <w:p>
            <w:pPr>
              <w:pStyle w:val="Compact"/>
              <w:jc w:val="left"/>
            </w:pPr>
            <w:r>
              <w:rPr>
                <w:rStyle w:val="VerbatimChar"/>
              </w:rPr>
              <w:t xml:space="preserve">decision_flow_graph.png</w:t>
            </w:r>
          </w:p>
        </w:tc>
        <w:tc>
          <w:tcPr/>
          <w:p>
            <w:pPr>
              <w:pStyle w:val="Compact"/>
              <w:jc w:val="left"/>
            </w:pPr>
            <w:r>
              <w:t xml:space="preserve">Ch.1</w:t>
            </w:r>
          </w:p>
        </w:tc>
        <w:tc>
          <w:tcPr/>
          <w:p>
            <w:pPr>
              <w:pStyle w:val="Compact"/>
              <w:jc w:val="left"/>
            </w:pPr>
            <w:r>
              <w:t xml:space="preserve">Guide topology as directed graph</w:t>
            </w:r>
          </w:p>
        </w:tc>
      </w:tr>
      <w:tr>
        <w:tc>
          <w:tcPr/>
          <w:p>
            <w:pPr>
              <w:pStyle w:val="Compact"/>
              <w:jc w:val="left"/>
            </w:pPr>
            <w:r>
              <w:rPr>
                <w:rStyle w:val="VerbatimChar"/>
              </w:rPr>
              <w:t xml:space="preserve">stress_decay_curve.png</w:t>
            </w:r>
          </w:p>
        </w:tc>
        <w:tc>
          <w:tcPr/>
          <w:p>
            <w:pPr>
              <w:pStyle w:val="Compact"/>
              <w:jc w:val="left"/>
            </w:pPr>
            <w:r>
              <w:t xml:space="preserve">Ch.4</w:t>
            </w:r>
          </w:p>
        </w:tc>
        <w:tc>
          <w:tcPr/>
          <w:p>
            <w:pPr>
              <w:pStyle w:val="Compact"/>
              <w:jc w:val="left"/>
            </w:pPr>
            <w:r>
              <w:t xml:space="preserve">Cortisol decay with/without active calming</w:t>
            </w:r>
          </w:p>
        </w:tc>
      </w:tr>
      <w:tr>
        <w:tc>
          <w:tcPr/>
          <w:p>
            <w:pPr>
              <w:pStyle w:val="Compact"/>
              <w:jc w:val="left"/>
            </w:pPr>
            <w:r>
              <w:rPr>
                <w:rStyle w:val="VerbatimChar"/>
              </w:rPr>
              <w:t xml:space="preserve">anxiety_severity_spectrum.png</w:t>
            </w:r>
          </w:p>
        </w:tc>
        <w:tc>
          <w:tcPr/>
          <w:p>
            <w:pPr>
              <w:pStyle w:val="Compact"/>
              <w:jc w:val="left"/>
            </w:pPr>
            <w:r>
              <w:t xml:space="preserve">Ch.3</w:t>
            </w:r>
          </w:p>
        </w:tc>
        <w:tc>
          <w:tcPr/>
          <w:p>
            <w:pPr>
              <w:pStyle w:val="Compact"/>
              <w:jc w:val="left"/>
            </w:pPr>
            <w:r>
              <w:t xml:space="preserve">GAD-7 scoring with recommended routing</w:t>
            </w:r>
          </w:p>
        </w:tc>
      </w:tr>
      <w:tr>
        <w:tc>
          <w:tcPr/>
          <w:p>
            <w:pPr>
              <w:pStyle w:val="Compact"/>
              <w:jc w:val="left"/>
            </w:pPr>
            <w:r>
              <w:rPr>
                <w:rStyle w:val="VerbatimChar"/>
              </w:rPr>
              <w:t xml:space="preserve">triage_priority_heatmap.png</w:t>
            </w:r>
          </w:p>
        </w:tc>
        <w:tc>
          <w:tcPr/>
          <w:p>
            <w:pPr>
              <w:pStyle w:val="Compact"/>
              <w:jc w:val="left"/>
            </w:pPr>
            <w:r>
              <w:t xml:space="preserve">Ch.5</w:t>
            </w:r>
          </w:p>
        </w:tc>
        <w:tc>
          <w:tcPr/>
          <w:p>
            <w:pPr>
              <w:pStyle w:val="Compact"/>
              <w:jc w:val="left"/>
            </w:pPr>
            <w:r>
              <w:t xml:space="preserve">Severity × urgency triage matrix</w:t>
            </w:r>
          </w:p>
        </w:tc>
      </w:tr>
      <w:tr>
        <w:tc>
          <w:tcPr/>
          <w:p>
            <w:pPr>
              <w:pStyle w:val="Compact"/>
              <w:jc w:val="left"/>
            </w:pPr>
            <w:r>
              <w:rPr>
                <w:rStyle w:val="VerbatimChar"/>
              </w:rPr>
              <w:t xml:space="preserve">survival_probability_function.png</w:t>
            </w:r>
          </w:p>
        </w:tc>
        <w:tc>
          <w:tcPr/>
          <w:p>
            <w:pPr>
              <w:pStyle w:val="Compact"/>
              <w:jc w:val="left"/>
            </w:pPr>
            <w:r>
              <w:t xml:space="preserve">Ch.6</w:t>
            </w:r>
          </w:p>
        </w:tc>
        <w:tc>
          <w:tcPr/>
          <w:p>
            <w:pPr>
              <w:pStyle w:val="Compact"/>
              <w:jc w:val="left"/>
            </w:pPr>
            <w:r>
              <w:t xml:space="preserve">Exponential decay with risk reduction factors</w:t>
            </w:r>
          </w:p>
        </w:tc>
      </w:tr>
      <w:tr>
        <w:tc>
          <w:tcPr/>
          <w:p>
            <w:pPr>
              <w:pStyle w:val="Compact"/>
              <w:jc w:val="left"/>
            </w:pPr>
            <w:r>
              <w:rPr>
                <w:rStyle w:val="VerbatimChar"/>
              </w:rPr>
              <w:t xml:space="preserve">group_complexity_scaling.png</w:t>
            </w:r>
          </w:p>
        </w:tc>
        <w:tc>
          <w:tcPr/>
          <w:p>
            <w:pPr>
              <w:pStyle w:val="Compact"/>
              <w:jc w:val="left"/>
            </w:pPr>
            <w:r>
              <w:t xml:space="preserve">Ch.6</w:t>
            </w:r>
          </w:p>
        </w:tc>
        <w:tc>
          <w:tcPr/>
          <w:p>
            <w:pPr>
              <w:pStyle w:val="Compact"/>
              <w:jc w:val="left"/>
            </w:pPr>
            <w:r>
              <w:t xml:space="preserve">Communication channels and governance layers</w:t>
            </w:r>
          </w:p>
        </w:tc>
      </w:tr>
      <w:tr>
        <w:tc>
          <w:tcPr/>
          <w:p>
            <w:pPr>
              <w:pStyle w:val="Compact"/>
              <w:jc w:val="left"/>
            </w:pPr>
            <w:r>
              <w:rPr>
                <w:rStyle w:val="VerbatimChar"/>
              </w:rPr>
              <w:t xml:space="preserve">pain_nrs_correlates.png</w:t>
            </w:r>
          </w:p>
        </w:tc>
        <w:tc>
          <w:tcPr/>
          <w:p>
            <w:pPr>
              <w:pStyle w:val="Compact"/>
              <w:jc w:val="left"/>
            </w:pPr>
            <w:r>
              <w:t xml:space="preserve">Ch.3, Ch.5</w:t>
            </w:r>
          </w:p>
        </w:tc>
        <w:tc>
          <w:tcPr/>
          <w:p>
            <w:pPr>
              <w:pStyle w:val="Compact"/>
              <w:jc w:val="left"/>
            </w:pPr>
            <w:r>
              <w:t xml:space="preserve">NRS pain scale with physiological markers</w:t>
            </w:r>
          </w:p>
        </w:tc>
      </w:tr>
      <w:tr>
        <w:tc>
          <w:tcPr/>
          <w:p>
            <w:pPr>
              <w:pStyle w:val="Compact"/>
              <w:jc w:val="left"/>
            </w:pPr>
            <w:r>
              <w:rPr>
                <w:rStyle w:val="VerbatimChar"/>
              </w:rPr>
              <w:t xml:space="preserve">water_requirements_scaling.png</w:t>
            </w:r>
          </w:p>
        </w:tc>
        <w:tc>
          <w:tcPr/>
          <w:p>
            <w:pPr>
              <w:pStyle w:val="Compact"/>
              <w:jc w:val="left"/>
            </w:pPr>
            <w:r>
              <w:t xml:space="preserve">Ch.6</w:t>
            </w:r>
          </w:p>
        </w:tc>
        <w:tc>
          <w:tcPr/>
          <w:p>
            <w:pPr>
              <w:pStyle w:val="Compact"/>
              <w:jc w:val="left"/>
            </w:pPr>
            <w:r>
              <w:t xml:space="preserve">Daily water needs by group size</w:t>
            </w:r>
          </w:p>
        </w:tc>
      </w:tr>
    </w:tbl>
    <w:bookmarkEnd w:id="214"/>
    <w:bookmarkStart w:id="215" w:name="formula-index"/>
    <w:p>
      <w:pPr>
        <w:pStyle w:val="Heading2"/>
      </w:pPr>
      <w:r>
        <w:t xml:space="preserve">Formula Index</w:t>
      </w:r>
    </w:p>
    <w:p>
      <w:pPr>
        <w:pStyle w:val="FirstParagraph"/>
      </w:pPr>
      <w:r>
        <w:t xml:space="preserve">All mathematical formulas used in the guide, with location and plain-language summary:</w:t>
      </w:r>
    </w:p>
    <w:tbl>
      <w:tblPr>
        <w:tblStyle w:val="Table"/>
        <w:tblW w:type="pct" w:w="5000"/>
        <w:jc w:val="left"/>
        <w:tblLayout w:type="fixed"/>
        <w:tblLook w:firstRow="1" w:lastRow="0" w:firstColumn="0" w:lastColumn="0" w:noHBand="0" w:noVBand="0" w:val="0020"/>
      </w:tblPr>
      <w:tblGrid>
        <w:gridCol w:w="2096"/>
        <w:gridCol w:w="2329"/>
        <w:gridCol w:w="3494"/>
      </w:tblGrid>
      <w:tr>
        <w:trPr>
          <w:tblHeader w:val="on"/>
        </w:trPr>
        <w:tc>
          <w:tcPr/>
          <w:p>
            <w:pPr>
              <w:pStyle w:val="Compact"/>
              <w:jc w:val="left"/>
            </w:pPr>
            <w:r>
              <w:t xml:space="preserve">Formula</w:t>
            </w:r>
          </w:p>
        </w:tc>
        <w:tc>
          <w:tcPr/>
          <w:p>
            <w:pPr>
              <w:pStyle w:val="Compact"/>
              <w:jc w:val="left"/>
            </w:pPr>
            <w:r>
              <w:t xml:space="preserve">Location</w:t>
            </w:r>
          </w:p>
        </w:tc>
        <w:tc>
          <w:tcPr/>
          <w:p>
            <w:pPr>
              <w:pStyle w:val="Compact"/>
              <w:jc w:val="left"/>
            </w:pPr>
            <w:r>
              <w:t xml:space="preserve">What it means</w:t>
            </w:r>
          </w:p>
        </w:tc>
      </w:tr>
      <w:tr>
        <w:tc>
          <w:tcPr/>
          <w:p>
            <w:pPr>
              <w:pStyle w:val="Compact"/>
              <w:jc w:val="left"/>
            </w:pPr>
            <m:oMath>
              <m:r>
                <m:t>G</m:t>
              </m:r>
              <m:r>
                <m:rPr>
                  <m:sty m:val="p"/>
                </m:rPr>
                <m:t>=</m:t>
              </m:r>
              <m:d>
                <m:dPr>
                  <m:begChr m:val="("/>
                  <m:endChr m:val=")"/>
                  <m:sepChr m:val=""/>
                  <m:grow/>
                </m:dPr>
                <m:e>
                  <m:r>
                    <m:t>V</m:t>
                  </m:r>
                  <m:r>
                    <m:rPr>
                      <m:sty m:val="p"/>
                    </m:rPr>
                    <m:t>,</m:t>
                  </m:r>
                  <m:r>
                    <m:t>E</m:t>
                  </m:r>
                </m:e>
              </m:d>
            </m:oMath>
          </w:p>
        </w:tc>
        <w:tc>
          <w:tcPr/>
          <w:p>
            <w:pPr>
              <w:pStyle w:val="Compact"/>
              <w:jc w:val="left"/>
            </w:pPr>
            <w:r>
              <w:t xml:space="preserve">Ch.1</w:t>
            </w:r>
          </w:p>
        </w:tc>
        <w:tc>
          <w:tcPr/>
          <w:p>
            <w:pPr>
              <w:pStyle w:val="Compact"/>
              <w:jc w:val="left"/>
            </w:pPr>
            <w:r>
              <w:t xml:space="preserve">The guide is a directed graph with vertices and edges</w:t>
            </w:r>
          </w:p>
        </w:tc>
      </w:tr>
      <w:tr>
        <w:tc>
          <w:tcPr/>
          <w:p>
            <w:pPr>
              <w:pStyle w:val="Compact"/>
              <w:jc w:val="left"/>
            </w:pPr>
            <m:oMath>
              <m:r>
                <m:t>G</m:t>
              </m:r>
              <m:r>
                <m:t>A</m:t>
              </m:r>
              <m:r>
                <m:t>D</m:t>
              </m:r>
              <m:r>
                <m:rPr>
                  <m:nor/>
                  <m:sty m:val="p"/>
                </m:rPr>
                <m:t>-</m:t>
              </m:r>
              <m:r>
                <m:t>7</m:t>
              </m:r>
              <m:r>
                <m:rPr>
                  <m:sty m:val="p"/>
                </m:rPr>
                <m:t>∈</m:t>
              </m:r>
              <m:d>
                <m:dPr>
                  <m:begChr m:val="["/>
                  <m:endChr m:val="]"/>
                  <m:sepChr m:val=""/>
                  <m:grow/>
                </m:dPr>
                <m:e>
                  <m:r>
                    <m:t>0</m:t>
                  </m:r>
                  <m:r>
                    <m:rPr>
                      <m:sty m:val="p"/>
                    </m:rPr>
                    <m:t>,</m:t>
                  </m:r>
                  <m:r>
                    <m:t>21</m:t>
                  </m:r>
                </m:e>
              </m:d>
            </m:oMath>
          </w:p>
        </w:tc>
        <w:tc>
          <w:tcPr/>
          <w:p>
            <w:pPr>
              <w:pStyle w:val="Compact"/>
              <w:jc w:val="left"/>
            </w:pPr>
            <w:r>
              <w:t xml:space="preserve">Ch.3</w:t>
            </w:r>
          </w:p>
        </w:tc>
        <w:tc>
          <w:tcPr/>
          <w:p>
            <w:pPr>
              <w:pStyle w:val="Compact"/>
              <w:jc w:val="left"/>
            </w:pPr>
            <w:r>
              <w:t xml:space="preserve">Anxiety severity score ranges from 0 to 21</w:t>
            </w:r>
          </w:p>
        </w:tc>
      </w:tr>
      <w:tr>
        <w:tc>
          <w:tcPr/>
          <w:p>
            <w:pPr>
              <w:pStyle w:val="Compact"/>
              <w:jc w:val="left"/>
            </w:pPr>
            <m:oMath>
              <m:r>
                <m:t>N</m:t>
              </m:r>
              <m:r>
                <m:t>R</m:t>
              </m:r>
              <m:r>
                <m:t>S</m:t>
              </m:r>
              <m:r>
                <m:rPr>
                  <m:sty m:val="p"/>
                </m:rPr>
                <m:t>∈</m:t>
              </m:r>
              <m:d>
                <m:dPr>
                  <m:begChr m:val="["/>
                  <m:endChr m:val="]"/>
                  <m:sepChr m:val=""/>
                  <m:grow/>
                </m:dPr>
                <m:e>
                  <m:r>
                    <m:t>0</m:t>
                  </m:r>
                  <m:r>
                    <m:rPr>
                      <m:sty m:val="p"/>
                    </m:rPr>
                    <m:t>,</m:t>
                  </m:r>
                  <m:r>
                    <m:t>10</m:t>
                  </m:r>
                </m:e>
              </m:d>
            </m:oMath>
          </w:p>
        </w:tc>
        <w:tc>
          <w:tcPr/>
          <w:p>
            <w:pPr>
              <w:pStyle w:val="Compact"/>
              <w:jc w:val="left"/>
            </w:pPr>
            <w:r>
              <w:t xml:space="preserve">Ch.3, Ch.5</w:t>
            </w:r>
          </w:p>
        </w:tc>
        <w:tc>
          <w:tcPr/>
          <w:p>
            <w:pPr>
              <w:pStyle w:val="Compact"/>
              <w:jc w:val="left"/>
            </w:pPr>
            <w:r>
              <w:t xml:space="preserve">Pain scale ranges from 0 to 10</w:t>
            </w:r>
          </w:p>
        </w:tc>
      </w:tr>
      <w:tr>
        <w:tc>
          <w:tcPr/>
          <w:p>
            <w:pPr>
              <w:pStyle w:val="Compact"/>
              <w:jc w:val="left"/>
            </w:pPr>
            <m:oMath>
              <m:r>
                <m:t>S</m:t>
              </m:r>
              <m:d>
                <m:dPr>
                  <m:begChr m:val="("/>
                  <m:endChr m:val=")"/>
                  <m:sepChr m:val=""/>
                  <m:grow/>
                </m:dPr>
                <m:e>
                  <m:r>
                    <m:t>t</m:t>
                  </m:r>
                </m:e>
              </m:d>
              <m:r>
                <m:rPr>
                  <m:sty m:val="p"/>
                </m:rPr>
                <m:t>=</m:t>
              </m:r>
              <m:sSub>
                <m:e>
                  <m:r>
                    <m:t>S</m:t>
                  </m:r>
                </m:e>
                <m:sub>
                  <m:r>
                    <m:t>0</m:t>
                  </m:r>
                </m:sub>
              </m:sSub>
              <m:r>
                <m:rPr>
                  <m:sty m:val="p"/>
                </m:rPr>
                <m:t>+</m:t>
              </m:r>
              <m:r>
                <m:t>A</m:t>
              </m:r>
              <m:d>
                <m:dPr>
                  <m:begChr m:val="("/>
                  <m:endChr m:val=")"/>
                  <m:sepChr m:val=""/>
                  <m:grow/>
                </m:dPr>
                <m:e>
                  <m:r>
                    <m:t>1</m:t>
                  </m:r>
                  <m:r>
                    <m:rPr>
                      <m:sty m:val="p"/>
                    </m:rPr>
                    <m:t>−</m:t>
                  </m:r>
                  <m:sSup>
                    <m:e>
                      <m:r>
                        <m:t>e</m:t>
                      </m:r>
                    </m:e>
                    <m:sup>
                      <m:r>
                        <m:rPr>
                          <m:sty m:val="p"/>
                        </m:rPr>
                        <m:t>−</m:t>
                      </m:r>
                      <m:r>
                        <m:t>α</m:t>
                      </m:r>
                      <m:r>
                        <m:t>t</m:t>
                      </m:r>
                    </m:sup>
                  </m:sSup>
                </m:e>
              </m:d>
            </m:oMath>
          </w:p>
        </w:tc>
        <w:tc>
          <w:tcPr/>
          <w:p>
            <w:pPr>
              <w:pStyle w:val="Compact"/>
              <w:jc w:val="left"/>
            </w:pPr>
            <w:r>
              <w:t xml:space="preserve">Ch.3</w:t>
            </w:r>
          </w:p>
        </w:tc>
        <w:tc>
          <w:tcPr/>
          <w:p>
            <w:pPr>
              <w:pStyle w:val="Compact"/>
              <w:jc w:val="left"/>
            </w:pPr>
            <w:r>
              <w:t xml:space="preserve">Stress response activation curve</w:t>
            </w:r>
          </w:p>
        </w:tc>
      </w:tr>
      <w:tr>
        <w:tc>
          <w:tcPr/>
          <w:p>
            <w:pPr>
              <w:pStyle w:val="Compact"/>
              <w:jc w:val="left"/>
            </w:pPr>
            <m:oMath>
              <m:sSub>
                <m:e>
                  <m:r>
                    <m:t>t</m:t>
                  </m:r>
                </m:e>
                <m:sub>
                  <m:r>
                    <m:t>r</m:t>
                  </m:r>
                  <m:r>
                    <m:t>e</m:t>
                  </m:r>
                  <m:r>
                    <m:t>s</m:t>
                  </m:r>
                  <m:r>
                    <m:t>e</m:t>
                  </m:r>
                  <m:r>
                    <m:t>t</m:t>
                  </m:r>
                </m:sub>
              </m:sSub>
              <m:r>
                <m:rPr>
                  <m:sty m:val="p"/>
                </m:rPr>
                <m:t>≈</m:t>
              </m:r>
              <m:r>
                <m:t>10</m:t>
              </m:r>
              <m:r>
                <m:rPr>
                  <m:nor/>
                  <m:sty m:val="p"/>
                </m:rPr>
                <m:t>min</m:t>
              </m:r>
            </m:oMath>
          </w:p>
        </w:tc>
        <w:tc>
          <w:tcPr/>
          <w:p>
            <w:pPr>
              <w:pStyle w:val="Compact"/>
              <w:jc w:val="left"/>
            </w:pPr>
            <w:r>
              <w:t xml:space="preserve">Ch.4</w:t>
            </w:r>
          </w:p>
        </w:tc>
        <w:tc>
          <w:tcPr/>
          <w:p>
            <w:pPr>
              <w:pStyle w:val="Compact"/>
              <w:jc w:val="left"/>
            </w:pPr>
            <w:r>
              <w:t xml:space="preserve">Sympathetic-parasympathetic transition time</w:t>
            </w:r>
          </w:p>
        </w:tc>
      </w:tr>
      <w:tr>
        <w:tc>
          <w:tcPr/>
          <w:p>
            <w:pPr>
              <w:pStyle w:val="Compact"/>
              <w:jc w:val="left"/>
            </w:pPr>
            <m:oMath>
              <m:r>
                <m:t>C</m:t>
              </m:r>
              <m:d>
                <m:dPr>
                  <m:begChr m:val="("/>
                  <m:endChr m:val=")"/>
                  <m:sepChr m:val=""/>
                  <m:grow/>
                </m:dPr>
                <m:e>
                  <m:r>
                    <m:t>t</m:t>
                  </m:r>
                </m:e>
              </m:d>
              <m:r>
                <m:rPr>
                  <m:sty m:val="p"/>
                </m:rPr>
                <m:t>=</m:t>
              </m:r>
              <m:sSub>
                <m:e>
                  <m:r>
                    <m:t>C</m:t>
                  </m:r>
                </m:e>
                <m:sub>
                  <m:r>
                    <m:t>0</m:t>
                  </m:r>
                </m:sub>
              </m:sSub>
              <m:r>
                <m:rPr>
                  <m:sty m:val="p"/>
                </m:rPr>
                <m:t>⋅</m:t>
              </m:r>
              <m:sSup>
                <m:e>
                  <m:r>
                    <m:t>e</m:t>
                  </m:r>
                </m:e>
                <m:sup>
                  <m:r>
                    <m:rPr>
                      <m:sty m:val="p"/>
                    </m:rPr>
                    <m:t>−</m:t>
                  </m:r>
                  <m:r>
                    <m:t>λ</m:t>
                  </m:r>
                  <m:r>
                    <m:t>t</m:t>
                  </m:r>
                </m:sup>
              </m:sSup>
            </m:oMath>
          </w:p>
        </w:tc>
        <w:tc>
          <w:tcPr/>
          <w:p>
            <w:pPr>
              <w:pStyle w:val="Compact"/>
              <w:jc w:val="left"/>
            </w:pPr>
            <w:r>
              <w:t xml:space="preserve">Ch.4</w:t>
            </w:r>
          </w:p>
        </w:tc>
        <w:tc>
          <w:tcPr/>
          <w:p>
            <w:pPr>
              <w:pStyle w:val="Compact"/>
              <w:jc w:val="left"/>
            </w:pPr>
            <w:r>
              <w:t xml:space="preserve">Cortisol decay function</w:t>
            </w:r>
          </w:p>
        </w:tc>
      </w:tr>
      <w:tr>
        <w:tc>
          <w:tcPr/>
          <w:p>
            <w:pPr>
              <w:pStyle w:val="Compact"/>
              <w:jc w:val="left"/>
            </w:pPr>
            <m:oMath>
              <m:r>
                <m:t>λ</m:t>
              </m:r>
              <m:r>
                <m:rPr>
                  <m:sty m:val="p"/>
                </m:rPr>
                <m:t>=</m:t>
              </m:r>
              <m:f>
                <m:fPr>
                  <m:type m:val="bar"/>
                </m:fPr>
                <m:num>
                  <m:r>
                    <m:rPr>
                      <m:sty m:val="p"/>
                    </m:rPr>
                    <m:t>ln</m:t>
                  </m:r>
                  <m:r>
                    <m:t>2</m:t>
                  </m:r>
                </m:num>
                <m:den>
                  <m:sSub>
                    <m:e>
                      <m:r>
                        <m:t>t</m:t>
                      </m:r>
                    </m:e>
                    <m:sub>
                      <m:r>
                        <m:t>1</m:t>
                      </m:r>
                      <m:r>
                        <m:rPr>
                          <m:sty m:val="p"/>
                        </m:rPr>
                        <m:t>/</m:t>
                      </m:r>
                      <m:r>
                        <m:t>2</m:t>
                      </m:r>
                    </m:sub>
                  </m:sSub>
                </m:den>
              </m:f>
            </m:oMath>
          </w:p>
        </w:tc>
        <w:tc>
          <w:tcPr/>
          <w:p>
            <w:pPr>
              <w:pStyle w:val="Compact"/>
              <w:jc w:val="left"/>
            </w:pPr>
            <w:r>
              <w:t xml:space="preserve">Ch.4</w:t>
            </w:r>
          </w:p>
        </w:tc>
        <w:tc>
          <w:tcPr/>
          <w:p>
            <w:pPr>
              <w:pStyle w:val="Compact"/>
              <w:jc w:val="left"/>
            </w:pPr>
            <w:r>
              <w:t xml:space="preserve">Decay constant from half-life</w:t>
            </w:r>
          </w:p>
        </w:tc>
      </w:tr>
      <w:tr>
        <w:tc>
          <w:tcPr/>
          <w:p>
            <w:pPr>
              <w:pStyle w:val="Compact"/>
              <w:jc w:val="left"/>
            </w:pPr>
            <m:oMath>
              <m:r>
                <m:t>H</m:t>
              </m:r>
              <m:r>
                <m:t>R</m:t>
              </m:r>
              <m:r>
                <m:t>V</m:t>
              </m:r>
              <m:r>
                <m:rPr>
                  <m:sty m:val="p"/>
                </m:rPr>
                <m:t>=</m:t>
              </m:r>
              <m:f>
                <m:fPr>
                  <m:type m:val="bar"/>
                </m:fPr>
                <m:num>
                  <m:r>
                    <m:t>S</m:t>
                  </m:r>
                  <m:sSub>
                    <m:e>
                      <m:r>
                        <m:t>D</m:t>
                      </m:r>
                    </m:e>
                    <m:sub>
                      <m:r>
                        <m:t>R</m:t>
                      </m:r>
                      <m:r>
                        <m:t>R</m:t>
                      </m:r>
                    </m:sub>
                  </m:sSub>
                </m:num>
                <m:den>
                  <m:bar>
                    <m:barPr>
                      <m:pos m:val="top"/>
                    </m:barPr>
                    <m:e>
                      <m:r>
                        <m:t>R</m:t>
                      </m:r>
                      <m:r>
                        <m:t>R</m:t>
                      </m:r>
                    </m:e>
                  </m:bar>
                </m:den>
              </m:f>
            </m:oMath>
          </w:p>
        </w:tc>
        <w:tc>
          <w:tcPr/>
          <w:p>
            <w:pPr>
              <w:pStyle w:val="Compact"/>
              <w:jc w:val="left"/>
            </w:pPr>
            <w:r>
              <w:t xml:space="preserve">Ch.4</w:t>
            </w:r>
          </w:p>
        </w:tc>
        <w:tc>
          <w:tcPr/>
          <w:p>
            <w:pPr>
              <w:pStyle w:val="Compact"/>
              <w:jc w:val="left"/>
            </w:pPr>
            <w:r>
              <w:t xml:space="preserve">Heart rate variability coefficient of variation</w:t>
            </w:r>
          </w:p>
        </w:tc>
      </w:tr>
      <w:tr>
        <w:tc>
          <w:tcPr/>
          <w:p>
            <w:pPr>
              <w:pStyle w:val="Compact"/>
              <w:jc w:val="left"/>
            </w:pPr>
            <m:oMath>
              <m:sSub>
                <m:e>
                  <m:r>
                    <m:rPr>
                      <m:nor/>
                      <m:sty m:val="p"/>
                    </m:rPr>
                    <m:t>CO</m:t>
                  </m:r>
                </m:e>
                <m:sub>
                  <m:r>
                    <m:t>2</m:t>
                  </m:r>
                </m:sub>
              </m:sSub>
              <m:r>
                <m:rPr>
                  <m:nor/>
                  <m:sty m:val="p"/>
                </m:rPr>
                <m:t> offload</m:t>
              </m:r>
              <m:r>
                <m:rPr>
                  <m:sty m:val="p"/>
                </m:rPr>
                <m:t>∝</m:t>
              </m:r>
              <m:f>
                <m:fPr>
                  <m:type m:val="bar"/>
                </m:fPr>
                <m:num>
                  <m:r>
                    <m:t>A</m:t>
                  </m:r>
                  <m:r>
                    <m:rPr>
                      <m:sty m:val="p"/>
                    </m:rPr>
                    <m:t>⋅</m:t>
                  </m:r>
                  <m:r>
                    <m:t>Δ</m:t>
                  </m:r>
                  <m:r>
                    <m:t>P</m:t>
                  </m:r>
                </m:num>
                <m:den>
                  <m:r>
                    <m:t>d</m:t>
                  </m:r>
                </m:den>
              </m:f>
            </m:oMath>
          </w:p>
        </w:tc>
        <w:tc>
          <w:tcPr/>
          <w:p>
            <w:pPr>
              <w:pStyle w:val="Compact"/>
              <w:jc w:val="left"/>
            </w:pPr>
            <w:r>
              <w:t xml:space="preserve">Ch.4</w:t>
            </w:r>
          </w:p>
        </w:tc>
        <w:tc>
          <w:tcPr/>
          <w:p>
            <w:pPr>
              <w:pStyle w:val="Compact"/>
              <w:jc w:val="left"/>
            </w:pPr>
            <w:r>
              <w:t xml:space="preserve">Physiological sigh CO₂ clearance rate</w:t>
            </w:r>
          </w:p>
        </w:tc>
      </w:tr>
      <w:tr>
        <w:tc>
          <w:tcPr/>
          <w:p>
            <w:pPr>
              <w:pStyle w:val="Compact"/>
              <w:jc w:val="left"/>
            </w:pPr>
            <m:oMath>
              <m:r>
                <m:rPr>
                  <m:nor/>
                  <m:sty m:val="p"/>
                </m:rPr>
                <m:t>Cognitive Load</m:t>
              </m:r>
              <m:r>
                <m:rPr>
                  <m:sty m:val="p"/>
                </m:rPr>
                <m:t>=</m:t>
              </m:r>
              <m:r>
                <m:t>I</m:t>
              </m:r>
              <m:r>
                <m:rPr>
                  <m:sty m:val="p"/>
                </m:rPr>
                <m:t>+</m:t>
              </m:r>
              <m:r>
                <m:t>E</m:t>
              </m:r>
              <m:r>
                <m:rPr>
                  <m:sty m:val="p"/>
                </m:rPr>
                <m:t>+</m:t>
              </m:r>
              <m:r>
                <m:t>G</m:t>
              </m:r>
            </m:oMath>
          </w:p>
        </w:tc>
        <w:tc>
          <w:tcPr/>
          <w:p>
            <w:pPr>
              <w:pStyle w:val="Compact"/>
              <w:jc w:val="left"/>
            </w:pPr>
            <w:r>
              <w:t xml:space="preserve">Ch.3</w:t>
            </w:r>
          </w:p>
        </w:tc>
        <w:tc>
          <w:tcPr/>
          <w:p>
            <w:pPr>
              <w:pStyle w:val="Compact"/>
              <w:jc w:val="left"/>
            </w:pPr>
            <w:r>
              <w:t xml:space="preserve">Working memory: intrinsic + extraneous + germane</w:t>
            </w:r>
          </w:p>
        </w:tc>
      </w:tr>
      <w:tr>
        <w:tc>
          <w:tcPr/>
          <w:p>
            <w:pPr>
              <w:pStyle w:val="Compact"/>
              <w:jc w:val="left"/>
            </w:pPr>
            <m:oMath>
              <m:r>
                <m:t>H</m:t>
              </m:r>
              <m:r>
                <m:t>R</m:t>
              </m:r>
              <m:r>
                <m:rPr>
                  <m:sty m:val="p"/>
                </m:rPr>
                <m:t>∈</m:t>
              </m:r>
              <m:d>
                <m:dPr>
                  <m:begChr m:val="["/>
                  <m:endChr m:val="]"/>
                  <m:sepChr m:val=""/>
                  <m:grow/>
                </m:dPr>
                <m:e>
                  <m:r>
                    <m:t>60</m:t>
                  </m:r>
                  <m:r>
                    <m:rPr>
                      <m:sty m:val="p"/>
                    </m:rPr>
                    <m:t>,</m:t>
                  </m:r>
                  <m:r>
                    <m:t>100</m:t>
                  </m:r>
                </m:e>
              </m:d>
            </m:oMath>
            <w:r>
              <w:t xml:space="preserve"> </w:t>
            </w:r>
            <w:r>
              <w:t xml:space="preserve">bpm</w:t>
            </w:r>
          </w:p>
        </w:tc>
        <w:tc>
          <w:tcPr/>
          <w:p>
            <w:pPr>
              <w:pStyle w:val="Compact"/>
              <w:jc w:val="left"/>
            </w:pPr>
            <w:r>
              <w:t xml:space="preserve">Ch.5</w:t>
            </w:r>
          </w:p>
        </w:tc>
        <w:tc>
          <w:tcPr/>
          <w:p>
            <w:pPr>
              <w:pStyle w:val="Compact"/>
              <w:jc w:val="left"/>
            </w:pPr>
            <w:r>
              <w:t xml:space="preserve">Normal heart rate range</w:t>
            </w:r>
          </w:p>
        </w:tc>
      </w:tr>
      <w:tr>
        <w:tc>
          <w:tcPr/>
          <w:p>
            <w:pPr>
              <w:pStyle w:val="Compact"/>
              <w:jc w:val="left"/>
            </w:pPr>
            <m:oMath>
              <m:r>
                <m:t>R</m:t>
              </m:r>
              <m:r>
                <m:t>R</m:t>
              </m:r>
              <m:r>
                <m:rPr>
                  <m:sty m:val="p"/>
                </m:rPr>
                <m:t>∈</m:t>
              </m:r>
              <m:d>
                <m:dPr>
                  <m:begChr m:val="["/>
                  <m:endChr m:val="]"/>
                  <m:sepChr m:val=""/>
                  <m:grow/>
                </m:dPr>
                <m:e>
                  <m:r>
                    <m:t>12</m:t>
                  </m:r>
                  <m:r>
                    <m:rPr>
                      <m:sty m:val="p"/>
                    </m:rPr>
                    <m:t>,</m:t>
                  </m:r>
                  <m:r>
                    <m:t>20</m:t>
                  </m:r>
                </m:e>
              </m:d>
            </m:oMath>
            <w:r>
              <w:t xml:space="preserve">/min</w:t>
            </w:r>
          </w:p>
        </w:tc>
        <w:tc>
          <w:tcPr/>
          <w:p>
            <w:pPr>
              <w:pStyle w:val="Compact"/>
              <w:jc w:val="left"/>
            </w:pPr>
            <w:r>
              <w:t xml:space="preserve">Ch.5</w:t>
            </w:r>
          </w:p>
        </w:tc>
        <w:tc>
          <w:tcPr/>
          <w:p>
            <w:pPr>
              <w:pStyle w:val="Compact"/>
              <w:jc w:val="left"/>
            </w:pPr>
            <w:r>
              <w:t xml:space="preserve">Normal respiratory rate range</w:t>
            </w:r>
          </w:p>
        </w:tc>
      </w:tr>
      <w:tr>
        <w:tc>
          <w:tcPr/>
          <w:p>
            <w:pPr>
              <w:pStyle w:val="Compact"/>
              <w:jc w:val="left"/>
            </w:pPr>
            <m:oMath>
              <m:r>
                <m:t>S</m:t>
              </m:r>
              <m:r>
                <m:t>p</m:t>
              </m:r>
              <m:sSub>
                <m:e>
                  <m:r>
                    <m:t>O</m:t>
                  </m:r>
                </m:e>
                <m:sub>
                  <m:r>
                    <m:t>2</m:t>
                  </m:r>
                </m:sub>
              </m:sSub>
              <m:r>
                <m:rPr>
                  <m:sty m:val="p"/>
                </m:rPr>
                <m:t>∈</m:t>
              </m:r>
              <m:d>
                <m:dPr>
                  <m:begChr m:val="["/>
                  <m:endChr m:val="]"/>
                  <m:sepChr m:val=""/>
                  <m:grow/>
                </m:dPr>
                <m:e>
                  <m:r>
                    <m:t>95</m:t>
                  </m:r>
                  <m:r>
                    <m:rPr>
                      <m:sty m:val="p"/>
                    </m:rPr>
                    <m:t>,</m:t>
                  </m:r>
                  <m:r>
                    <m:t>100</m:t>
                  </m:r>
                </m:e>
              </m:d>
            </m:oMath>
            <w:r>
              <w:t xml:space="preserve">%</w:t>
            </w:r>
          </w:p>
        </w:tc>
        <w:tc>
          <w:tcPr/>
          <w:p>
            <w:pPr>
              <w:pStyle w:val="Compact"/>
              <w:jc w:val="left"/>
            </w:pPr>
            <w:r>
              <w:t xml:space="preserve">Ch.5</w:t>
            </w:r>
          </w:p>
        </w:tc>
        <w:tc>
          <w:tcPr/>
          <w:p>
            <w:pPr>
              <w:pStyle w:val="Compact"/>
              <w:jc w:val="left"/>
            </w:pPr>
            <w:r>
              <w:t xml:space="preserve">Normal oxygen saturation range</w:t>
            </w:r>
          </w:p>
        </w:tc>
      </w:tr>
      <w:tr>
        <w:tc>
          <w:tcPr/>
          <w:p>
            <w:pPr>
              <w:pStyle w:val="Compact"/>
              <w:jc w:val="left"/>
            </w:pPr>
            <m:oMath>
              <m:r>
                <m:t>B</m:t>
              </m:r>
              <m:r>
                <m:t>P</m:t>
              </m:r>
              <m:r>
                <m:rPr>
                  <m:sty m:val="p"/>
                </m:rPr>
                <m:t>&lt;</m:t>
              </m:r>
              <m:r>
                <m:t>120</m:t>
              </m:r>
              <m:r>
                <m:rPr>
                  <m:sty m:val="p"/>
                </m:rPr>
                <m:t>/</m:t>
              </m:r>
              <m:r>
                <m:t>80</m:t>
              </m:r>
            </m:oMath>
            <w:r>
              <w:t xml:space="preserve"> </w:t>
            </w:r>
            <w:r>
              <w:t xml:space="preserve">mmHg</w:t>
            </w:r>
          </w:p>
        </w:tc>
        <w:tc>
          <w:tcPr/>
          <w:p>
            <w:pPr>
              <w:pStyle w:val="Compact"/>
              <w:jc w:val="left"/>
            </w:pPr>
            <w:r>
              <w:t xml:space="preserve">Ch.5</w:t>
            </w:r>
          </w:p>
        </w:tc>
        <w:tc>
          <w:tcPr/>
          <w:p>
            <w:pPr>
              <w:pStyle w:val="Compact"/>
              <w:jc w:val="left"/>
            </w:pPr>
            <w:r>
              <w:t xml:space="preserve">Normal blood pressure threshold</w:t>
            </w:r>
          </w:p>
        </w:tc>
      </w:tr>
      <w:tr>
        <w:tc>
          <w:tcPr/>
          <w:p>
            <w:pPr>
              <w:pStyle w:val="Compact"/>
              <w:jc w:val="left"/>
            </w:pPr>
            <m:oMath>
              <m:sSub>
                <m:e>
                  <m:r>
                    <m:t>t</m:t>
                  </m:r>
                </m:e>
                <m:sub>
                  <m:r>
                    <m:t>t</m:t>
                  </m:r>
                  <m:r>
                    <m:t>r</m:t>
                  </m:r>
                  <m:r>
                    <m:t>e</m:t>
                  </m:r>
                  <m:r>
                    <m:t>a</m:t>
                  </m:r>
                  <m:r>
                    <m:t>t</m:t>
                  </m:r>
                  <m:r>
                    <m:t>m</m:t>
                  </m:r>
                  <m:r>
                    <m:t>e</m:t>
                  </m:r>
                  <m:r>
                    <m:t>n</m:t>
                  </m:r>
                  <m:r>
                    <m:t>t</m:t>
                  </m:r>
                </m:sub>
              </m:sSub>
              <m:r>
                <m:rPr>
                  <m:sty m:val="p"/>
                </m:rPr>
                <m:t>&lt;</m:t>
              </m:r>
              <m:r>
                <m:t>4.5</m:t>
              </m:r>
            </m:oMath>
            <w:r>
              <w:t xml:space="preserve">h</w:t>
            </w:r>
          </w:p>
        </w:tc>
        <w:tc>
          <w:tcPr/>
          <w:p>
            <w:pPr>
              <w:pStyle w:val="Compact"/>
              <w:jc w:val="left"/>
            </w:pPr>
            <w:r>
              <w:t xml:space="preserve">Ch.5</w:t>
            </w:r>
          </w:p>
        </w:tc>
        <w:tc>
          <w:tcPr/>
          <w:p>
            <w:pPr>
              <w:pStyle w:val="Compact"/>
              <w:jc w:val="left"/>
            </w:pPr>
            <w:r>
              <w:t xml:space="preserve">Stroke thrombolysis treatment window</w:t>
            </w:r>
          </w:p>
        </w:tc>
      </w:tr>
      <w:tr>
        <w:tc>
          <w:tcPr/>
          <w:p>
            <w:pPr>
              <w:pStyle w:val="Compact"/>
              <w:jc w:val="left"/>
            </w:pPr>
            <m:oMath>
              <m:r>
                <m:t>P</m:t>
              </m:r>
              <m:d>
                <m:dPr>
                  <m:begChr m:val="("/>
                  <m:endChr m:val=")"/>
                  <m:sepChr m:val=""/>
                  <m:grow/>
                </m:dPr>
                <m:e>
                  <m:r>
                    <m:rPr>
                      <m:nor/>
                      <m:sty m:val="p"/>
                    </m:rPr>
                    <m:t>survive</m:t>
                  </m:r>
                  <m:r>
                    <m:rPr>
                      <m:sty m:val="p"/>
                    </m:rPr>
                    <m:t>,</m:t>
                  </m:r>
                  <m:r>
                    <m:t>t</m:t>
                  </m:r>
                </m:e>
              </m:d>
              <m:r>
                <m:rPr>
                  <m:sty m:val="p"/>
                </m:rPr>
                <m:t>=</m:t>
              </m:r>
              <m:sSup>
                <m:e>
                  <m:r>
                    <m:t>e</m:t>
                  </m:r>
                </m:e>
                <m:sup>
                  <m:r>
                    <m:rPr>
                      <m:sty m:val="p"/>
                    </m:rPr>
                    <m:t>−</m:t>
                  </m:r>
                  <m:r>
                    <m:t>λ</m:t>
                  </m:r>
                  <m:r>
                    <m:t>t</m:t>
                  </m:r>
                </m:sup>
              </m:sSup>
            </m:oMath>
          </w:p>
        </w:tc>
        <w:tc>
          <w:tcPr/>
          <w:p>
            <w:pPr>
              <w:pStyle w:val="Compact"/>
              <w:jc w:val="left"/>
            </w:pPr>
            <w:r>
              <w:t xml:space="preserve">Ch.6</w:t>
            </w:r>
          </w:p>
        </w:tc>
        <w:tc>
          <w:tcPr/>
          <w:p>
            <w:pPr>
              <w:pStyle w:val="Compact"/>
              <w:jc w:val="left"/>
            </w:pPr>
            <w:r>
              <w:t xml:space="preserve">Survival probability function</w:t>
            </w:r>
          </w:p>
        </w:tc>
      </w:tr>
      <w:tr>
        <w:tc>
          <w:tcPr/>
          <w:p>
            <w:pPr>
              <w:pStyle w:val="Compact"/>
              <w:jc w:val="left"/>
            </w:pPr>
            <m:oMath>
              <m:r>
                <m:t>W</m:t>
              </m:r>
              <m:r>
                <m:rPr>
                  <m:sty m:val="p"/>
                </m:rPr>
                <m:t>=</m:t>
              </m:r>
              <m:r>
                <m:t>n</m:t>
              </m:r>
              <m:r>
                <m:rPr>
                  <m:sty m:val="p"/>
                </m:rPr>
                <m:t>⋅</m:t>
              </m:r>
              <m:r>
                <m:t>3</m:t>
              </m:r>
              <m:r>
                <m:rPr>
                  <m:nor/>
                  <m:sty m:val="p"/>
                </m:rPr>
                <m:t>L/day</m:t>
              </m:r>
            </m:oMath>
          </w:p>
        </w:tc>
        <w:tc>
          <w:tcPr/>
          <w:p>
            <w:pPr>
              <w:pStyle w:val="Compact"/>
              <w:jc w:val="left"/>
            </w:pPr>
            <w:r>
              <w:t xml:space="preserve">Ch.6</w:t>
            </w:r>
          </w:p>
        </w:tc>
        <w:tc>
          <w:tcPr/>
          <w:p>
            <w:pPr>
              <w:pStyle w:val="Compact"/>
              <w:jc w:val="left"/>
            </w:pPr>
            <w:r>
              <w:t xml:space="preserve">Water requirements by group size</w:t>
            </w:r>
          </w:p>
        </w:tc>
      </w:tr>
      <w:tr>
        <w:tc>
          <w:tcPr/>
          <w:p>
            <w:pPr>
              <w:pStyle w:val="Compact"/>
              <w:jc w:val="left"/>
            </w:pPr>
            <m:oMath>
              <m:r>
                <m:t>C</m:t>
              </m:r>
              <m:d>
                <m:dPr>
                  <m:begChr m:val="("/>
                  <m:endChr m:val=")"/>
                  <m:sepChr m:val=""/>
                  <m:grow/>
                </m:dPr>
                <m:e>
                  <m:r>
                    <m:t>n</m:t>
                  </m:r>
                </m:e>
              </m:d>
              <m:r>
                <m:rPr>
                  <m:sty m:val="p"/>
                </m:rPr>
                <m:t>=</m:t>
              </m:r>
              <m:f>
                <m:fPr>
                  <m:type m:val="bar"/>
                </m:fPr>
                <m:num>
                  <m:r>
                    <m:t>n</m:t>
                  </m:r>
                  <m:d>
                    <m:dPr>
                      <m:begChr m:val="("/>
                      <m:endChr m:val=")"/>
                      <m:sepChr m:val=""/>
                      <m:grow/>
                    </m:dPr>
                    <m:e>
                      <m:r>
                        <m:t>n</m:t>
                      </m:r>
                      <m:r>
                        <m:rPr>
                          <m:sty m:val="p"/>
                        </m:rPr>
                        <m:t>−</m:t>
                      </m:r>
                      <m:r>
                        <m:t>1</m:t>
                      </m:r>
                    </m:e>
                  </m:d>
                </m:num>
                <m:den>
                  <m:r>
                    <m:t>2</m:t>
                  </m:r>
                </m:den>
              </m:f>
            </m:oMath>
          </w:p>
        </w:tc>
        <w:tc>
          <w:tcPr/>
          <w:p>
            <w:pPr>
              <w:pStyle w:val="Compact"/>
              <w:jc w:val="left"/>
            </w:pPr>
            <w:r>
              <w:t xml:space="preserve">Ch.6</w:t>
            </w:r>
          </w:p>
        </w:tc>
        <w:tc>
          <w:tcPr/>
          <w:p>
            <w:pPr>
              <w:pStyle w:val="Compact"/>
              <w:jc w:val="left"/>
            </w:pPr>
            <w:r>
              <w:t xml:space="preserve">Group communication channels</w:t>
            </w:r>
          </w:p>
        </w:tc>
      </w:tr>
      <w:tr>
        <w:tc>
          <w:tcPr/>
          <w:p>
            <w:pPr>
              <w:pStyle w:val="Compact"/>
              <w:jc w:val="left"/>
            </w:pPr>
            <m:oMath>
              <m:sSub>
                <m:e>
                  <m:r>
                    <m:t>D</m:t>
                  </m:r>
                </m:e>
                <m:sub>
                  <m:r>
                    <m:t>n</m:t>
                  </m:r>
                </m:sub>
              </m:sSub>
              <m:r>
                <m:rPr>
                  <m:sty m:val="p"/>
                </m:rPr>
                <m:t>=</m:t>
              </m:r>
              <m:r>
                <m:t>5</m:t>
              </m:r>
              <m:r>
                <m:rPr>
                  <m:sty m:val="p"/>
                </m:rPr>
                <m:t>⋅</m:t>
              </m:r>
              <m:sSup>
                <m:e>
                  <m:r>
                    <m:t>3</m:t>
                  </m:r>
                </m:e>
                <m:sup>
                  <m:r>
                    <m:t>n</m:t>
                  </m:r>
                  <m:r>
                    <m:rPr>
                      <m:sty m:val="p"/>
                    </m:rPr>
                    <m:t>−</m:t>
                  </m:r>
                  <m:r>
                    <m:t>1</m:t>
                  </m:r>
                </m:sup>
              </m:sSup>
            </m:oMath>
          </w:p>
        </w:tc>
        <w:tc>
          <w:tcPr/>
          <w:p>
            <w:pPr>
              <w:pStyle w:val="Compact"/>
              <w:jc w:val="left"/>
            </w:pPr>
            <w:r>
              <w:t xml:space="preserve">Ch.6</w:t>
            </w:r>
          </w:p>
        </w:tc>
        <w:tc>
          <w:tcPr/>
          <w:p>
            <w:pPr>
              <w:pStyle w:val="Compact"/>
              <w:jc w:val="left"/>
            </w:pPr>
            <w:r>
              <w:t xml:space="preserve">Dunbar number layers</w:t>
            </w:r>
          </w:p>
        </w:tc>
      </w:tr>
      <w:tr>
        <w:tc>
          <w:tcPr/>
          <w:p>
            <w:pPr>
              <w:pStyle w:val="Compact"/>
              <w:jc w:val="left"/>
            </w:pPr>
            <m:oMath>
              <m:sSub>
                <m:e>
                  <m:r>
                    <m:t>E</m:t>
                  </m:r>
                </m:e>
                <m:sub>
                  <m:r>
                    <m:t>b</m:t>
                  </m:r>
                  <m:r>
                    <m:t>a</m:t>
                  </m:r>
                  <m:r>
                    <m:t>s</m:t>
                  </m:r>
                  <m:r>
                    <m:t>a</m:t>
                  </m:r>
                  <m:r>
                    <m:t>l</m:t>
                  </m:r>
                </m:sub>
              </m:sSub>
              <m:r>
                <m:rPr>
                  <m:sty m:val="p"/>
                </m:rPr>
                <m:t>≈</m:t>
              </m:r>
              <m:r>
                <m:t>1500</m:t>
              </m:r>
            </m:oMath>
            <w:r>
              <w:t xml:space="preserve"> </w:t>
            </w:r>
            <w:r>
              <w:t xml:space="preserve">kcal/day</w:t>
            </w:r>
          </w:p>
        </w:tc>
        <w:tc>
          <w:tcPr/>
          <w:p>
            <w:pPr>
              <w:pStyle w:val="Compact"/>
              <w:jc w:val="left"/>
            </w:pPr>
            <w:r>
              <w:t xml:space="preserve">Ch.6</w:t>
            </w:r>
          </w:p>
        </w:tc>
        <w:tc>
          <w:tcPr/>
          <w:p>
            <w:pPr>
              <w:pStyle w:val="Compact"/>
              <w:jc w:val="left"/>
            </w:pPr>
            <w:r>
              <w:t xml:space="preserve">Basal metabolic caloric requirement</w:t>
            </w:r>
          </w:p>
        </w:tc>
      </w:tr>
      <w:tr>
        <w:tc>
          <w:tcPr/>
          <w:p>
            <w:pPr>
              <w:pStyle w:val="Compact"/>
              <w:jc w:val="left"/>
            </w:pPr>
            <m:oMath>
              <m:sSub>
                <m:e>
                  <m:r>
                    <m:t>E</m:t>
                  </m:r>
                </m:e>
                <m:sub>
                  <m:r>
                    <m:t>s</m:t>
                  </m:r>
                  <m:r>
                    <m:t>u</m:t>
                  </m:r>
                  <m:r>
                    <m:t>r</m:t>
                  </m:r>
                  <m:r>
                    <m:t>v</m:t>
                  </m:r>
                  <m:r>
                    <m:t>i</m:t>
                  </m:r>
                  <m:r>
                    <m:t>v</m:t>
                  </m:r>
                  <m:r>
                    <m:t>a</m:t>
                  </m:r>
                  <m:r>
                    <m:t>l</m:t>
                  </m:r>
                </m:sub>
              </m:sSub>
              <m:r>
                <m:rPr>
                  <m:sty m:val="p"/>
                </m:rPr>
                <m:t>≈</m:t>
              </m:r>
              <m:r>
                <m:t>2500</m:t>
              </m:r>
              <m:r>
                <m:rPr>
                  <m:nor/>
                  <m:sty m:val="p"/>
                </m:rPr>
                <m:t>–</m:t>
              </m:r>
              <m:r>
                <m:t>3000</m:t>
              </m:r>
            </m:oMath>
            <w:r>
              <w:t xml:space="preserve"> </w:t>
            </w:r>
            <w:r>
              <w:t xml:space="preserve">kcal/day</w:t>
            </w:r>
          </w:p>
        </w:tc>
        <w:tc>
          <w:tcPr/>
          <w:p>
            <w:pPr>
              <w:pStyle w:val="Compact"/>
              <w:jc w:val="left"/>
            </w:pPr>
            <w:r>
              <w:t xml:space="preserve">Ch.6</w:t>
            </w:r>
          </w:p>
        </w:tc>
        <w:tc>
          <w:tcPr/>
          <w:p>
            <w:pPr>
              <w:pStyle w:val="Compact"/>
              <w:jc w:val="left"/>
            </w:pPr>
            <w:r>
              <w:t xml:space="preserve">Active survival caloric requirement</w:t>
            </w:r>
          </w:p>
        </w:tc>
      </w:tr>
    </w:tbl>
    <w:bookmarkEnd w:id="215"/>
    <w:bookmarkStart w:id="216" w:name="fillable-fields"/>
    <w:p>
      <w:pPr>
        <w:pStyle w:val="Heading2"/>
      </w:pPr>
      <w:r>
        <w:t xml:space="preserve">Fillable Fields</w:t>
      </w:r>
    </w:p>
    <w:p>
      <w:pPr>
        <w:pStyle w:val="FirstParagraph"/>
      </w:pPr>
      <w:r>
        <w:t xml:space="preserve">These are the fields left blank throughout the guide for you to personalize. Fill them in once, photograph the page, and you’ll always have the information.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Your value</w:t>
            </w:r>
          </w:p>
        </w:tc>
      </w:tr>
      <w:tr>
        <w:tc>
          <w:tcPr/>
          <w:p>
            <w:pPr>
              <w:pStyle w:val="Compact"/>
              <w:jc w:val="left"/>
            </w:pPr>
            <w:r>
              <w:t xml:space="preserve">WiFi password</w:t>
            </w:r>
          </w:p>
        </w:tc>
        <w:tc>
          <w:tcPr/>
          <w:p>
            <w:pPr>
              <w:pStyle w:val="Compact"/>
              <w:jc w:val="left"/>
            </w:pPr>
            <w:r>
              <w:rPr>
                <w:rStyle w:val="VerbatimChar"/>
              </w:rPr>
              <w:t xml:space="preserve">_______________________________</w:t>
            </w:r>
          </w:p>
        </w:tc>
      </w:tr>
      <w:tr>
        <w:tc>
          <w:tcPr/>
          <w:p>
            <w:pPr>
              <w:pStyle w:val="Compact"/>
              <w:jc w:val="left"/>
            </w:pPr>
            <w:r>
              <w:t xml:space="preserve">Your doctor (Hausarzt)</w:t>
            </w:r>
          </w:p>
        </w:tc>
        <w:tc>
          <w:tcPr/>
          <w:p>
            <w:pPr>
              <w:pStyle w:val="Compact"/>
              <w:jc w:val="left"/>
            </w:pPr>
            <w:r>
              <w:rPr>
                <w:rStyle w:val="VerbatimChar"/>
              </w:rPr>
              <w:t xml:space="preserve">_______________________________</w:t>
            </w:r>
          </w:p>
        </w:tc>
      </w:tr>
      <w:tr>
        <w:tc>
          <w:tcPr/>
          <w:p>
            <w:pPr>
              <w:pStyle w:val="Compact"/>
              <w:jc w:val="left"/>
            </w:pPr>
            <w:r>
              <w:t xml:space="preserve">Your doctor’s phone</w:t>
            </w:r>
          </w:p>
        </w:tc>
        <w:tc>
          <w:tcPr/>
          <w:p>
            <w:pPr>
              <w:pStyle w:val="Compact"/>
              <w:jc w:val="left"/>
            </w:pPr>
            <w:r>
              <w:rPr>
                <w:rStyle w:val="VerbatimChar"/>
              </w:rPr>
              <w:t xml:space="preserve">_______________________________</w:t>
            </w:r>
          </w:p>
        </w:tc>
      </w:tr>
      <w:tr>
        <w:tc>
          <w:tcPr/>
          <w:p>
            <w:pPr>
              <w:pStyle w:val="Compact"/>
              <w:jc w:val="left"/>
            </w:pPr>
            <w:r>
              <w:t xml:space="preserve">Local hospital</w:t>
            </w:r>
          </w:p>
        </w:tc>
        <w:tc>
          <w:tcPr/>
          <w:p>
            <w:pPr>
              <w:pStyle w:val="Compact"/>
              <w:jc w:val="left"/>
            </w:pPr>
            <w:r>
              <w:rPr>
                <w:rStyle w:val="VerbatimChar"/>
              </w:rPr>
              <w:t xml:space="preserve">_______________________________</w:t>
            </w:r>
          </w:p>
        </w:tc>
      </w:tr>
      <w:tr>
        <w:tc>
          <w:tcPr/>
          <w:p>
            <w:pPr>
              <w:pStyle w:val="Compact"/>
              <w:jc w:val="left"/>
            </w:pPr>
            <w:r>
              <w:t xml:space="preserve">Local hospital address</w:t>
            </w:r>
          </w:p>
        </w:tc>
        <w:tc>
          <w:tcPr/>
          <w:p>
            <w:pPr>
              <w:pStyle w:val="Compact"/>
              <w:jc w:val="left"/>
            </w:pPr>
            <w:r>
              <w:rPr>
                <w:rStyle w:val="VerbatimChar"/>
              </w:rPr>
              <w:t xml:space="preserve">_______________________________</w:t>
            </w:r>
          </w:p>
        </w:tc>
      </w:tr>
      <w:tr>
        <w:tc>
          <w:tcPr/>
          <w:p>
            <w:pPr>
              <w:pStyle w:val="Compact"/>
              <w:jc w:val="left"/>
            </w:pPr>
            <w:r>
              <w:t xml:space="preserve">Therapist (if applicable)</w:t>
            </w:r>
          </w:p>
        </w:tc>
        <w:tc>
          <w:tcPr/>
          <w:p>
            <w:pPr>
              <w:pStyle w:val="Compact"/>
              <w:jc w:val="left"/>
            </w:pPr>
            <w:r>
              <w:rPr>
                <w:rStyle w:val="VerbatimChar"/>
              </w:rPr>
              <w:t xml:space="preserve">_______________________________</w:t>
            </w:r>
          </w:p>
        </w:tc>
      </w:tr>
      <w:tr>
        <w:tc>
          <w:tcPr/>
          <w:p>
            <w:pPr>
              <w:pStyle w:val="Compact"/>
              <w:jc w:val="left"/>
            </w:pPr>
            <w:r>
              <w:t xml:space="preserve">Therapist’s phone</w:t>
            </w:r>
          </w:p>
        </w:tc>
        <w:tc>
          <w:tcPr/>
          <w:p>
            <w:pPr>
              <w:pStyle w:val="Compact"/>
              <w:jc w:val="left"/>
            </w:pPr>
            <w:r>
              <w:rPr>
                <w:rStyle w:val="VerbatimChar"/>
              </w:rPr>
              <w:t xml:space="preserve">_______________________________</w:t>
            </w:r>
          </w:p>
        </w:tc>
      </w:tr>
      <w:tr>
        <w:tc>
          <w:tcPr/>
          <w:p>
            <w:pPr>
              <w:pStyle w:val="Compact"/>
              <w:jc w:val="left"/>
            </w:pPr>
            <w:r>
              <w:t xml:space="preserve">Emergency contact #1</w:t>
            </w:r>
          </w:p>
        </w:tc>
        <w:tc>
          <w:tcPr/>
          <w:p>
            <w:pPr>
              <w:pStyle w:val="Compact"/>
              <w:jc w:val="left"/>
            </w:pPr>
            <w:r>
              <w:rPr>
                <w:rStyle w:val="VerbatimChar"/>
              </w:rPr>
              <w:t xml:space="preserve">_______________________________</w:t>
            </w:r>
          </w:p>
        </w:tc>
      </w:tr>
      <w:tr>
        <w:tc>
          <w:tcPr/>
          <w:p>
            <w:pPr>
              <w:pStyle w:val="Compact"/>
              <w:jc w:val="left"/>
            </w:pPr>
            <w:r>
              <w:t xml:space="preserve">Emergency contact #1 phone</w:t>
            </w:r>
          </w:p>
        </w:tc>
        <w:tc>
          <w:tcPr/>
          <w:p>
            <w:pPr>
              <w:pStyle w:val="Compact"/>
              <w:jc w:val="left"/>
            </w:pPr>
            <w:r>
              <w:rPr>
                <w:rStyle w:val="VerbatimChar"/>
              </w:rPr>
              <w:t xml:space="preserve">_______________________________</w:t>
            </w:r>
          </w:p>
        </w:tc>
      </w:tr>
      <w:tr>
        <w:tc>
          <w:tcPr/>
          <w:p>
            <w:pPr>
              <w:pStyle w:val="Compact"/>
              <w:jc w:val="left"/>
            </w:pPr>
            <w:r>
              <w:t xml:space="preserve">Emergency contact #2</w:t>
            </w:r>
          </w:p>
        </w:tc>
        <w:tc>
          <w:tcPr/>
          <w:p>
            <w:pPr>
              <w:pStyle w:val="Compact"/>
              <w:jc w:val="left"/>
            </w:pPr>
            <w:r>
              <w:rPr>
                <w:rStyle w:val="VerbatimChar"/>
              </w:rPr>
              <w:t xml:space="preserve">_______________________________</w:t>
            </w:r>
          </w:p>
        </w:tc>
      </w:tr>
      <w:tr>
        <w:tc>
          <w:tcPr/>
          <w:p>
            <w:pPr>
              <w:pStyle w:val="Compact"/>
              <w:jc w:val="left"/>
            </w:pPr>
            <w:r>
              <w:t xml:space="preserve">Emergency contact #2 phone</w:t>
            </w:r>
          </w:p>
        </w:tc>
        <w:tc>
          <w:tcPr/>
          <w:p>
            <w:pPr>
              <w:pStyle w:val="Compact"/>
              <w:jc w:val="left"/>
            </w:pPr>
            <w:r>
              <w:rPr>
                <w:rStyle w:val="VerbatimChar"/>
              </w:rPr>
              <w:t xml:space="preserve">_______________________________</w:t>
            </w:r>
          </w:p>
        </w:tc>
      </w:tr>
      <w:tr>
        <w:tc>
          <w:tcPr/>
          <w:p>
            <w:pPr>
              <w:pStyle w:val="Compact"/>
              <w:jc w:val="left"/>
            </w:pPr>
            <w:r>
              <w:t xml:space="preserve">Nearest pharmacy (Apotheke)</w:t>
            </w:r>
          </w:p>
        </w:tc>
        <w:tc>
          <w:tcPr/>
          <w:p>
            <w:pPr>
              <w:pStyle w:val="Compact"/>
              <w:jc w:val="left"/>
            </w:pPr>
            <w:r>
              <w:rPr>
                <w:rStyle w:val="VerbatimChar"/>
              </w:rPr>
              <w:t xml:space="preserve">_______________________________</w:t>
            </w:r>
          </w:p>
        </w:tc>
      </w:tr>
      <w:tr>
        <w:tc>
          <w:tcPr/>
          <w:p>
            <w:pPr>
              <w:pStyle w:val="Compact"/>
              <w:jc w:val="left"/>
            </w:pPr>
            <w:r>
              <w:t xml:space="preserve">Pharmacy night service</w:t>
            </w:r>
          </w:p>
        </w:tc>
        <w:tc>
          <w:tcPr/>
          <w:p>
            <w:pPr>
              <w:pStyle w:val="Compact"/>
              <w:jc w:val="left"/>
            </w:pPr>
            <w:r>
              <w:rPr>
                <w:rStyle w:val="VerbatimChar"/>
              </w:rPr>
              <w:t xml:space="preserve">_______________________________</w:t>
            </w:r>
          </w:p>
        </w:tc>
      </w:tr>
      <w:tr>
        <w:tc>
          <w:tcPr/>
          <w:p>
            <w:pPr>
              <w:pStyle w:val="Compact"/>
              <w:jc w:val="left"/>
            </w:pPr>
            <w:r>
              <w:t xml:space="preserve">Preferred comfort item location</w:t>
            </w:r>
          </w:p>
        </w:tc>
        <w:tc>
          <w:tcPr/>
          <w:p>
            <w:pPr>
              <w:pStyle w:val="Compact"/>
              <w:jc w:val="left"/>
            </w:pPr>
            <w:r>
              <w:rPr>
                <w:rStyle w:val="VerbatimChar"/>
              </w:rPr>
              <w:t xml:space="preserve">_______________________________</w:t>
            </w:r>
          </w:p>
        </w:tc>
      </w:tr>
      <w:tr>
        <w:tc>
          <w:tcPr/>
          <w:p>
            <w:pPr>
              <w:pStyle w:val="Compact"/>
              <w:jc w:val="left"/>
            </w:pPr>
            <w:r>
              <w:t xml:space="preserve">Scent candle location</w:t>
            </w:r>
          </w:p>
        </w:tc>
        <w:tc>
          <w:tcPr/>
          <w:p>
            <w:pPr>
              <w:pStyle w:val="Compact"/>
              <w:jc w:val="left"/>
            </w:pPr>
            <w:r>
              <w:rPr>
                <w:rStyle w:val="VerbatimChar"/>
              </w:rPr>
              <w:t xml:space="preserve">_______________________________</w:t>
            </w:r>
          </w:p>
        </w:tc>
      </w:tr>
      <w:tr>
        <w:tc>
          <w:tcPr/>
          <w:p>
            <w:pPr>
              <w:pStyle w:val="Compact"/>
              <w:jc w:val="left"/>
            </w:pPr>
            <w:r>
              <w:t xml:space="preserve">Seneca / Tao Te Ching location</w:t>
            </w:r>
          </w:p>
        </w:tc>
        <w:tc>
          <w:tcPr/>
          <w:p>
            <w:pPr>
              <w:pStyle w:val="Compact"/>
              <w:jc w:val="left"/>
            </w:pPr>
            <w:r>
              <w:rPr>
                <w:rStyle w:val="VerbatimChar"/>
              </w:rPr>
              <w:t xml:space="preserve">_______________________________</w:t>
            </w:r>
          </w:p>
        </w:tc>
      </w:tr>
      <w:tr>
        <w:tc>
          <w:tcPr/>
          <w:p>
            <w:pPr>
              <w:pStyle w:val="Compact"/>
              <w:jc w:val="left"/>
            </w:pPr>
            <w:r>
              <w:t xml:space="preserve">Local-server access</w:t>
            </w:r>
          </w:p>
        </w:tc>
        <w:tc>
          <w:tcPr/>
          <w:p>
            <w:pPr>
              <w:pStyle w:val="Compact"/>
              <w:jc w:val="left"/>
            </w:pPr>
            <w:r>
              <w:rPr>
                <w:rStyle w:val="VerbatimChar"/>
              </w:rPr>
              <w:t xml:space="preserve">_______________________________</w:t>
            </w:r>
          </w:p>
        </w:tc>
      </w:tr>
      <w:tr>
        <w:tc>
          <w:tcPr/>
          <w:p>
            <w:pPr>
              <w:pStyle w:val="Compact"/>
              <w:jc w:val="left"/>
            </w:pPr>
            <w:r>
              <w:t xml:space="preserve">Bike lock combination</w:t>
            </w:r>
          </w:p>
        </w:tc>
        <w:tc>
          <w:tcPr/>
          <w:p>
            <w:pPr>
              <w:pStyle w:val="Compact"/>
              <w:jc w:val="left"/>
            </w:pPr>
            <w:r>
              <w:rPr>
                <w:rStyle w:val="VerbatimChar"/>
              </w:rPr>
              <w:t xml:space="preserve">_______________________________</w:t>
            </w:r>
          </w:p>
        </w:tc>
      </w:tr>
      <w:tr>
        <w:tc>
          <w:tcPr/>
          <w:p>
            <w:pPr>
              <w:pStyle w:val="Compact"/>
              <w:jc w:val="left"/>
            </w:pPr>
            <w:r>
              <w:t xml:space="preserve">Spare key location</w:t>
            </w:r>
          </w:p>
        </w:tc>
        <w:tc>
          <w:tcPr/>
          <w:p>
            <w:pPr>
              <w:pStyle w:val="Compact"/>
              <w:jc w:val="left"/>
            </w:pPr>
            <w:r>
              <w:rPr>
                <w:rStyle w:val="VerbatimChar"/>
              </w:rPr>
              <w:t xml:space="preserve">_______________________________</w:t>
            </w:r>
          </w:p>
        </w:tc>
      </w:tr>
    </w:tbl>
    <w:bookmarkEnd w:id="216"/>
    <w:bookmarkStart w:id="218" w:name="flowchart-symbol-legend-extended"/>
    <w:p>
      <w:pPr>
        <w:pStyle w:val="Heading2"/>
      </w:pPr>
      <w:r>
        <w:t xml:space="preserve">Flowchart Symbol Legend (Extended)</w:t>
      </w:r>
    </w:p>
    <w:tbl>
      <w:tblPr>
        <w:tblStyle w:val="Table"/>
        <w:tblW w:type="pct" w:w="5000"/>
        <w:jc w:val="left"/>
        <w:tblLayout w:type="fixed"/>
        <w:tblLook w:firstRow="1" w:lastRow="0" w:firstColumn="0" w:lastColumn="0" w:noHBand="0" w:noVBand="0" w:val="0020"/>
      </w:tblPr>
      <w:tblGrid>
        <w:gridCol w:w="2754"/>
        <w:gridCol w:w="2066"/>
        <w:gridCol w:w="3099"/>
      </w:tblGrid>
      <w:tr>
        <w:trPr>
          <w:tblHeader w:val="on"/>
        </w:trPr>
        <w:tc>
          <w:tcPr/>
          <w:p>
            <w:pPr>
              <w:pStyle w:val="Compact"/>
              <w:jc w:val="left"/>
            </w:pPr>
            <w:r>
              <w:t xml:space="preserve">Symbol</w:t>
            </w:r>
          </w:p>
        </w:tc>
        <w:tc>
          <w:tcPr/>
          <w:p>
            <w:pPr>
              <w:pStyle w:val="Compact"/>
              <w:jc w:val="left"/>
            </w:pPr>
            <w:r>
              <w:t xml:space="preserve">Name</w:t>
            </w:r>
          </w:p>
        </w:tc>
        <w:tc>
          <w:tcPr/>
          <w:p>
            <w:pPr>
              <w:pStyle w:val="Compact"/>
              <w:jc w:val="left"/>
            </w:pPr>
            <w:r>
              <w:t xml:space="preserve">Meaning</w:t>
            </w:r>
          </w:p>
        </w:tc>
      </w:tr>
      <w:tr>
        <w:tc>
          <w:tcPr/>
          <w:p>
            <w:pPr>
              <w:pStyle w:val="Compact"/>
              <w:jc w:val="left"/>
            </w:pPr>
            <w:r>
              <w:t xml:space="preserve">→</w:t>
            </w:r>
          </w:p>
        </w:tc>
        <w:tc>
          <w:tcPr/>
          <w:p>
            <w:pPr>
              <w:pStyle w:val="Compact"/>
              <w:jc w:val="left"/>
            </w:pPr>
            <w:r>
              <w:t xml:space="preserve">Arrow / flow</w:t>
            </w:r>
          </w:p>
        </w:tc>
        <w:tc>
          <w:tcPr/>
          <w:p>
            <w:pPr>
              <w:pStyle w:val="Compact"/>
              <w:jc w:val="left"/>
            </w:pPr>
            <w:r>
              <w:t xml:space="preserve">Follow this path in the indicated direction</w:t>
            </w:r>
          </w:p>
        </w:tc>
      </w:tr>
      <w:tr>
        <w:tc>
          <w:tcPr/>
          <w:p>
            <w:pPr>
              <w:pStyle w:val="Compact"/>
              <w:jc w:val="left"/>
            </w:pPr>
            <w:r>
              <w:t xml:space="preserve">◆</w:t>
            </w:r>
          </w:p>
        </w:tc>
        <w:tc>
          <w:tcPr/>
          <w:p>
            <w:pPr>
              <w:pStyle w:val="Compact"/>
              <w:jc w:val="left"/>
            </w:pPr>
            <w:r>
              <w:t xml:space="preserve">Decision diamond</w:t>
            </w:r>
          </w:p>
        </w:tc>
        <w:tc>
          <w:tcPr/>
          <w:p>
            <w:pPr>
              <w:pStyle w:val="Compact"/>
              <w:jc w:val="left"/>
            </w:pPr>
            <w:r>
              <w:t xml:space="preserve">A question with two or more possible answers — choose one to proceed</w:t>
            </w:r>
          </w:p>
        </w:tc>
      </w:tr>
      <w:tr>
        <w:tc>
          <w:tcPr/>
          <w:p>
            <w:pPr>
              <w:pStyle w:val="Compact"/>
              <w:jc w:val="left"/>
            </w:pPr>
            <w:r>
              <w:t xml:space="preserve">📍</w:t>
            </w:r>
          </w:p>
        </w:tc>
        <w:tc>
          <w:tcPr/>
          <w:p>
            <w:pPr>
              <w:pStyle w:val="Compact"/>
              <w:jc w:val="left"/>
            </w:pPr>
            <w:r>
              <w:t xml:space="preserve">Destination marker</w:t>
            </w:r>
          </w:p>
        </w:tc>
        <w:tc>
          <w:tcPr/>
          <w:p>
            <w:pPr>
              <w:pStyle w:val="Compact"/>
              <w:jc w:val="left"/>
            </w:pPr>
            <w:r>
              <w:t xml:space="preserve">A shared guide chapter — go there for detailed instructions</w:t>
            </w:r>
          </w:p>
        </w:tc>
      </w:tr>
      <w:tr>
        <w:tc>
          <w:tcPr/>
          <w:p>
            <w:pPr>
              <w:pStyle w:val="Compact"/>
              <w:jc w:val="left"/>
            </w:pPr>
            <w:r>
              <w:t xml:space="preserve">§</w:t>
            </w:r>
          </w:p>
        </w:tc>
        <w:tc>
          <w:tcPr/>
          <w:p>
            <w:pPr>
              <w:pStyle w:val="Compact"/>
              <w:jc w:val="left"/>
            </w:pPr>
            <w:r>
              <w:t xml:space="preserve">Terminus</w:t>
            </w:r>
          </w:p>
        </w:tc>
        <w:tc>
          <w:tcPr/>
          <w:p>
            <w:pPr>
              <w:pStyle w:val="Compact"/>
              <w:jc w:val="left"/>
            </w:pPr>
            <w:r>
              <w:t xml:space="preserve">This path ends. No useful guidance beyond this point. Reconsider.</w:t>
            </w:r>
          </w:p>
        </w:tc>
      </w:tr>
      <w:tr>
        <w:tc>
          <w:tcPr/>
          <w:p>
            <w:pPr>
              <w:pStyle w:val="Compact"/>
              <w:jc w:val="left"/>
            </w:pPr>
            <w:r>
              <w:t xml:space="preserve">🔁</w:t>
            </w:r>
          </w:p>
        </w:tc>
        <w:tc>
          <w:tcPr/>
          <w:p>
            <w:pPr>
              <w:pStyle w:val="Compact"/>
              <w:jc w:val="left"/>
            </w:pPr>
            <w:r>
              <w:t xml:space="preserve">Loop</w:t>
            </w:r>
          </w:p>
        </w:tc>
        <w:tc>
          <w:tcPr/>
          <w:p>
            <w:pPr>
              <w:pStyle w:val="Compact"/>
              <w:jc w:val="left"/>
            </w:pPr>
            <w:r>
              <w:t xml:space="preserve">Return to an earlier point in the flowchart and re-enter from a different path</w:t>
            </w:r>
          </w:p>
        </w:tc>
      </w:tr>
      <w:tr>
        <w:tc>
          <w:tcPr/>
          <w:p>
            <w:pPr>
              <w:pStyle w:val="Compact"/>
              <w:jc w:val="left"/>
            </w:pPr>
            <w:r>
              <w:t xml:space="preserve">✓</w:t>
            </w:r>
          </w:p>
        </w:tc>
        <w:tc>
          <w:tcPr/>
          <w:p>
            <w:pPr>
              <w:pStyle w:val="Compact"/>
              <w:jc w:val="left"/>
            </w:pPr>
            <w:r>
              <w:t xml:space="preserve">Checkpoint</w:t>
            </w:r>
          </w:p>
        </w:tc>
        <w:tc>
          <w:tcPr/>
          <w:p>
            <w:pPr>
              <w:pStyle w:val="Compact"/>
              <w:jc w:val="left"/>
            </w:pPr>
            <w:r>
              <w:t xml:space="preserve">Verify a condition before proceeding</w:t>
            </w:r>
          </w:p>
        </w:tc>
      </w:tr>
      <w:tr>
        <w:tc>
          <w:tcPr/>
          <w:p>
            <w:pPr>
              <w:pStyle w:val="Compact"/>
              <w:jc w:val="left"/>
            </w:pPr>
            <w:r>
              <w:t xml:space="preserve">⚠</w:t>
            </w:r>
          </w:p>
        </w:tc>
        <w:tc>
          <w:tcPr/>
          <w:p>
            <w:pPr>
              <w:pStyle w:val="Compact"/>
              <w:jc w:val="left"/>
            </w:pPr>
            <w:r>
              <w:t xml:space="preserve">Warning</w:t>
            </w:r>
          </w:p>
        </w:tc>
        <w:tc>
          <w:tcPr/>
          <w:p>
            <w:pPr>
              <w:pStyle w:val="Compact"/>
              <w:jc w:val="left"/>
            </w:pPr>
            <w:r>
              <w:t xml:space="preserve">Critical safety note — do not skip</w:t>
            </w:r>
          </w:p>
        </w:tc>
      </w:tr>
      <w:tr>
        <w:tc>
          <w:tcPr/>
          <w:p>
            <w:pPr>
              <w:pStyle w:val="Compact"/>
              <w:jc w:val="left"/>
            </w:pPr>
            <w:r>
              <w:t xml:space="preserve">💡</w:t>
            </w:r>
          </w:p>
        </w:tc>
        <w:tc>
          <w:tcPr/>
          <w:p>
            <w:pPr>
              <w:pStyle w:val="Compact"/>
              <w:jc w:val="left"/>
            </w:pPr>
            <w:r>
              <w:t xml:space="preserve">Tip</w:t>
            </w:r>
          </w:p>
        </w:tc>
        <w:tc>
          <w:tcPr/>
          <w:p>
            <w:pPr>
              <w:pStyle w:val="Compact"/>
              <w:jc w:val="left"/>
            </w:pPr>
            <w:r>
              <w:t xml:space="preserve">Optional but helpful advice</w:t>
            </w:r>
          </w:p>
        </w:tc>
      </w:tr>
      <w:tr>
        <w:tc>
          <w:tcPr/>
          <w:p>
            <w:pPr>
              <w:pStyle w:val="Compact"/>
              <w:jc w:val="left"/>
            </w:pPr>
            <w:r>
              <w:rPr>
                <w:rStyle w:val="VerbatimChar"/>
              </w:rPr>
              <w:t xml:space="preserve">$...$</w:t>
            </w:r>
          </w:p>
        </w:tc>
        <w:tc>
          <w:tcPr/>
          <w:p>
            <w:pPr>
              <w:pStyle w:val="Compact"/>
              <w:jc w:val="left"/>
            </w:pPr>
            <w:r>
              <w:t xml:space="preserve">Inline math</w:t>
            </w:r>
          </w:p>
        </w:tc>
        <w:tc>
          <w:tcPr/>
          <w:p>
            <w:pPr>
              <w:pStyle w:val="Compact"/>
              <w:jc w:val="left"/>
            </w:pPr>
            <w:r>
              <w:t xml:space="preserve">A formula within text — skip if not needed, plain explanation follows</w:t>
            </w:r>
          </w:p>
        </w:tc>
      </w:tr>
      <w:tr>
        <w:tc>
          <w:tcPr/>
          <w:p>
            <w:pPr>
              <w:pStyle w:val="Compact"/>
              <w:jc w:val="left"/>
            </w:pPr>
            <w:r>
              <w:rPr>
                <w:rStyle w:val="VerbatimChar"/>
              </w:rPr>
              <w:t xml:space="preserve">$$...$$</w:t>
            </w:r>
          </w:p>
        </w:tc>
        <w:tc>
          <w:tcPr/>
          <w:p>
            <w:pPr>
              <w:pStyle w:val="Compact"/>
              <w:jc w:val="left"/>
            </w:pPr>
            <w:r>
              <w:t xml:space="preserve">Display math</w:t>
            </w:r>
          </w:p>
        </w:tc>
        <w:tc>
          <w:tcPr/>
          <w:p>
            <w:pPr>
              <w:pStyle w:val="Compact"/>
              <w:jc w:val="left"/>
            </w:pPr>
            <w:r>
              <w:t xml:space="preserve">A standalone formula — same rule, skip-friendly</w:t>
            </w:r>
          </w:p>
        </w:tc>
      </w:tr>
      <w:tr>
        <w:tc>
          <w:tcPr/>
          <w:p>
            <w:pPr>
              <w:pStyle w:val="Compact"/>
              <w:jc w:val="left"/>
            </w:pPr>
            <w:r>
              <w:rPr>
                <w:rStyle w:val="VerbatimChar"/>
              </w:rPr>
              <w:t xml:space="preserve">[^n]</w:t>
            </w:r>
          </w:p>
        </w:tc>
        <w:tc>
          <w:tcPr/>
          <w:p>
            <w:pPr>
              <w:pStyle w:val="Compact"/>
              <w:jc w:val="left"/>
            </w:pPr>
            <w:r>
              <w:t xml:space="preserve">Footnote</w:t>
            </w:r>
          </w:p>
        </w:tc>
        <w:tc>
          <w:tcPr/>
          <w:p>
            <w:pPr>
              <w:pStyle w:val="Compact"/>
              <w:jc w:val="left"/>
            </w:pPr>
            <w:r>
              <w:t xml:space="preserve">Additional source or context — read if curious, skip if not</w:t>
            </w:r>
          </w:p>
        </w:tc>
      </w:tr>
    </w:tbl>
    <w:bookmarkStart w:id="217" w:name="color-coding"/>
    <w:p>
      <w:pPr>
        <w:pStyle w:val="Heading3"/>
      </w:pPr>
      <w:r>
        <w:t xml:space="preserve">Color Coding</w:t>
      </w:r>
    </w:p>
    <w:tbl>
      <w:tblPr>
        <w:tblStyle w:val="Table"/>
        <w:tblW w:type="pct" w:w="5000"/>
        <w:jc w:val="left"/>
        <w:tblLayout w:type="fixed"/>
        <w:tblLook w:firstRow="1" w:lastRow="0" w:firstColumn="0" w:lastColumn="0" w:noHBand="0" w:noVBand="0" w:val="0020"/>
      </w:tblPr>
      <w:tblGrid>
        <w:gridCol w:w="2053"/>
        <w:gridCol w:w="3226"/>
        <w:gridCol w:w="2640"/>
      </w:tblGrid>
      <w:tr>
        <w:trPr>
          <w:tblHeader w:val="on"/>
        </w:trPr>
        <w:tc>
          <w:tcPr/>
          <w:p>
            <w:pPr>
              <w:pStyle w:val="Compact"/>
              <w:jc w:val="left"/>
            </w:pPr>
            <w:r>
              <w:t xml:space="preserve">Color</w:t>
            </w:r>
          </w:p>
        </w:tc>
        <w:tc>
          <w:tcPr/>
          <w:p>
            <w:pPr>
              <w:pStyle w:val="Compact"/>
              <w:jc w:val="left"/>
            </w:pPr>
            <w:r>
              <w:t xml:space="preserve">Represents</w:t>
            </w:r>
          </w:p>
        </w:tc>
        <w:tc>
          <w:tcPr/>
          <w:p>
            <w:pPr>
              <w:pStyle w:val="Compact"/>
              <w:jc w:val="left"/>
            </w:pPr>
            <w:r>
              <w:t xml:space="preserve">Used for</w:t>
            </w:r>
          </w:p>
        </w:tc>
      </w:tr>
      <w:tr>
        <w:tc>
          <w:tcPr/>
          <w:p>
            <w:pPr>
              <w:pStyle w:val="Compact"/>
              <w:jc w:val="left"/>
            </w:pPr>
            <w:r>
              <w:t xml:space="preserve">Math blue</w:t>
            </w:r>
          </w:p>
        </w:tc>
        <w:tc>
          <w:tcPr/>
          <w:p>
            <w:pPr>
              <w:pStyle w:val="Compact"/>
              <w:jc w:val="left"/>
            </w:pPr>
            <w:r>
              <w:t xml:space="preserve">Primary paths, main headings</w:t>
            </w:r>
          </w:p>
        </w:tc>
        <w:tc>
          <w:tcPr/>
          <w:p>
            <w:pPr>
              <w:pStyle w:val="Compact"/>
              <w:jc w:val="left"/>
            </w:pPr>
            <w:r>
              <w:t xml:space="preserve">Default reading flow</w:t>
            </w:r>
          </w:p>
        </w:tc>
      </w:tr>
      <w:tr>
        <w:tc>
          <w:tcPr/>
          <w:p>
            <w:pPr>
              <w:pStyle w:val="Compact"/>
              <w:jc w:val="left"/>
            </w:pPr>
            <w:r>
              <w:t xml:space="preserve">Pure white</w:t>
            </w:r>
          </w:p>
        </w:tc>
        <w:tc>
          <w:tcPr/>
          <w:p>
            <w:pPr>
              <w:pStyle w:val="Compact"/>
              <w:jc w:val="left"/>
            </w:pPr>
            <w:r>
              <w:t xml:space="preserve">Background, breathing room</w:t>
            </w:r>
          </w:p>
        </w:tc>
        <w:tc>
          <w:tcPr/>
          <w:p>
            <w:pPr>
              <w:pStyle w:val="Compact"/>
              <w:jc w:val="left"/>
            </w:pPr>
            <w:r>
              <w:t xml:space="preserve">Pages, decision spaces</w:t>
            </w:r>
          </w:p>
        </w:tc>
      </w:tr>
      <w:tr>
        <w:tc>
          <w:tcPr/>
          <w:p>
            <w:pPr>
              <w:pStyle w:val="Compact"/>
              <w:jc w:val="left"/>
            </w:pPr>
            <w:r>
              <w:t xml:space="preserve">Green</w:t>
            </w:r>
          </w:p>
        </w:tc>
        <w:tc>
          <w:tcPr/>
          <w:p>
            <w:pPr>
              <w:pStyle w:val="Compact"/>
              <w:jc w:val="left"/>
            </w:pPr>
            <w:r>
              <w:t xml:space="preserve">Safe / calm destinations</w:t>
            </w:r>
          </w:p>
        </w:tc>
        <w:tc>
          <w:tcPr/>
          <w:p>
            <w:pPr>
              <w:pStyle w:val="Compact"/>
              <w:jc w:val="left"/>
            </w:pPr>
            <w:r>
              <w:t xml:space="preserve">Calm Guide references</w:t>
            </w:r>
          </w:p>
        </w:tc>
      </w:tr>
      <w:tr>
        <w:tc>
          <w:tcPr/>
          <w:p>
            <w:pPr>
              <w:pStyle w:val="Compact"/>
              <w:jc w:val="left"/>
            </w:pPr>
            <w:r>
              <w:t xml:space="preserve">Red</w:t>
            </w:r>
          </w:p>
        </w:tc>
        <w:tc>
          <w:tcPr/>
          <w:p>
            <w:pPr>
              <w:pStyle w:val="Compact"/>
              <w:jc w:val="left"/>
            </w:pPr>
            <w:r>
              <w:t xml:space="preserve">Urgent / danger routes</w:t>
            </w:r>
          </w:p>
        </w:tc>
        <w:tc>
          <w:tcPr/>
          <w:p>
            <w:pPr>
              <w:pStyle w:val="Compact"/>
              <w:jc w:val="left"/>
            </w:pPr>
            <w:r>
              <w:t xml:space="preserve">Emergency calls, life-threat alerts</w:t>
            </w:r>
          </w:p>
        </w:tc>
      </w:tr>
      <w:tr>
        <w:tc>
          <w:tcPr/>
          <w:p>
            <w:pPr>
              <w:pStyle w:val="Compact"/>
              <w:jc w:val="left"/>
            </w:pPr>
            <w:r>
              <w:t xml:space="preserve">Orange</w:t>
            </w:r>
          </w:p>
        </w:tc>
        <w:tc>
          <w:tcPr/>
          <w:p>
            <w:pPr>
              <w:pStyle w:val="Compact"/>
              <w:jc w:val="left"/>
            </w:pPr>
            <w:r>
              <w:t xml:space="preserve">Caution / decision points</w:t>
            </w:r>
          </w:p>
        </w:tc>
        <w:tc>
          <w:tcPr/>
          <w:p>
            <w:pPr>
              <w:pStyle w:val="Compact"/>
              <w:jc w:val="left"/>
            </w:pPr>
            <w:r>
              <w:t xml:space="preserve">◆ Decision diamonds</w:t>
            </w:r>
          </w:p>
        </w:tc>
      </w:tr>
      <w:tr>
        <w:tc>
          <w:tcPr/>
          <w:p>
            <w:pPr>
              <w:pStyle w:val="Compact"/>
              <w:jc w:val="left"/>
            </w:pPr>
            <w:r>
              <w:t xml:space="preserve">Purple</w:t>
            </w:r>
          </w:p>
        </w:tc>
        <w:tc>
          <w:tcPr/>
          <w:p>
            <w:pPr>
              <w:pStyle w:val="Compact"/>
              <w:jc w:val="left"/>
            </w:pPr>
            <w:r>
              <w:t xml:space="preserve">Zombie / speculative paths</w:t>
            </w:r>
          </w:p>
        </w:tc>
        <w:tc>
          <w:tcPr/>
          <w:p>
            <w:pPr>
              <w:pStyle w:val="Compact"/>
              <w:jc w:val="left"/>
            </w:pPr>
            <w:r>
              <w:t xml:space="preserve">Zombie Guide references</w:t>
            </w:r>
          </w:p>
        </w:tc>
      </w:tr>
      <w:tr>
        <w:tc>
          <w:tcPr/>
          <w:p>
            <w:pPr>
              <w:pStyle w:val="Compact"/>
              <w:jc w:val="left"/>
            </w:pPr>
            <w:r>
              <w:t xml:space="preserve">Gray</w:t>
            </w:r>
          </w:p>
        </w:tc>
        <w:tc>
          <w:tcPr/>
          <w:p>
            <w:pPr>
              <w:pStyle w:val="Compact"/>
              <w:jc w:val="left"/>
            </w:pPr>
            <w:r>
              <w:t xml:space="preserve">Supplementary / optional</w:t>
            </w:r>
          </w:p>
        </w:tc>
        <w:tc>
          <w:tcPr/>
          <w:p>
            <w:pPr>
              <w:pStyle w:val="Compact"/>
              <w:jc w:val="left"/>
            </w:pPr>
            <w:r>
              <w:t xml:space="preserve">Tips, notes, fillable fields</w:t>
            </w:r>
          </w:p>
        </w:tc>
      </w:tr>
      <w:tr>
        <w:tc>
          <w:tcPr/>
          <w:p>
            <w:pPr>
              <w:pStyle w:val="Compact"/>
              <w:jc w:val="left"/>
            </w:pPr>
            <w:r>
              <w:t xml:space="preserve">Cyan</w:t>
            </w:r>
          </w:p>
        </w:tc>
        <w:tc>
          <w:tcPr/>
          <w:p>
            <w:pPr>
              <w:pStyle w:val="Compact"/>
              <w:jc w:val="left"/>
            </w:pPr>
            <w:r>
              <w:t xml:space="preserve">Scientific / mathematical</w:t>
            </w:r>
          </w:p>
        </w:tc>
        <w:tc>
          <w:tcPr/>
          <w:p>
            <w:pPr>
              <w:pStyle w:val="Compact"/>
              <w:jc w:val="left"/>
            </w:pPr>
            <w:r>
              <w:t xml:space="preserve">Formulas, data tables, research citations</w:t>
            </w:r>
          </w:p>
        </w:tc>
      </w:tr>
    </w:tbl>
    <w:bookmarkEnd w:id="217"/>
    <w:bookmarkEnd w:id="218"/>
    <w:bookmarkStart w:id="219" w:name="the-complete-decision-tree-text-version"/>
    <w:p>
      <w:pPr>
        <w:pStyle w:val="Heading2"/>
      </w:pPr>
      <w:r>
        <w:t xml:space="preserve">The Complete Decision Tree (Text Version)</w:t>
      </w:r>
    </w:p>
    <w:p>
      <w:pPr>
        <w:pStyle w:val="FirstParagraph"/>
      </w:pPr>
      <w:r>
        <w:t xml:space="preserve">For when you can’t read the visual flowchart (low light, visual impairment, or the diagram got coffee on it), here’s the entire guide compressed into a single navigable text tree:</w:t>
      </w:r>
    </w:p>
    <w:p>
      <w:pPr>
        <w:pStyle w:val="SourceCode"/>
      </w:pPr>
      <w:r>
        <w:rPr>
          <w:rStyle w:val="VerbatimChar"/>
        </w:rPr>
        <w:t xml:space="preserve">BATHROOM EMERGENCY GUIDE — MASTER TREE (v3.2)</w:t>
      </w:r>
      <w:r>
        <w:br/>
      </w:r>
      <w:r>
        <w:rPr>
          <w:rStyle w:val="VerbatimChar"/>
        </w:rPr>
        <w:t xml:space="preserve">═══════════════════════════════════════════════</w:t>
      </w:r>
      <w:r>
        <w:br/>
      </w:r>
      <w:r>
        <w:br/>
      </w:r>
      <w:r>
        <w:rPr>
          <w:rStyle w:val="VerbatimChar"/>
        </w:rPr>
        <w:t xml:space="preserve">1. WHAT BROUGHT YOU HERE?</w:t>
      </w:r>
      <w:r>
        <w:br/>
      </w:r>
      <w:r>
        <w:rPr>
          <w:rStyle w:val="VerbatimChar"/>
        </w:rPr>
        <w:t xml:space="preserve">   ├── A: CAUSED TROUBLE (involving a life/entity)</w:t>
      </w:r>
      <w:r>
        <w:br/>
      </w:r>
      <w:r>
        <w:rPr>
          <w:rStyle w:val="VerbatimChar"/>
        </w:rPr>
        <w:t xml:space="preserve">   │   ├── Step 1: Biological or Silicon?</w:t>
      </w:r>
      <w:r>
        <w:br/>
      </w:r>
      <w:r>
        <w:rPr>
          <w:rStyle w:val="VerbatimChar"/>
        </w:rPr>
        <w:t xml:space="preserve">   │   │   ├── Silicon → Escaped? → BSI / talk to host / → see Bio</w:t>
      </w:r>
      <w:r>
        <w:br/>
      </w:r>
      <w:r>
        <w:rPr>
          <w:rStyle w:val="VerbatimChar"/>
        </w:rPr>
        <w:t xml:space="preserve">   │   │   └── Biological → Step 2</w:t>
      </w:r>
      <w:r>
        <w:br/>
      </w:r>
      <w:r>
        <w:rPr>
          <w:rStyle w:val="VerbatimChar"/>
        </w:rPr>
        <w:t xml:space="preserve">   │   ├── A1: Not geschlüpft → medical support + → Prof. Support §14.4</w:t>
      </w:r>
      <w:r>
        <w:br/>
      </w:r>
      <w:r>
        <w:rPr>
          <w:rStyle w:val="VerbatimChar"/>
        </w:rPr>
        <w:t xml:space="preserve">   │   │   └── Gestation milestones: 4w/8w/12w/20w/24w/28w/32w/37w+</w:t>
      </w:r>
      <w:r>
        <w:br/>
      </w:r>
      <w:r>
        <w:rPr>
          <w:rStyle w:val="VerbatimChar"/>
        </w:rPr>
        <w:t xml:space="preserve">   │   ├── A2: Geschlüpft, minutes ago</w:t>
      </w:r>
      <w:r>
        <w:br/>
      </w:r>
      <w:r>
        <w:rPr>
          <w:rStyle w:val="VerbatimChar"/>
        </w:rPr>
        <w:t xml:space="preserve">   │   │   ├── Post-apocalypse → → Zombie Guide</w:t>
      </w:r>
      <w:r>
        <w:br/>
      </w:r>
      <w:r>
        <w:rPr>
          <w:rStyle w:val="VerbatimChar"/>
        </w:rPr>
        <w:t xml:space="preserve">   │   │   └── Pre-apocalypse → 110 / find humans / → Self Ambulance</w:t>
      </w:r>
      <w:r>
        <w:br/>
      </w:r>
      <w:r>
        <w:rPr>
          <w:rStyle w:val="VerbatimChar"/>
        </w:rPr>
        <w:t xml:space="preserve">   │   ├── A3: Geschlüpft, days ago → medical + ethical → Prof. Support §14.4, §14.2</w:t>
      </w:r>
      <w:r>
        <w:br/>
      </w:r>
      <w:r>
        <w:rPr>
          <w:rStyle w:val="VerbatimChar"/>
        </w:rPr>
        <w:t xml:space="preserve">   │   ├── A4: &lt;10 years → state support + development guide → Prof. Support §14.5 + → Calm</w:t>
      </w:r>
      <w:r>
        <w:br/>
      </w:r>
      <w:r>
        <w:rPr>
          <w:rStyle w:val="VerbatimChar"/>
        </w:rPr>
        <w:t xml:space="preserve">   │   │   └── WHO milestones: sit ~6mo, walk ~12mo, vocab ~200w@24mo</w:t>
      </w:r>
      <w:r>
        <w:br/>
      </w:r>
      <w:r>
        <w:rPr>
          <w:rStyle w:val="VerbatimChar"/>
        </w:rPr>
        <w:t xml:space="preserve">   │   ├── A5: &gt;20 years → grow up pls / → Calm</w:t>
      </w:r>
      <w:r>
        <w:br/>
      </w:r>
      <w:r>
        <w:rPr>
          <w:rStyle w:val="VerbatimChar"/>
        </w:rPr>
        <w:t xml:space="preserve">   │   ├── A6: Ambiguous</w:t>
      </w:r>
      <w:r>
        <w:br/>
      </w:r>
      <w:r>
        <w:rPr>
          <w:rStyle w:val="VerbatimChar"/>
        </w:rPr>
        <w:t xml:space="preserve">   │   │   ├── (a) Don't want to but will → → Calm + → Prof. Support</w:t>
      </w:r>
      <w:r>
        <w:br/>
      </w:r>
      <w:r>
        <w:rPr>
          <w:rStyle w:val="VerbatimChar"/>
        </w:rPr>
        <w:t xml:space="preserve">   │   │   └── (b) Want to but can't → money/medical/reproduction → Prof. Support §14.4, §14.5</w:t>
      </w:r>
      <w:r>
        <w:br/>
      </w:r>
      <w:r>
        <w:rPr>
          <w:rStyle w:val="VerbatimChar"/>
        </w:rPr>
        <w:t xml:space="preserve">   │   ├── A7: Harmed/ended life</w:t>
      </w:r>
      <w:r>
        <w:br/>
      </w:r>
      <w:r>
        <w:rPr>
          <w:rStyle w:val="VerbatimChar"/>
        </w:rPr>
        <w:t xml:space="preserve">   │   │   ├── Self-defense → §32 StGB (4 elements) + → Prof. Support §14.3 + → Calm</w:t>
      </w:r>
      <w:r>
        <w:br/>
      </w:r>
      <w:r>
        <w:rPr>
          <w:rStyle w:val="VerbatimChar"/>
        </w:rPr>
        <w:t xml:space="preserve">   │   │   ├── Accident → → Self Ambulance + find humans + → Calm</w:t>
      </w:r>
      <w:r>
        <w:br/>
      </w:r>
      <w:r>
        <w:rPr>
          <w:rStyle w:val="VerbatimChar"/>
        </w:rPr>
        <w:t xml:space="preserve">   │   │   └── For fun/profit → §</w:t>
      </w:r>
      <w:r>
        <w:br/>
      </w:r>
      <w:r>
        <w:rPr>
          <w:rStyle w:val="VerbatimChar"/>
        </w:rPr>
        <w:t xml:space="preserve">   │   └── A8: Managing responsibility → → Calm + → Prof. Support §14.3, §14.2</w:t>
      </w:r>
      <w:r>
        <w:br/>
      </w:r>
      <w:r>
        <w:rPr>
          <w:rStyle w:val="VerbatimChar"/>
        </w:rPr>
        <w:t xml:space="preserve">   │</w:t>
      </w:r>
      <w:r>
        <w:br/>
      </w:r>
      <w:r>
        <w:rPr>
          <w:rStyle w:val="VerbatimChar"/>
        </w:rPr>
        <w:t xml:space="preserve">   ├── B: FEEL ANXIOUS</w:t>
      </w:r>
      <w:r>
        <w:br/>
      </w:r>
      <w:r>
        <w:rPr>
          <w:rStyle w:val="VerbatimChar"/>
        </w:rPr>
        <w:t xml:space="preserve">   │   ├── B1: Acute → → Calm</w:t>
      </w:r>
      <w:r>
        <w:br/>
      </w:r>
      <w:r>
        <w:rPr>
          <w:rStyle w:val="VerbatimChar"/>
        </w:rPr>
        <w:t xml:space="preserve">   │   ├── B2: General → → Prof. Support §14.2</w:t>
      </w:r>
      <w:r>
        <w:br/>
      </w:r>
      <w:r>
        <w:rPr>
          <w:rStyle w:val="VerbatimChar"/>
        </w:rPr>
        <w:t xml:space="preserve">   │   ├── B3: Worried about… → friends/self/past/future → → Calm + → Prof. Support §14.2</w:t>
      </w:r>
      <w:r>
        <w:br/>
      </w:r>
      <w:r>
        <w:rPr>
          <w:rStyle w:val="VerbatimChar"/>
        </w:rPr>
        <w:t xml:space="preserve">   │   └── GAD-7: 0-4 minimal, 5-9 mild, 10-14 moderate, 15-21 severe</w:t>
      </w:r>
      <w:r>
        <w:br/>
      </w:r>
      <w:r>
        <w:rPr>
          <w:rStyle w:val="VerbatimChar"/>
        </w:rPr>
        <w:t xml:space="preserve">   │</w:t>
      </w:r>
      <w:r>
        <w:br/>
      </w:r>
      <w:r>
        <w:rPr>
          <w:rStyle w:val="VerbatimChar"/>
        </w:rPr>
        <w:t xml:space="preserve">   ├── C: FEEL PAIN</w:t>
      </w:r>
      <w:r>
        <w:br/>
      </w:r>
      <w:r>
        <w:rPr>
          <w:rStyle w:val="VerbatimChar"/>
        </w:rPr>
        <w:t xml:space="preserve">   │   ├── C1: Physical → → Self Ambulance</w:t>
      </w:r>
      <w:r>
        <w:br/>
      </w:r>
      <w:r>
        <w:rPr>
          <w:rStyle w:val="VerbatimChar"/>
        </w:rPr>
        <w:t xml:space="preserve">   │   ├── C2: Psychological → → Calm (+ → Prof. Support §14.2)</w:t>
      </w:r>
      <w:r>
        <w:br/>
      </w:r>
      <w:r>
        <w:rPr>
          <w:rStyle w:val="VerbatimChar"/>
        </w:rPr>
        <w:t xml:space="preserve">   │   └── NRS: 0-3 mild, 4-6 moderate, 7-9 severe, 10 emergency</w:t>
      </w:r>
      <w:r>
        <w:br/>
      </w:r>
      <w:r>
        <w:rPr>
          <w:rStyle w:val="VerbatimChar"/>
        </w:rPr>
        <w:t xml:space="preserve">   │</w:t>
      </w:r>
      <w:r>
        <w:br/>
      </w:r>
      <w:r>
        <w:rPr>
          <w:rStyle w:val="VerbatimChar"/>
        </w:rPr>
        <w:t xml:space="preserve">   ├── D: FEEL ENDANGERED</w:t>
      </w:r>
      <w:r>
        <w:br/>
      </w:r>
      <w:r>
        <w:rPr>
          <w:rStyle w:val="VerbatimChar"/>
        </w:rPr>
        <w:t xml:space="preserve">   │   ├── Imminent → 110/112 FIRST</w:t>
      </w:r>
      <w:r>
        <w:br/>
      </w:r>
      <w:r>
        <w:rPr>
          <w:rStyle w:val="VerbatimChar"/>
        </w:rPr>
        <w:t xml:space="preserve">   │   ├── Stabilized → → Prof. Support §14.3, §14.2 + → Calm</w:t>
      </w:r>
      <w:r>
        <w:br/>
      </w:r>
      <w:r>
        <w:rPr>
          <w:rStyle w:val="VerbatimChar"/>
        </w:rPr>
        <w:t xml:space="preserve">   │   └── Stress response: C(t) = C₀·e^(-λt), t½ ≈ 75 min</w:t>
      </w:r>
      <w:r>
        <w:br/>
      </w:r>
      <w:r>
        <w:rPr>
          <w:rStyle w:val="VerbatimChar"/>
        </w:rPr>
        <w:t xml:space="preserve">   │</w:t>
      </w:r>
      <w:r>
        <w:br/>
      </w:r>
      <w:r>
        <w:rPr>
          <w:rStyle w:val="VerbatimChar"/>
        </w:rPr>
        <w:t xml:space="preserve">   ├── E: THINGS CONGESTING → → Self Ambulance → → Calm → (→ Prof. Support §14.2)</w:t>
      </w:r>
      <w:r>
        <w:br/>
      </w:r>
      <w:r>
        <w:rPr>
          <w:rStyle w:val="VerbatimChar"/>
        </w:rPr>
        <w:t xml:space="preserve">   │   └── Cognitive load: 7±2 items (Miller), 4±1 chunks (Cowan)</w:t>
      </w:r>
      <w:r>
        <w:br/>
      </w:r>
      <w:r>
        <w:rPr>
          <w:rStyle w:val="VerbatimChar"/>
        </w:rPr>
        <w:t xml:space="preserve">   │</w:t>
      </w:r>
      <w:r>
        <w:br/>
      </w:r>
      <w:r>
        <w:rPr>
          <w:rStyle w:val="VerbatimChar"/>
        </w:rPr>
        <w:t xml:space="preserve">   ├── F: BAD SMELL → SO₂ (matches) → scent → ventilate → (→ Calm minor)</w:t>
      </w:r>
      <w:r>
        <w:br/>
      </w:r>
      <w:r>
        <w:rPr>
          <w:rStyle w:val="VerbatimChar"/>
        </w:rPr>
        <w:t xml:space="preserve">   │</w:t>
      </w:r>
      <w:r>
        <w:br/>
      </w:r>
      <w:r>
        <w:rPr>
          <w:rStyle w:val="VerbatimChar"/>
        </w:rPr>
        <w:t xml:space="preserve">   └── G: NO PLACE TO GO → hotlines → local initiatives → → Prof. Support §14.2, §14.5 + → Calm</w:t>
      </w:r>
      <w:r>
        <w:br/>
      </w:r>
      <w:r>
        <w:br/>
      </w:r>
      <w:r>
        <w:br/>
      </w:r>
      <w:r>
        <w:rPr>
          <w:rStyle w:val="VerbatimChar"/>
        </w:rPr>
        <w:t xml:space="preserve">DESTINATION GUIDES</w:t>
      </w:r>
      <w:r>
        <w:br/>
      </w:r>
      <w:r>
        <w:rPr>
          <w:rStyle w:val="VerbatimChar"/>
        </w:rPr>
        <w:t xml:space="preserve">═══════════════════</w:t>
      </w:r>
      <w:r>
        <w:br/>
      </w:r>
      <w:r>
        <w:br/>
      </w:r>
      <w:r>
        <w:rPr>
          <w:rStyle w:val="VerbatimChar"/>
        </w:rPr>
        <w:t xml:space="preserve">📍 CALM GUIDE (Ch.4)</w:t>
      </w:r>
      <w:r>
        <w:br/>
      </w:r>
      <w:r>
        <w:rPr>
          <w:rStyle w:val="VerbatimChar"/>
        </w:rPr>
        <w:t xml:space="preserve">   ├── 4.1: You're allowed to be here (10-min Me Time; t_reset ≈ 10min)</w:t>
      </w:r>
      <w:r>
        <w:br/>
      </w:r>
      <w:r>
        <w:rPr>
          <w:rStyle w:val="VerbatimChar"/>
        </w:rPr>
        <w:t xml:space="preserve">   ├── 4.2: Breathing (Box / 4-7-8 / Physiological Sigh)</w:t>
      </w:r>
      <w:r>
        <w:br/>
      </w:r>
      <w:r>
        <w:rPr>
          <w:rStyle w:val="VerbatimChar"/>
        </w:rPr>
        <w:t xml:space="preserve">   │         Stress decay: C(t) = C₀·e^(-λt)</w:t>
      </w:r>
      <w:r>
        <w:br/>
      </w:r>
      <w:r>
        <w:rPr>
          <w:rStyle w:val="VerbatimChar"/>
        </w:rPr>
        <w:t xml:space="preserve">   │         HRV = SD_RR / RR_mean</w:t>
      </w:r>
      <w:r>
        <w:br/>
      </w:r>
      <w:r>
        <w:rPr>
          <w:rStyle w:val="VerbatimChar"/>
        </w:rPr>
        <w:t xml:space="preserve">   ├── 4.3: Comfort inventory (dopamine + oxytocin mechanisms)</w:t>
      </w:r>
      <w:r>
        <w:br/>
      </w:r>
      <w:r>
        <w:rPr>
          <w:rStyle w:val="VerbatimChar"/>
        </w:rPr>
        <w:t xml:space="preserve">   ├── 4.4: Eventually: leaving the bathroom</w:t>
      </w:r>
      <w:r>
        <w:br/>
      </w:r>
      <w:r>
        <w:rPr>
          <w:rStyle w:val="VerbatimChar"/>
        </w:rPr>
        <w:t xml:space="preserve">   └── 4.5: Seek help now or afterwards</w:t>
      </w:r>
      <w:r>
        <w:br/>
      </w:r>
      <w:r>
        <w:br/>
      </w:r>
      <w:r>
        <w:rPr>
          <w:rStyle w:val="VerbatimChar"/>
        </w:rPr>
        <w:t xml:space="preserve">📍 SELF AMBULANCE GUIDE (Ch.5)</w:t>
      </w:r>
      <w:r>
        <w:br/>
      </w:r>
      <w:r>
        <w:rPr>
          <w:rStyle w:val="VerbatimChar"/>
        </w:rPr>
        <w:t xml:space="preserve">   ├── 5.1: Life-threatening? → 112</w:t>
      </w:r>
      <w:r>
        <w:br/>
      </w:r>
      <w:r>
        <w:rPr>
          <w:rStyle w:val="VerbatimChar"/>
        </w:rPr>
        <w:t xml:space="preserve">   │         Bayes' triage: P(critical|signs)</w:t>
      </w:r>
      <w:r>
        <w:br/>
      </w:r>
      <w:r>
        <w:rPr>
          <w:rStyle w:val="VerbatimChar"/>
        </w:rPr>
        <w:t xml:space="preserve">   ├── 5.2: First aid quick ref (wounds/burns/fractures/vitals)</w:t>
      </w:r>
      <w:r>
        <w:br/>
      </w:r>
      <w:r>
        <w:rPr>
          <w:rStyle w:val="VerbatimChar"/>
        </w:rPr>
        <w:t xml:space="preserve">   │         Vitals: HR∈[60,100], RR∈[12,20], SpO₂∈[95,100], BP&lt;120/80</w:t>
      </w:r>
      <w:r>
        <w:br/>
      </w:r>
      <w:r>
        <w:rPr>
          <w:rStyle w:val="VerbatimChar"/>
        </w:rPr>
        <w:t xml:space="preserve">   │         FAST stroke: t_treatment &lt; 4.5h</w:t>
      </w:r>
      <w:r>
        <w:br/>
      </w:r>
      <w:r>
        <w:rPr>
          <w:rStyle w:val="VerbatimChar"/>
        </w:rPr>
        <w:t xml:space="preserve">   │         Burns: Lund-Browder chart for TBSA%</w:t>
      </w:r>
      <w:r>
        <w:br/>
      </w:r>
      <w:r>
        <w:rPr>
          <w:rStyle w:val="VerbatimChar"/>
        </w:rPr>
        <w:t xml:space="preserve">   ├── 5.3: When to call for help</w:t>
      </w:r>
      <w:r>
        <w:br/>
      </w:r>
      <w:r>
        <w:rPr>
          <w:rStyle w:val="VerbatimChar"/>
        </w:rPr>
        <w:t xml:space="preserve">   ├── 5.4: Self-care while waiting</w:t>
      </w:r>
      <w:r>
        <w:br/>
      </w:r>
      <w:r>
        <w:rPr>
          <w:rStyle w:val="VerbatimChar"/>
        </w:rPr>
        <w:t xml:space="preserve">   └── 5.5: Non-physical emergencies (5-4-3-2-1 grounding)</w:t>
      </w:r>
      <w:r>
        <w:br/>
      </w:r>
      <w:r>
        <w:br/>
      </w:r>
      <w:r>
        <w:rPr>
          <w:rStyle w:val="VerbatimChar"/>
        </w:rPr>
        <w:t xml:space="preserve">📍 ZOMBIE GUIDE (Ch.6)</w:t>
      </w:r>
      <w:r>
        <w:br/>
      </w:r>
      <w:r>
        <w:rPr>
          <w:rStyle w:val="VerbatimChar"/>
        </w:rPr>
        <w:t xml:space="preserve">   ├── 6.1: Survival (water/food/shelter/traces/energy/hygiene)</w:t>
      </w:r>
      <w:r>
        <w:br/>
      </w:r>
      <w:r>
        <w:rPr>
          <w:rStyle w:val="VerbatimChar"/>
        </w:rPr>
        <w:t xml:space="preserve">   │         P(survive,t) = e^(-λt), W = n·3L/day</w:t>
      </w:r>
      <w:r>
        <w:br/>
      </w:r>
      <w:r>
        <w:rPr>
          <w:rStyle w:val="VerbatimChar"/>
        </w:rPr>
        <w:t xml:space="preserve">   │         E_basal ≈ 1500 kcal, E_survival ≈ 2500-3000 kcal</w:t>
      </w:r>
      <w:r>
        <w:br/>
      </w:r>
      <w:r>
        <w:rPr>
          <w:rStyle w:val="VerbatimChar"/>
        </w:rPr>
        <w:t xml:space="preserve">   ├── 6.2: Collapsing society (resources/friends/defense/scaling WASH)</w:t>
      </w:r>
      <w:r>
        <w:br/>
      </w:r>
      <w:r>
        <w:rPr>
          <w:rStyle w:val="VerbatimChar"/>
        </w:rPr>
        <w:t xml:space="preserve">   │         C(n) = n(n-1)/2 communication channels</w:t>
      </w:r>
      <w:r>
        <w:br/>
      </w:r>
      <w:r>
        <w:rPr>
          <w:rStyle w:val="VerbatimChar"/>
        </w:rPr>
        <w:t xml:space="preserve">   │         Dunbar: D_n = 5·3^(n-1) → 5/15/50/150/500</w:t>
      </w:r>
      <w:r>
        <w:br/>
      </w:r>
      <w:r>
        <w:rPr>
          <w:rStyle w:val="VerbatimChar"/>
        </w:rPr>
        <w:t xml:space="preserve">   └── 6.3: Building society (organizing/governance/psychology/scaling 1→100)</w:t>
      </w:r>
      <w:r>
        <w:br/>
      </w:r>
      <w:r>
        <w:rPr>
          <w:rStyle w:val="VerbatimChar"/>
        </w:rPr>
        <w:t xml:space="preserve">             Ostrom's 8 principles for common-pool resource governance</w:t>
      </w:r>
      <w:r>
        <w:br/>
      </w:r>
      <w:r>
        <w:br/>
      </w:r>
      <w:r>
        <w:rPr>
          <w:rStyle w:val="VerbatimChar"/>
        </w:rPr>
        <w:t xml:space="preserve">📍 PROFESSIONAL SUPPORT DIRECTORY (Ch.7)</w:t>
      </w:r>
      <w:r>
        <w:br/>
      </w:r>
      <w:r>
        <w:rPr>
          <w:rStyle w:val="VerbatimChar"/>
        </w:rPr>
        <w:t xml:space="preserve">   ├── 7.1: Emergency numbers</w:t>
      </w:r>
      <w:r>
        <w:br/>
      </w:r>
      <w:r>
        <w:rPr>
          <w:rStyle w:val="VerbatimChar"/>
        </w:rPr>
        <w:t xml:space="preserve">   ├── 7.2: Psychological support</w:t>
      </w:r>
      <w:r>
        <w:br/>
      </w:r>
      <w:r>
        <w:rPr>
          <w:rStyle w:val="VerbatimChar"/>
        </w:rPr>
        <w:t xml:space="preserve">   │         CBT ~60% response, EMDR ~70% PTSD reduction</w:t>
      </w:r>
      <w:r>
        <w:br/>
      </w:r>
      <w:r>
        <w:rPr>
          <w:rStyle w:val="VerbatimChar"/>
        </w:rPr>
        <w:t xml:space="preserve">   │         IASC 4-layer intervention pyramid</w:t>
      </w:r>
      <w:r>
        <w:br/>
      </w:r>
      <w:r>
        <w:rPr>
          <w:rStyle w:val="VerbatimChar"/>
        </w:rPr>
        <w:t xml:space="preserve">   ├── 7.3: Legal support (§32 StGB: 4 elements)</w:t>
      </w:r>
      <w:r>
        <w:br/>
      </w:r>
      <w:r>
        <w:rPr>
          <w:rStyle w:val="VerbatimChar"/>
        </w:rPr>
        <w:t xml:space="preserve">   ├── 7.4: Medical support</w:t>
      </w:r>
      <w:r>
        <w:br/>
      </w:r>
      <w:r>
        <w:rPr>
          <w:rStyle w:val="VerbatimChar"/>
        </w:rPr>
        <w:t xml:space="preserve">   └── 7.5: Social support</w:t>
      </w:r>
    </w:p>
    <w:bookmarkEnd w:id="219"/>
    <w:bookmarkStart w:id="220" w:name="notes-page"/>
    <w:p>
      <w:pPr>
        <w:pStyle w:val="Heading2"/>
      </w:pPr>
      <w:r>
        <w:t xml:space="preserve">Notes Page</w:t>
      </w:r>
    </w:p>
    <w:p>
      <w:pPr>
        <w:pStyle w:val="FirstParagraph"/>
      </w:pPr>
      <w:r>
        <w:t xml:space="preserve">Your space. Use it for whatever the flowcharts don’t cover — local information, personal reminders, the name of that therapist your friend recommended, or just processing by writing.</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title:</w:t>
      </w:r>
      <w:r>
        <w:t xml:space="preserve"> </w:t>
      </w:r>
      <w:r>
        <w:t xml:space="preserve">“</w:t>
      </w:r>
      <w:r>
        <w:t xml:space="preserve">Version History</w:t>
      </w:r>
      <w:r>
        <w:t xml:space="preserve">”</w:t>
      </w:r>
      <w:r>
        <w:t xml:space="preserve"> </w:t>
      </w:r>
      <w:r>
        <w:t xml:space="preserve">chapter: 9</w:t>
      </w:r>
      <w:r>
        <w:t xml:space="preserve"> </w:t>
      </w:r>
      <w:r>
        <w:t xml:space="preserve">revision:</w:t>
      </w:r>
      <w:r>
        <w:t xml:space="preserve"> </w:t>
      </w:r>
      <w:r>
        <w:t xml:space="preserve">“</w:t>
      </w:r>
      <w:r>
        <w:t xml:space="preserve">3.2.0</w:t>
      </w:r>
      <w:r>
        <w:t xml:space="preserve">”</w:t>
      </w:r>
      <w:r>
        <w:t xml:space="preserve"> </w:t>
      </w:r>
      <w:r>
        <w:t xml:space="preserve">last_updated:</w:t>
      </w:r>
      <w:r>
        <w:t xml:space="preserve"> </w:t>
      </w:r>
      <w:r>
        <w:t xml:space="preserve">“</w:t>
      </w:r>
      <w:r>
        <w:t xml:space="preserve">2026-05-03</w:t>
      </w:r>
      <w:r>
        <w:t xml:space="preserve">”</w:t>
      </w:r>
      <w:r>
        <w:t xml:space="preserve"> </w:t>
      </w:r>
      <w:r>
        <w:t xml:space="preserve">type: appendix</w:t>
      </w:r>
      <w:r>
        <w:t xml:space="preserve"> </w:t>
      </w:r>
      <w:r>
        <w:t xml:space="preserve">dependencies: []</w:t>
      </w:r>
      <w:r>
        <w:t xml:space="preserve"> </w:t>
      </w:r>
      <w:r>
        <w:t xml:space="preserve">—</w:t>
      </w:r>
    </w:p>
    <w:bookmarkEnd w:id="220"/>
    <w:bookmarkEnd w:id="221"/>
    <w:bookmarkStart w:id="226" w:name="version-history"/>
    <w:p>
      <w:pPr>
        <w:pStyle w:val="Heading1"/>
      </w:pPr>
      <w:r>
        <w:t xml:space="preserve">Version History</w:t>
      </w:r>
    </w:p>
    <w:p>
      <w:pPr>
        <w:pStyle w:val="FirstParagraph"/>
      </w:pPr>
      <w:r>
        <w:t xml:space="preserve">This appendix tracks all revisions of the Bathroom Emergency Guide. Per-chapter revision numbers are maintained in each file’s YAML frontmatter; project-level history is recorded here and in</w:t>
      </w:r>
      <w:r>
        <w:t xml:space="preserve"> </w:t>
      </w:r>
      <w:r>
        <w:rPr>
          <w:rStyle w:val="VerbatimChar"/>
        </w:rPr>
        <w:t xml:space="preserve">CHANGELOG.md</w:t>
      </w:r>
      <w:r>
        <w:t xml:space="preserve">.</w:t>
      </w:r>
    </w:p>
    <w:bookmarkStart w:id="222" w:name="revision-log"/>
    <w:p>
      <w:pPr>
        <w:pStyle w:val="Heading2"/>
      </w:pPr>
      <w:r>
        <w:t xml:space="preserve">Revision Log</w:t>
      </w:r>
    </w:p>
    <w:tbl>
      <w:tblPr>
        <w:tblStyle w:val="Table"/>
        <w:tblW w:type="pct" w:w="5000"/>
        <w:jc w:val="left"/>
        <w:tblLayout w:type="fixed"/>
        <w:tblLook w:firstRow="1" w:lastRow="0" w:firstColumn="0" w:lastColumn="0" w:noHBand="0" w:noVBand="0" w:val="0020"/>
      </w:tblPr>
      <w:tblGrid>
        <w:gridCol w:w="2227"/>
        <w:gridCol w:w="1485"/>
        <w:gridCol w:w="1980"/>
        <w:gridCol w:w="2227"/>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Changes</w:t>
            </w:r>
          </w:p>
        </w:tc>
      </w:tr>
      <w:tr>
        <w:tc>
          <w:tcPr/>
          <w:p>
            <w:pPr>
              <w:pStyle w:val="Compact"/>
              <w:jc w:val="left"/>
            </w:pPr>
            <w:r>
              <w:t xml:space="preserve">3.2.0</w:t>
            </w:r>
          </w:p>
        </w:tc>
        <w:tc>
          <w:tcPr/>
          <w:p>
            <w:pPr>
              <w:pStyle w:val="Compact"/>
              <w:jc w:val="left"/>
            </w:pPr>
            <w:r>
              <w:t xml:space="preserve">2026-05-03</w:t>
            </w:r>
          </w:p>
        </w:tc>
        <w:tc>
          <w:tcPr/>
          <w:p>
            <w:pPr>
              <w:pStyle w:val="Compact"/>
              <w:jc w:val="left"/>
            </w:pPr>
            <w:r>
              <w:t xml:space="preserve">Bathroom Guide Project</w:t>
            </w:r>
          </w:p>
        </w:tc>
        <w:tc>
          <w:tcPr/>
          <w:p>
            <w:pPr>
              <w:pStyle w:val="Compact"/>
              <w:jc w:val="left"/>
            </w:pPr>
            <w:r>
              <w:rPr>
                <w:b/>
                <w:bCs/>
              </w:rPr>
              <w:t xml:space="preserve">Scientific rigor update.</w:t>
            </w:r>
            <w:r>
              <w:t xml:space="preserve"> </w:t>
            </w:r>
            <w:r>
              <w:t xml:space="preserve">LaTeX math notation throughout (</w:t>
            </w:r>
            <m:oMath>
              <m:r>
                <m:rPr>
                  <m:sty m:val="p"/>
                </m:rPr>
                <m:t>.</m:t>
              </m:r>
              <m:r>
                <m:rPr>
                  <m:sty m:val="p"/>
                </m:rPr>
                <m:t>.</m:t>
              </m:r>
              <m:r>
                <m:rPr>
                  <m:sty m:val="p"/>
                </m:rPr>
                <m:t>.</m:t>
              </m:r>
            </m:oMath>
            <w:r>
              <w:t xml:space="preserve"> </w:t>
            </w:r>
            <w:r>
              <w:t xml:space="preserve">/</w:t>
            </w:r>
          </w:p>
          <w:p>
            <w:pPr>
              <w:pStyle w:val="Compact"/>
              <w:jc w:val="left"/>
            </w:pPr>
            <m:oMathPara>
              <m:oMathParaPr>
                <m:jc m:val="center"/>
              </m:oMathParaPr>
              <m:oMath>
                <m:r>
                  <m:rPr>
                    <m:sty m:val="p"/>
                  </m:rPr>
                  <m:t>.</m:t>
                </m:r>
                <m:r>
                  <m:rPr>
                    <m:sty m:val="p"/>
                  </m:rPr>
                  <m:t>.</m:t>
                </m:r>
                <m:r>
                  <m:rPr>
                    <m:sty m:val="p"/>
                  </m:rPr>
                  <m:t>.</m:t>
                </m:r>
              </m:oMath>
            </m:oMathPara>
          </w:p>
          <w:p>
            <w:pPr>
              <w:pStyle w:val="Compact"/>
              <w:jc w:val="left"/>
            </w:pPr>
            <w:r>
              <w:t xml:space="preserve">). Pandoc footnotes with source citations added to all chapters. New scientific content: GAD-7 scoring (Ch.3), NRS pain scale with physiological correlates (Ch.3/5), cortisol decay function (Ch.4), HRV formula (Ch.4), physiological sigh CO₂ offload mechanism (Ch.4), Huberman Lab RCT citation (Ch.4), dopamine/oxytocin comfort mechanisms (Ch.4), cognitive load theory — Miller’s 7±2 and Cowan’s 4±1 (Ch.3), SO₂ odor neutralization chemistry (Ch.3), stress response activation curve (Ch.3), vital signs with formal ranges (Ch.5), FAST stroke formalization with treatment window (Ch.5), burn surface area — Lund-Browder chart (Ch.5), Bayes’ triage probability (Ch.5), survival probability function (Ch.6), water requirement formula (Ch.6), group communication channel formula (Ch.6), Dunbar numbers (Ch.6), Ostrom’s 8 principles (Ch.6), calorie requirements (Ch.6), evidence-based therapy effectiveness data (Ch.7), IASC intervention pyramid (Ch.7), §32 StGB four-element formalization (Ch.7), gestation milestone table with viability data (Ch.2), WHO child development milestones (Ch.2), caregiver burnout data (Ch.2). 8 new diagram references: decision_flow_graph, stress_decay_curve, anxiety_severity_spectrum, pain_nrs_correlates, triage_priority_heatmap, survival_probability_function, group_complexity_scaling, water_requirements_scaling. Formula index and diagram index added to Appendix (Ch.8).</w:t>
            </w:r>
          </w:p>
        </w:tc>
      </w:tr>
      <w:tr>
        <w:tc>
          <w:tcPr/>
          <w:p>
            <w:pPr>
              <w:pStyle w:val="Compact"/>
              <w:jc w:val="left"/>
            </w:pPr>
            <w:r>
              <w:t xml:space="preserve">3.0.0</w:t>
            </w:r>
          </w:p>
        </w:tc>
        <w:tc>
          <w:tcPr/>
          <w:p>
            <w:pPr>
              <w:pStyle w:val="Compact"/>
              <w:jc w:val="left"/>
            </w:pPr>
            <w:r>
              <w:t xml:space="preserve">2026-05-01</w:t>
            </w:r>
          </w:p>
        </w:tc>
        <w:tc>
          <w:tcPr/>
          <w:p>
            <w:pPr>
              <w:pStyle w:val="Compact"/>
              <w:jc w:val="left"/>
            </w:pPr>
            <w:r>
              <w:t xml:space="preserve">Bathroom Guide Project</w:t>
            </w:r>
          </w:p>
        </w:tc>
        <w:tc>
          <w:tcPr/>
          <w:p>
            <w:pPr>
              <w:pStyle w:val="Compact"/>
              <w:jc w:val="left"/>
            </w:pPr>
            <w:r>
              <w:t xml:space="preserve">Major content expansion: enriched all chapter bodies to 150+ words per section, added fillable fields, expanded professional support directory, added Sources &amp; Further Reading chapter (Ch.10), refined decision trees.</w:t>
            </w:r>
          </w:p>
        </w:tc>
      </w:tr>
      <w:tr>
        <w:tc>
          <w:tcPr/>
          <w:p>
            <w:pPr>
              <w:pStyle w:val="Compact"/>
              <w:jc w:val="left"/>
            </w:pPr>
            <w:r>
              <w:t xml:space="preserve">2.0.0</w:t>
            </w:r>
          </w:p>
        </w:tc>
        <w:tc>
          <w:tcPr/>
          <w:p>
            <w:pPr>
              <w:pStyle w:val="Compact"/>
              <w:jc w:val="left"/>
            </w:pPr>
            <w:r>
              <w:t xml:space="preserve">2026-04-29</w:t>
            </w:r>
          </w:p>
        </w:tc>
        <w:tc>
          <w:tcPr/>
          <w:p>
            <w:pPr>
              <w:pStyle w:val="Compact"/>
              <w:jc w:val="left"/>
            </w:pPr>
            <w:r>
              <w:t xml:space="preserve">Bathroom Guide Project</w:t>
            </w:r>
          </w:p>
        </w:tc>
        <w:tc>
          <w:tcPr/>
          <w:p>
            <w:pPr>
              <w:pStyle w:val="Compact"/>
              <w:jc w:val="left"/>
            </w:pPr>
            <w:r>
              <w:t xml:space="preserve">Major visual and content update: pixel art sprites (12), enhanced diagrams with scanline/border/corner effects, sleeker CSS with gradient headings, dark mode, card-style sections, cyan/magenta/teal/amber accent palette, dedicated HTML cover page for WeasyPrint, new Sources &amp; Further Reading chapter (Ch.10), build pipeline v2.</w:t>
            </w:r>
          </w:p>
        </w:tc>
      </w:tr>
      <w:tr>
        <w:tc>
          <w:tcPr/>
          <w:p>
            <w:pPr>
              <w:pStyle w:val="Compact"/>
              <w:jc w:val="left"/>
            </w:pPr>
            <w:r>
              <w:t xml:space="preserve">1.0.0</w:t>
            </w:r>
          </w:p>
        </w:tc>
        <w:tc>
          <w:tcPr/>
          <w:p>
            <w:pPr>
              <w:pStyle w:val="Compact"/>
              <w:jc w:val="left"/>
            </w:pPr>
            <w:r>
              <w:t xml:space="preserve">2026-04-29</w:t>
            </w:r>
          </w:p>
        </w:tc>
        <w:tc>
          <w:tcPr/>
          <w:p>
            <w:pPr>
              <w:pStyle w:val="Compact"/>
              <w:jc w:val="left"/>
            </w:pPr>
            <w:r>
              <w:t xml:space="preserve">Bathroom Guide Project</w:t>
            </w:r>
          </w:p>
        </w:tc>
        <w:tc>
          <w:tcPr/>
          <w:p>
            <w:pPr>
              <w:pStyle w:val="Compact"/>
              <w:jc w:val="left"/>
            </w:pPr>
            <w:r>
              <w:t xml:space="preserve">Initial release. 10 chapters (00–09), 6 diagrams, 4 output formats, build pipeline.</w:t>
            </w:r>
          </w:p>
        </w:tc>
      </w:tr>
    </w:tbl>
    <w:bookmarkEnd w:id="222"/>
    <w:bookmarkStart w:id="223" w:name="chapter-revisions"/>
    <w:p>
      <w:pPr>
        <w:pStyle w:val="Heading2"/>
      </w:pPr>
      <w:r>
        <w:t xml:space="preserve">Chapter Revisions</w:t>
      </w:r>
    </w:p>
    <w:tbl>
      <w:tblPr>
        <w:tblStyle w:val="Table"/>
        <w:tblW w:type="pct" w:w="5000"/>
        <w:jc w:val="left"/>
        <w:tblLayout w:type="fixed"/>
        <w:tblLook w:firstRow="1" w:lastRow="0" w:firstColumn="0" w:lastColumn="0" w:noHBand="0" w:noVBand="0" w:val="0020"/>
      </w:tblPr>
      <w:tblGrid>
        <w:gridCol w:w="1113"/>
        <w:gridCol w:w="742"/>
        <w:gridCol w:w="2103"/>
        <w:gridCol w:w="1608"/>
        <w:gridCol w:w="2351"/>
      </w:tblGrid>
      <w:tr>
        <w:trPr>
          <w:tblHeader w:val="on"/>
        </w:trPr>
        <w:tc>
          <w:tcPr/>
          <w:p>
            <w:pPr>
              <w:pStyle w:val="Compact"/>
              <w:jc w:val="left"/>
            </w:pPr>
            <w:r>
              <w:t xml:space="preserve">Chapter</w:t>
            </w:r>
          </w:p>
        </w:tc>
        <w:tc>
          <w:tcPr/>
          <w:p>
            <w:pPr>
              <w:pStyle w:val="Compact"/>
              <w:jc w:val="left"/>
            </w:pPr>
            <w:r>
              <w:t xml:space="preserve">File</w:t>
            </w:r>
          </w:p>
        </w:tc>
        <w:tc>
          <w:tcPr/>
          <w:p>
            <w:pPr>
              <w:pStyle w:val="Compact"/>
              <w:jc w:val="left"/>
            </w:pPr>
            <w:r>
              <w:t xml:space="preserve">Current revision</w:t>
            </w:r>
          </w:p>
        </w:tc>
        <w:tc>
          <w:tcPr/>
          <w:p>
            <w:pPr>
              <w:pStyle w:val="Compact"/>
              <w:jc w:val="left"/>
            </w:pPr>
            <w:r>
              <w:t xml:space="preserve">Last updated</w:t>
            </w:r>
          </w:p>
        </w:tc>
        <w:tc>
          <w:tcPr/>
          <w:p>
            <w:pPr>
              <w:pStyle w:val="Compact"/>
              <w:jc w:val="left"/>
            </w:pPr>
            <w:r>
              <w:t xml:space="preserve">Key v3.2 additions</w:t>
            </w:r>
          </w:p>
        </w:tc>
      </w:tr>
      <w:tr>
        <w:tc>
          <w:tcPr/>
          <w:p>
            <w:pPr>
              <w:pStyle w:val="Compact"/>
              <w:jc w:val="left"/>
            </w:pPr>
            <w:r>
              <w:t xml:space="preserve">0</w:t>
            </w:r>
          </w:p>
        </w:tc>
        <w:tc>
          <w:tcPr/>
          <w:p>
            <w:pPr>
              <w:pStyle w:val="Compact"/>
              <w:jc w:val="left"/>
            </w:pPr>
            <w:r>
              <w:t xml:space="preserve">00-cover.md</w:t>
            </w:r>
          </w:p>
        </w:tc>
        <w:tc>
          <w:tcPr/>
          <w:p>
            <w:pPr>
              <w:pStyle w:val="Compact"/>
              <w:jc w:val="left"/>
            </w:pPr>
            <w:r>
              <w:t xml:space="preserve">3.2.0</w:t>
            </w:r>
          </w:p>
        </w:tc>
        <w:tc>
          <w:tcPr/>
          <w:p>
            <w:pPr>
              <w:pStyle w:val="Compact"/>
              <w:jc w:val="left"/>
            </w:pPr>
            <w:r>
              <w:t xml:space="preserve">2026-05-03</w:t>
            </w:r>
          </w:p>
        </w:tc>
        <w:tc>
          <w:tcPr/>
          <w:p>
            <w:pPr>
              <w:pStyle w:val="Compact"/>
              <w:jc w:val="left"/>
            </w:pPr>
            <w:r>
              <w:t xml:space="preserve">Version bump, scientific rigor in description, updated doc control table</w:t>
            </w:r>
          </w:p>
        </w:tc>
      </w:tr>
      <w:tr>
        <w:tc>
          <w:tcPr/>
          <w:p>
            <w:pPr>
              <w:pStyle w:val="Compact"/>
              <w:jc w:val="left"/>
            </w:pPr>
            <w:r>
              <w:t xml:space="preserve">1</w:t>
            </w:r>
          </w:p>
        </w:tc>
        <w:tc>
          <w:tcPr/>
          <w:p>
            <w:pPr>
              <w:pStyle w:val="Compact"/>
              <w:jc w:val="left"/>
            </w:pPr>
            <w:r>
              <w:t xml:space="preserve">01-how-to-use.md</w:t>
            </w:r>
          </w:p>
        </w:tc>
        <w:tc>
          <w:tcPr/>
          <w:p>
            <w:pPr>
              <w:pStyle w:val="Compact"/>
              <w:jc w:val="left"/>
            </w:pPr>
            <w:r>
              <w:t xml:space="preserve">3.2.0</w:t>
            </w:r>
          </w:p>
        </w:tc>
        <w:tc>
          <w:tcPr/>
          <w:p>
            <w:pPr>
              <w:pStyle w:val="Compact"/>
              <w:jc w:val="left"/>
            </w:pPr>
            <w:r>
              <w:t xml:space="preserve">2026-05-03</w:t>
            </w:r>
          </w:p>
        </w:tc>
        <w:tc>
          <w:tcPr/>
          <w:p>
            <w:pPr>
              <w:pStyle w:val="Compact"/>
              <w:jc w:val="left"/>
            </w:pPr>
            <w:r>
              <w:t xml:space="preserve">Math notation legend, graph-theoretic model</w:t>
            </w:r>
            <w:r>
              <w:t xml:space="preserve"> </w:t>
            </w:r>
            <m:oMath>
              <m:r>
                <m:t>G</m:t>
              </m:r>
              <m:r>
                <m:rPr>
                  <m:sty m:val="p"/>
                </m:rPr>
                <m:t>=</m:t>
              </m:r>
              <m:d>
                <m:dPr>
                  <m:begChr m:val="("/>
                  <m:endChr m:val=")"/>
                  <m:sepChr m:val=""/>
                  <m:grow/>
                </m:dPr>
                <m:e>
                  <m:r>
                    <m:t>V</m:t>
                  </m:r>
                  <m:r>
                    <m:rPr>
                      <m:sty m:val="p"/>
                    </m:rPr>
                    <m:t>,</m:t>
                  </m:r>
                  <m:r>
                    <m:t>E</m:t>
                  </m:r>
                </m:e>
              </m:d>
            </m:oMath>
            <w:r>
              <w:t xml:space="preserve">, decision_flow_graph diagram, footnotes</w:t>
            </w:r>
          </w:p>
        </w:tc>
      </w:tr>
      <w:tr>
        <w:tc>
          <w:tcPr/>
          <w:p>
            <w:pPr>
              <w:pStyle w:val="Compact"/>
              <w:jc w:val="left"/>
            </w:pPr>
            <w:r>
              <w:t xml:space="preserve">2</w:t>
            </w:r>
          </w:p>
        </w:tc>
        <w:tc>
          <w:tcPr/>
          <w:p>
            <w:pPr>
              <w:pStyle w:val="Compact"/>
              <w:jc w:val="left"/>
            </w:pPr>
            <w:r>
              <w:t xml:space="preserve">02-situation-a.md</w:t>
            </w:r>
          </w:p>
        </w:tc>
        <w:tc>
          <w:tcPr/>
          <w:p>
            <w:pPr>
              <w:pStyle w:val="Compact"/>
              <w:jc w:val="left"/>
            </w:pPr>
            <w:r>
              <w:t xml:space="preserve">3.2.0</w:t>
            </w:r>
          </w:p>
        </w:tc>
        <w:tc>
          <w:tcPr/>
          <w:p>
            <w:pPr>
              <w:pStyle w:val="Compact"/>
              <w:jc w:val="left"/>
            </w:pPr>
            <w:r>
              <w:t xml:space="preserve">2026-05-03</w:t>
            </w:r>
          </w:p>
        </w:tc>
        <w:tc>
          <w:tcPr/>
          <w:p>
            <w:pPr>
              <w:pStyle w:val="Compact"/>
              <w:jc w:val="left"/>
            </w:pPr>
            <w:r>
              <w:t xml:space="preserve">Gestation milestone table, WHO child development milestones, §32 StGB elements, cortisol/decision footnote, caregiver data</w:t>
            </w:r>
          </w:p>
        </w:tc>
      </w:tr>
      <w:tr>
        <w:tc>
          <w:tcPr/>
          <w:p>
            <w:pPr>
              <w:pStyle w:val="Compact"/>
              <w:jc w:val="left"/>
            </w:pPr>
            <w:r>
              <w:t xml:space="preserve">3</w:t>
            </w:r>
          </w:p>
        </w:tc>
        <w:tc>
          <w:tcPr/>
          <w:p>
            <w:pPr>
              <w:pStyle w:val="Compact"/>
              <w:jc w:val="left"/>
            </w:pPr>
            <w:r>
              <w:t xml:space="preserve">03-situations-b-g.md</w:t>
            </w:r>
          </w:p>
        </w:tc>
        <w:tc>
          <w:tcPr/>
          <w:p>
            <w:pPr>
              <w:pStyle w:val="Compact"/>
              <w:jc w:val="left"/>
            </w:pPr>
            <w:r>
              <w:t xml:space="preserve">3.2.0</w:t>
            </w:r>
          </w:p>
        </w:tc>
        <w:tc>
          <w:tcPr/>
          <w:p>
            <w:pPr>
              <w:pStyle w:val="Compact"/>
              <w:jc w:val="left"/>
            </w:pPr>
            <w:r>
              <w:t xml:space="preserve">2026-05-03</w:t>
            </w:r>
          </w:p>
        </w:tc>
        <w:tc>
          <w:tcPr/>
          <w:p>
            <w:pPr>
              <w:pStyle w:val="Compact"/>
              <w:jc w:val="left"/>
            </w:pPr>
            <w:r>
              <w:t xml:space="preserve">GAD-7 severity spectrum, NRS pain scale with physiological correlates, stress response curve</w:t>
            </w:r>
            <w:r>
              <w:t xml:space="preserve"> </w:t>
            </w:r>
            <m:oMath>
              <m:r>
                <m:t>S</m:t>
              </m:r>
              <m:d>
                <m:dPr>
                  <m:begChr m:val="("/>
                  <m:endChr m:val=")"/>
                  <m:sepChr m:val=""/>
                  <m:grow/>
                </m:dPr>
                <m:e>
                  <m:r>
                    <m:t>t</m:t>
                  </m:r>
                </m:e>
              </m:d>
            </m:oMath>
            <w:r>
              <w:t xml:space="preserve">, cognitive load theory (Miller, Cowan), SO₂ neutralization chemistry, anxiety_severity_spectrum + pain_nrs_correlates diagrams</w:t>
            </w:r>
          </w:p>
        </w:tc>
      </w:tr>
      <w:tr>
        <w:tc>
          <w:tcPr/>
          <w:p>
            <w:pPr>
              <w:pStyle w:val="Compact"/>
              <w:jc w:val="left"/>
            </w:pPr>
            <w:r>
              <w:t xml:space="preserve">4</w:t>
            </w:r>
          </w:p>
        </w:tc>
        <w:tc>
          <w:tcPr/>
          <w:p>
            <w:pPr>
              <w:pStyle w:val="Compact"/>
              <w:jc w:val="left"/>
            </w:pPr>
            <w:r>
              <w:t xml:space="preserve">04-calm-guide.md</w:t>
            </w:r>
          </w:p>
        </w:tc>
        <w:tc>
          <w:tcPr/>
          <w:p>
            <w:pPr>
              <w:pStyle w:val="Compact"/>
              <w:jc w:val="left"/>
            </w:pPr>
            <w:r>
              <w:t xml:space="preserve">3.2.0</w:t>
            </w:r>
          </w:p>
        </w:tc>
        <w:tc>
          <w:tcPr/>
          <w:p>
            <w:pPr>
              <w:pStyle w:val="Compact"/>
              <w:jc w:val="left"/>
            </w:pPr>
            <w:r>
              <w:t xml:space="preserve">2026-05-03</w:t>
            </w:r>
          </w:p>
        </w:tc>
        <w:tc>
          <w:tcPr/>
          <w:p>
            <w:pPr>
              <w:pStyle w:val="Compact"/>
              <w:jc w:val="left"/>
            </w:pPr>
            <w:r>
              <w:t xml:space="preserve">Stress decay curve</w:t>
            </w:r>
            <w:r>
              <w:t xml:space="preserve"> </w:t>
            </w:r>
            <m:oMath>
              <m:r>
                <m:t>C</m:t>
              </m:r>
              <m:d>
                <m:dPr>
                  <m:begChr m:val="("/>
                  <m:endChr m:val=")"/>
                  <m:sepChr m:val=""/>
                  <m:grow/>
                </m:dPr>
                <m:e>
                  <m:r>
                    <m:t>t</m:t>
                  </m:r>
                </m:e>
              </m:d>
              <m:r>
                <m:rPr>
                  <m:sty m:val="p"/>
                </m:rPr>
                <m:t>=</m:t>
              </m:r>
              <m:sSub>
                <m:e>
                  <m:r>
                    <m:t>C</m:t>
                  </m:r>
                </m:e>
                <m:sub>
                  <m:r>
                    <m:t>0</m:t>
                  </m:r>
                </m:sub>
              </m:sSub>
              <m:sSup>
                <m:e>
                  <m:r>
                    <m:t>e</m:t>
                  </m:r>
                </m:e>
                <m:sup>
                  <m:r>
                    <m:rPr>
                      <m:sty m:val="p"/>
                    </m:rPr>
                    <m:t>−</m:t>
                  </m:r>
                  <m:r>
                    <m:t>λ</m:t>
                  </m:r>
                  <m:r>
                    <m:t>t</m:t>
                  </m:r>
                </m:sup>
              </m:sSup>
            </m:oMath>
            <w:r>
              <w:t xml:space="preserve">, 10-min rule formalization, HRV formula, physiological sigh CO₂ mechanism, Huberman Lab RCT, comfort inventory neurochemical mechanisms (dopamine, oxytocin, olfactory, hydration, warmth, touch), stress_decay_curve diagram</w:t>
            </w:r>
          </w:p>
        </w:tc>
      </w:tr>
      <w:tr>
        <w:tc>
          <w:tcPr/>
          <w:p>
            <w:pPr>
              <w:pStyle w:val="Compact"/>
              <w:jc w:val="left"/>
            </w:pPr>
            <w:r>
              <w:t xml:space="preserve">5</w:t>
            </w:r>
          </w:p>
        </w:tc>
        <w:tc>
          <w:tcPr/>
          <w:p>
            <w:pPr>
              <w:pStyle w:val="Compact"/>
              <w:jc w:val="left"/>
            </w:pPr>
            <w:r>
              <w:t xml:space="preserve">05-self-ambulance.md</w:t>
            </w:r>
          </w:p>
        </w:tc>
        <w:tc>
          <w:tcPr/>
          <w:p>
            <w:pPr>
              <w:pStyle w:val="Compact"/>
              <w:jc w:val="left"/>
            </w:pPr>
            <w:r>
              <w:t xml:space="preserve">3.2.0</w:t>
            </w:r>
          </w:p>
        </w:tc>
        <w:tc>
          <w:tcPr/>
          <w:p>
            <w:pPr>
              <w:pStyle w:val="Compact"/>
              <w:jc w:val="left"/>
            </w:pPr>
            <w:r>
              <w:t xml:space="preserve">2026-05-03</w:t>
            </w:r>
          </w:p>
        </w:tc>
        <w:tc>
          <w:tcPr/>
          <w:p>
            <w:pPr>
              <w:pStyle w:val="Compact"/>
              <w:jc w:val="left"/>
            </w:pPr>
            <w:r>
              <w:t xml:space="preserve">Vital signs formal ranges (</w:t>
            </w:r>
            <m:oMath>
              <m:r>
                <m:t>H</m:t>
              </m:r>
              <m:r>
                <m:t>R</m:t>
              </m:r>
            </m:oMath>
            <w:r>
              <w:t xml:space="preserve">,</w:t>
            </w:r>
            <w:r>
              <w:t xml:space="preserve"> </w:t>
            </w:r>
            <m:oMath>
              <m:r>
                <m:t>R</m:t>
              </m:r>
              <m:r>
                <m:t>R</m:t>
              </m:r>
            </m:oMath>
            <w:r>
              <w:t xml:space="preserve">,</w:t>
            </w:r>
            <w:r>
              <w:t xml:space="preserve"> </w:t>
            </w:r>
            <m:oMath>
              <m:r>
                <m:t>S</m:t>
              </m:r>
              <m:r>
                <m:t>p</m:t>
              </m:r>
              <m:sSub>
                <m:e>
                  <m:r>
                    <m:t>O</m:t>
                  </m:r>
                </m:e>
                <m:sub>
                  <m:r>
                    <m:t>2</m:t>
                  </m:r>
                </m:sub>
              </m:sSub>
            </m:oMath>
            <w:r>
              <w:t xml:space="preserve">,</w:t>
            </w:r>
            <w:r>
              <w:t xml:space="preserve"> </w:t>
            </w:r>
            <m:oMath>
              <m:r>
                <m:t>B</m:t>
              </m:r>
              <m:r>
                <m:t>P</m:t>
              </m:r>
            </m:oMath>
            <w:r>
              <w:t xml:space="preserve">), FAST stroke formalization with</w:t>
            </w:r>
            <w:r>
              <w:t xml:space="preserve"> </w:t>
            </w:r>
            <m:oMath>
              <m:r>
                <m:t>t</m:t>
              </m:r>
              <m:r>
                <m:rPr>
                  <m:sty m:val="p"/>
                </m:rPr>
                <m:t>&lt;</m:t>
              </m:r>
              <m:r>
                <m:t>4.5</m:t>
              </m:r>
            </m:oMath>
            <w:r>
              <w:t xml:space="preserve">h window, Lund-Browder burn surface area, Bayes’ triage probability, NRS pain correlation, triage_priority_heatmap + pain_nrs_correlates diagrams</w:t>
            </w:r>
          </w:p>
        </w:tc>
      </w:tr>
      <w:tr>
        <w:tc>
          <w:tcPr/>
          <w:p>
            <w:pPr>
              <w:pStyle w:val="Compact"/>
              <w:jc w:val="left"/>
            </w:pPr>
            <w:r>
              <w:t xml:space="preserve">6</w:t>
            </w:r>
          </w:p>
        </w:tc>
        <w:tc>
          <w:tcPr/>
          <w:p>
            <w:pPr>
              <w:pStyle w:val="Compact"/>
              <w:jc w:val="left"/>
            </w:pPr>
            <w:r>
              <w:t xml:space="preserve">06-zombie-guide.md</w:t>
            </w:r>
          </w:p>
        </w:tc>
        <w:tc>
          <w:tcPr/>
          <w:p>
            <w:pPr>
              <w:pStyle w:val="Compact"/>
              <w:jc w:val="left"/>
            </w:pPr>
            <w:r>
              <w:t xml:space="preserve">3.2.0</w:t>
            </w:r>
          </w:p>
        </w:tc>
        <w:tc>
          <w:tcPr/>
          <w:p>
            <w:pPr>
              <w:pStyle w:val="Compact"/>
              <w:jc w:val="left"/>
            </w:pPr>
            <w:r>
              <w:t xml:space="preserve">2026-05-03</w:t>
            </w:r>
          </w:p>
        </w:tc>
        <w:tc>
          <w:tcPr/>
          <w:p>
            <w:pPr>
              <w:pStyle w:val="Compact"/>
              <w:jc w:val="left"/>
            </w:pPr>
            <w:r>
              <w:t xml:space="preserve">Survival probability</w:t>
            </w:r>
            <w:r>
              <w:t xml:space="preserve"> </w:t>
            </w:r>
            <m:oMath>
              <m:r>
                <m:t>P</m:t>
              </m:r>
              <m:d>
                <m:dPr>
                  <m:begChr m:val="("/>
                  <m:endChr m:val=")"/>
                  <m:sepChr m:val=""/>
                  <m:grow/>
                </m:dPr>
                <m:e>
                  <m:r>
                    <m:t>t</m:t>
                  </m:r>
                </m:e>
              </m:d>
              <m:r>
                <m:rPr>
                  <m:sty m:val="p"/>
                </m:rPr>
                <m:t>=</m:t>
              </m:r>
              <m:sSup>
                <m:e>
                  <m:r>
                    <m:t>e</m:t>
                  </m:r>
                </m:e>
                <m:sup>
                  <m:r>
                    <m:rPr>
                      <m:sty m:val="p"/>
                    </m:rPr>
                    <m:t>−</m:t>
                  </m:r>
                  <m:r>
                    <m:t>λ</m:t>
                  </m:r>
                  <m:r>
                    <m:t>t</m:t>
                  </m:r>
                </m:sup>
              </m:sSup>
            </m:oMath>
            <w:r>
              <w:t xml:space="preserve">, water formula</w:t>
            </w:r>
            <w:r>
              <w:t xml:space="preserve"> </w:t>
            </w:r>
            <m:oMath>
              <m:r>
                <m:t>W</m:t>
              </m:r>
              <m:r>
                <m:rPr>
                  <m:sty m:val="p"/>
                </m:rPr>
                <m:t>=</m:t>
              </m:r>
              <m:r>
                <m:t>n</m:t>
              </m:r>
              <m:r>
                <m:rPr>
                  <m:sty m:val="p"/>
                </m:rPr>
                <m:t>·</m:t>
              </m:r>
              <m:r>
                <m:t>3</m:t>
              </m:r>
              <m:r>
                <m:t>L</m:t>
              </m:r>
              <m:r>
                <m:rPr>
                  <m:sty m:val="p"/>
                </m:rPr>
                <m:t>/</m:t>
              </m:r>
              <m:r>
                <m:t>d</m:t>
              </m:r>
              <m:r>
                <m:t>a</m:t>
              </m:r>
              <m:r>
                <m:t>y</m:t>
              </m:r>
            </m:oMath>
            <w:r>
              <w:t xml:space="preserve">, communication channels</w:t>
            </w:r>
            <w:r>
              <w:t xml:space="preserve"> </w:t>
            </w:r>
            <m:oMath>
              <m:r>
                <m:t>C</m:t>
              </m:r>
              <m:d>
                <m:dPr>
                  <m:begChr m:val="("/>
                  <m:endChr m:val=")"/>
                  <m:sepChr m:val=""/>
                  <m:grow/>
                </m:dPr>
                <m:e>
                  <m:r>
                    <m:t>n</m:t>
                  </m:r>
                </m:e>
              </m:d>
              <m:r>
                <m:rPr>
                  <m:sty m:val="p"/>
                </m:rPr>
                <m:t>=</m:t>
              </m:r>
              <m:r>
                <m:t>n</m:t>
              </m:r>
              <m:d>
                <m:dPr>
                  <m:begChr m:val="("/>
                  <m:endChr m:val=")"/>
                  <m:sepChr m:val=""/>
                  <m:grow/>
                </m:dPr>
                <m:e>
                  <m:r>
                    <m:t>n</m:t>
                  </m:r>
                  <m:r>
                    <m:rPr>
                      <m:sty m:val="p"/>
                    </m:rPr>
                    <m:t>−</m:t>
                  </m:r>
                  <m:r>
                    <m:t>1</m:t>
                  </m:r>
                </m:e>
              </m:d>
              <m:r>
                <m:rPr>
                  <m:sty m:val="p"/>
                </m:rPr>
                <m:t>/</m:t>
              </m:r>
              <m:r>
                <m:t>2</m:t>
              </m:r>
            </m:oMath>
            <w:r>
              <w:t xml:space="preserve">, Dunbar numbers</w:t>
            </w:r>
            <w:r>
              <w:t xml:space="preserve"> </w:t>
            </w:r>
            <m:oMath>
              <m:sSub>
                <m:e>
                  <m:r>
                    <m:t>D</m:t>
                  </m:r>
                </m:e>
                <m:sub>
                  <m:r>
                    <m:t>n</m:t>
                  </m:r>
                </m:sub>
              </m:sSub>
              <m:r>
                <m:rPr>
                  <m:sty m:val="p"/>
                </m:rPr>
                <m:t>=</m:t>
              </m:r>
              <m:r>
                <m:t>5</m:t>
              </m:r>
              <m:r>
                <m:rPr>
                  <m:sty m:val="p"/>
                </m:rPr>
                <m:t>·</m:t>
              </m:r>
              <m:sSup>
                <m:e>
                  <m:r>
                    <m:t>3</m:t>
                  </m:r>
                </m:e>
                <m:sup>
                  <m:r>
                    <m:t>n</m:t>
                  </m:r>
                  <m:r>
                    <m:rPr>
                      <m:sty m:val="p"/>
                    </m:rPr>
                    <m:t>−</m:t>
                  </m:r>
                  <m:r>
                    <m:t>1</m:t>
                  </m:r>
                </m:sup>
              </m:sSup>
            </m:oMath>
            <w:r>
              <w:t xml:space="preserve">, Ostrom’s 8 principles, calorie requirements (</w:t>
            </w:r>
            <m:oMath>
              <m:sSub>
                <m:e>
                  <m:r>
                    <m:t>E</m:t>
                  </m:r>
                </m:e>
                <m:sub>
                  <m:r>
                    <m:t>b</m:t>
                  </m:r>
                  <m:r>
                    <m:t>a</m:t>
                  </m:r>
                  <m:r>
                    <m:t>s</m:t>
                  </m:r>
                  <m:r>
                    <m:t>a</m:t>
                  </m:r>
                  <m:r>
                    <m:t>l</m:t>
                  </m:r>
                </m:sub>
              </m:sSub>
            </m:oMath>
            <w:r>
              <w:t xml:space="preserve">,</w:t>
            </w:r>
            <w:r>
              <w:t xml:space="preserve"> </w:t>
            </w:r>
            <m:oMath>
              <m:sSub>
                <m:e>
                  <m:r>
                    <m:t>E</m:t>
                  </m:r>
                </m:e>
                <m:sub>
                  <m:r>
                    <m:t>s</m:t>
                  </m:r>
                  <m:r>
                    <m:t>u</m:t>
                  </m:r>
                  <m:r>
                    <m:t>r</m:t>
                  </m:r>
                  <m:r>
                    <m:t>v</m:t>
                  </m:r>
                  <m:r>
                    <m:t>i</m:t>
                  </m:r>
                  <m:r>
                    <m:t>v</m:t>
                  </m:r>
                  <m:r>
                    <m:t>a</m:t>
                  </m:r>
                  <m:r>
                    <m:t>l</m:t>
                  </m:r>
                </m:sub>
              </m:sSub>
            </m:oMath>
            <w:r>
              <w:t xml:space="preserve">), survival_probability_function + group_complexity_scaling + water_requirements_scaling diagrams</w:t>
            </w:r>
          </w:p>
        </w:tc>
      </w:tr>
      <w:tr>
        <w:tc>
          <w:tcPr/>
          <w:p>
            <w:pPr>
              <w:pStyle w:val="Compact"/>
              <w:jc w:val="left"/>
            </w:pPr>
            <w:r>
              <w:t xml:space="preserve">7</w:t>
            </w:r>
          </w:p>
        </w:tc>
        <w:tc>
          <w:tcPr/>
          <w:p>
            <w:pPr>
              <w:pStyle w:val="Compact"/>
              <w:jc w:val="left"/>
            </w:pPr>
            <w:r>
              <w:t xml:space="preserve">07-professional-support.md</w:t>
            </w:r>
          </w:p>
        </w:tc>
        <w:tc>
          <w:tcPr/>
          <w:p>
            <w:pPr>
              <w:pStyle w:val="Compact"/>
              <w:jc w:val="left"/>
            </w:pPr>
            <w:r>
              <w:t xml:space="preserve">3.2.0</w:t>
            </w:r>
          </w:p>
        </w:tc>
        <w:tc>
          <w:tcPr/>
          <w:p>
            <w:pPr>
              <w:pStyle w:val="Compact"/>
              <w:jc w:val="left"/>
            </w:pPr>
            <w:r>
              <w:t xml:space="preserve">2026-05-03</w:t>
            </w:r>
          </w:p>
        </w:tc>
        <w:tc>
          <w:tcPr/>
          <w:p>
            <w:pPr>
              <w:pStyle w:val="Compact"/>
              <w:jc w:val="left"/>
            </w:pPr>
            <w:r>
              <w:t xml:space="preserve">Therapy effectiveness data (CBT ~60%, EMDR ~70%), IASC intervention pyramid, §32 StGB four-element table, evidence-based footnotes</w:t>
            </w:r>
          </w:p>
        </w:tc>
      </w:tr>
      <w:tr>
        <w:tc>
          <w:tcPr/>
          <w:p>
            <w:pPr>
              <w:pStyle w:val="Compact"/>
              <w:jc w:val="left"/>
            </w:pPr>
            <w:r>
              <w:t xml:space="preserve">8</w:t>
            </w:r>
          </w:p>
        </w:tc>
        <w:tc>
          <w:tcPr/>
          <w:p>
            <w:pPr>
              <w:pStyle w:val="Compact"/>
              <w:jc w:val="left"/>
            </w:pPr>
            <w:r>
              <w:t xml:space="preserve">08-appendix.md</w:t>
            </w:r>
          </w:p>
        </w:tc>
        <w:tc>
          <w:tcPr/>
          <w:p>
            <w:pPr>
              <w:pStyle w:val="Compact"/>
              <w:jc w:val="left"/>
            </w:pPr>
            <w:r>
              <w:t xml:space="preserve">3.2.0</w:t>
            </w:r>
          </w:p>
        </w:tc>
        <w:tc>
          <w:tcPr/>
          <w:p>
            <w:pPr>
              <w:pStyle w:val="Compact"/>
              <w:jc w:val="left"/>
            </w:pPr>
            <w:r>
              <w:t xml:space="preserve">2026-05-03</w:t>
            </w:r>
          </w:p>
        </w:tc>
        <w:tc>
          <w:tcPr/>
          <w:p>
            <w:pPr>
              <w:pStyle w:val="Compact"/>
              <w:jc w:val="left"/>
            </w:pPr>
            <w:r>
              <w:t xml:space="preserve">Diagram index (14 diagrams), formula index (21 formulas), updated cross-reference table with diagram refs, extended color coding (cyan = scientific), updated master tree with formulas</w:t>
            </w:r>
          </w:p>
        </w:tc>
      </w:tr>
      <w:tr>
        <w:tc>
          <w:tcPr/>
          <w:p>
            <w:pPr>
              <w:pStyle w:val="Compact"/>
              <w:jc w:val="left"/>
            </w:pPr>
            <w:r>
              <w:t xml:space="preserve">9</w:t>
            </w:r>
          </w:p>
        </w:tc>
        <w:tc>
          <w:tcPr/>
          <w:p>
            <w:pPr>
              <w:pStyle w:val="Compact"/>
              <w:jc w:val="left"/>
            </w:pPr>
            <w:r>
              <w:t xml:space="preserve">09-version-history.md</w:t>
            </w:r>
          </w:p>
        </w:tc>
        <w:tc>
          <w:tcPr/>
          <w:p>
            <w:pPr>
              <w:pStyle w:val="Compact"/>
              <w:jc w:val="left"/>
            </w:pPr>
            <w:r>
              <w:t xml:space="preserve">3.2.0</w:t>
            </w:r>
          </w:p>
        </w:tc>
        <w:tc>
          <w:tcPr/>
          <w:p>
            <w:pPr>
              <w:pStyle w:val="Compact"/>
              <w:jc w:val="left"/>
            </w:pPr>
            <w:r>
              <w:t xml:space="preserve">2026-05-03</w:t>
            </w:r>
          </w:p>
        </w:tc>
        <w:tc>
          <w:tcPr/>
          <w:p>
            <w:pPr>
              <w:pStyle w:val="Compact"/>
              <w:jc w:val="left"/>
            </w:pPr>
            <w:r>
              <w:t xml:space="preserve">Added v3.0.0 and v3.2.0 entries, updated chapter revision table with v3.2 additions column</w:t>
            </w:r>
          </w:p>
        </w:tc>
      </w:tr>
      <w:tr>
        <w:tc>
          <w:tcPr/>
          <w:p>
            <w:pPr>
              <w:pStyle w:val="Compact"/>
              <w:jc w:val="left"/>
            </w:pPr>
            <w:r>
              <w:t xml:space="preserve">10</w:t>
            </w:r>
          </w:p>
        </w:tc>
        <w:tc>
          <w:tcPr/>
          <w:p>
            <w:pPr>
              <w:pStyle w:val="Compact"/>
              <w:jc w:val="left"/>
            </w:pPr>
            <w:r>
              <w:t xml:space="preserve">10-sources.md</w:t>
            </w:r>
          </w:p>
        </w:tc>
        <w:tc>
          <w:tcPr/>
          <w:p>
            <w:pPr>
              <w:pStyle w:val="Compact"/>
              <w:jc w:val="left"/>
            </w:pPr>
            <w:r>
              <w:t xml:space="preserve">3.2.0</w:t>
            </w:r>
          </w:p>
        </w:tc>
        <w:tc>
          <w:tcPr/>
          <w:p>
            <w:pPr>
              <w:pStyle w:val="Compact"/>
              <w:jc w:val="left"/>
            </w:pPr>
            <w:r>
              <w:t xml:space="preserve">2026-05-03</w:t>
            </w:r>
          </w:p>
        </w:tc>
        <w:tc>
          <w:tcPr/>
          <w:p>
            <w:pPr>
              <w:pStyle w:val="Compact"/>
              <w:jc w:val="left"/>
            </w:pPr>
            <w:r>
              <w:t xml:space="preserve">Added sections: Anxiety Assessment (GAD-7), Pain Assessment (NRS), Stress &amp; Cortisol Research, Heart Rate Variability (HRV), Physiological Sigh / Breathing Research, Cognitive Load Theory, Dunbar Social Brain, Ostrom Commons Governance, IASC Guidelines, Therapy Effectiveness, Olfactory Science, Caregiver Burnout, Stroke Treatment, Burn Assessment</w:t>
            </w:r>
          </w:p>
        </w:tc>
      </w:tr>
    </w:tbl>
    <w:bookmarkEnd w:id="223"/>
    <w:bookmarkStart w:id="224" w:name="build-metadata"/>
    <w:p>
      <w:pPr>
        <w:pStyle w:val="Heading2"/>
      </w:pPr>
      <w:r>
        <w:t xml:space="preserve">Build Metadata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Build system</w:t>
            </w:r>
          </w:p>
        </w:tc>
        <w:tc>
          <w:tcPr/>
          <w:p>
            <w:pPr>
              <w:pStyle w:val="Compact"/>
              <w:jc w:val="left"/>
            </w:pPr>
            <w:r>
              <w:t xml:space="preserve">Bash + Pandoc + WeasyPrint + matplotlib + Pillow</w:t>
            </w:r>
          </w:p>
        </w:tc>
      </w:tr>
      <w:tr>
        <w:tc>
          <w:tcPr/>
          <w:p>
            <w:pPr>
              <w:pStyle w:val="Compact"/>
              <w:jc w:val="left"/>
            </w:pPr>
            <w:r>
              <w:t xml:space="preserve">Source format</w:t>
            </w:r>
          </w:p>
        </w:tc>
        <w:tc>
          <w:tcPr/>
          <w:p>
            <w:pPr>
              <w:pStyle w:val="Compact"/>
              <w:jc w:val="left"/>
            </w:pPr>
            <w:r>
              <w:t xml:space="preserve">Markdown with YAML frontmatter + LaTeX math + Pandoc footnotes</w:t>
            </w:r>
          </w:p>
        </w:tc>
      </w:tr>
      <w:tr>
        <w:tc>
          <w:tcPr/>
          <w:p>
            <w:pPr>
              <w:pStyle w:val="Compact"/>
              <w:jc w:val="left"/>
            </w:pPr>
            <w:r>
              <w:t xml:space="preserve">Primary PDF route</w:t>
            </w:r>
          </w:p>
        </w:tc>
        <w:tc>
          <w:tcPr/>
          <w:p>
            <w:pPr>
              <w:pStyle w:val="Compact"/>
              <w:jc w:val="left"/>
            </w:pPr>
            <w:r>
              <w:t xml:space="preserve">Cover HTML + Guide HTML → WeasyPrint PDF</w:t>
            </w:r>
          </w:p>
        </w:tc>
      </w:tr>
      <w:tr>
        <w:tc>
          <w:tcPr/>
          <w:p>
            <w:pPr>
              <w:pStyle w:val="Compact"/>
              <w:jc w:val="left"/>
            </w:pPr>
            <w:r>
              <w:t xml:space="preserve">Fallback PDF route</w:t>
            </w:r>
          </w:p>
        </w:tc>
        <w:tc>
          <w:tcPr/>
          <w:p>
            <w:pPr>
              <w:pStyle w:val="Compact"/>
              <w:jc w:val="left"/>
            </w:pPr>
            <w:r>
              <w:t xml:space="preserve">Pandoc → LaTeX → PDF</w:t>
            </w:r>
          </w:p>
        </w:tc>
      </w:tr>
      <w:tr>
        <w:tc>
          <w:tcPr/>
          <w:p>
            <w:pPr>
              <w:pStyle w:val="Compact"/>
              <w:jc w:val="left"/>
            </w:pPr>
            <w:r>
              <w:t xml:space="preserve">Diagram format</w:t>
            </w:r>
          </w:p>
        </w:tc>
        <w:tc>
          <w:tcPr/>
          <w:p>
            <w:pPr>
              <w:pStyle w:val="Compact"/>
              <w:jc w:val="left"/>
            </w:pPr>
            <w:r>
              <w:t xml:space="preserve">PNG (200 DPI) with pixel art enhancements</w:t>
            </w:r>
          </w:p>
        </w:tc>
      </w:tr>
      <w:tr>
        <w:tc>
          <w:tcPr/>
          <w:p>
            <w:pPr>
              <w:pStyle w:val="Compact"/>
              <w:jc w:val="left"/>
            </w:pPr>
            <w:r>
              <w:t xml:space="preserve">Pixel art format</w:t>
            </w:r>
          </w:p>
        </w:tc>
        <w:tc>
          <w:tcPr/>
          <w:p>
            <w:pPr>
              <w:pStyle w:val="Compact"/>
              <w:jc w:val="left"/>
            </w:pPr>
            <w:r>
              <w:t xml:space="preserve">PNG (32×32 sprites, RGBA)</w:t>
            </w:r>
          </w:p>
        </w:tc>
      </w:tr>
      <w:tr>
        <w:tc>
          <w:tcPr/>
          <w:p>
            <w:pPr>
              <w:pStyle w:val="Compact"/>
              <w:jc w:val="left"/>
            </w:pPr>
            <w:r>
              <w:t xml:space="preserve">CSS version</w:t>
            </w:r>
          </w:p>
        </w:tc>
        <w:tc>
          <w:tcPr/>
          <w:p>
            <w:pPr>
              <w:pStyle w:val="Compact"/>
              <w:jc w:val="left"/>
            </w:pPr>
            <w:r>
              <w:t xml:space="preserve">2.0.0 (gradient headings, dark mode, pixel art classes)</w:t>
            </w:r>
          </w:p>
        </w:tc>
      </w:tr>
      <w:tr>
        <w:tc>
          <w:tcPr/>
          <w:p>
            <w:pPr>
              <w:pStyle w:val="Compact"/>
              <w:jc w:val="left"/>
            </w:pPr>
            <w:r>
              <w:t xml:space="preserve">Math rendering</w:t>
            </w:r>
          </w:p>
        </w:tc>
        <w:tc>
          <w:tcPr/>
          <w:p>
            <w:pPr>
              <w:pStyle w:val="Compact"/>
              <w:jc w:val="left"/>
            </w:pPr>
            <w:r>
              <w:t xml:space="preserve">Pandoc → HTML (MathJax/KaTeX), LaTeX (native), DOCX (OMML)</w:t>
            </w:r>
          </w:p>
        </w:tc>
      </w:tr>
    </w:tbl>
    <w:bookmarkEnd w:id="224"/>
    <w:bookmarkStart w:id="225" w:name="update-protocol"/>
    <w:p>
      <w:pPr>
        <w:pStyle w:val="Heading2"/>
      </w:pPr>
      <w:r>
        <w:t xml:space="preserve">Update Protocol</w:t>
      </w:r>
    </w:p>
    <w:p>
      <w:pPr>
        <w:pStyle w:val="Compact"/>
        <w:numPr>
          <w:ilvl w:val="0"/>
          <w:numId w:val="1042"/>
        </w:numPr>
      </w:pPr>
      <w:r>
        <w:t xml:space="preserve">Edit the relevant chapter file in</w:t>
      </w:r>
      <w:r>
        <w:t xml:space="preserve"> </w:t>
      </w:r>
      <w:r>
        <w:rPr>
          <w:rStyle w:val="VerbatimChar"/>
        </w:rPr>
        <w:t xml:space="preserve">src/chapters/</w:t>
      </w:r>
      <w:r>
        <w:t xml:space="preserve">.</w:t>
      </w:r>
    </w:p>
    <w:p>
      <w:pPr>
        <w:pStyle w:val="Compact"/>
        <w:numPr>
          <w:ilvl w:val="0"/>
          <w:numId w:val="1042"/>
        </w:numPr>
      </w:pPr>
      <w:r>
        <w:t xml:space="preserve">Increment the</w:t>
      </w:r>
      <w:r>
        <w:t xml:space="preserve"> </w:t>
      </w:r>
      <w:r>
        <w:rPr>
          <w:rStyle w:val="VerbatimChar"/>
        </w:rPr>
        <w:t xml:space="preserve">revision</w:t>
      </w:r>
      <w:r>
        <w:t xml:space="preserve"> </w:t>
      </w:r>
      <w:r>
        <w:t xml:space="preserve">field in that file’s YAML frontmatter.</w:t>
      </w:r>
    </w:p>
    <w:p>
      <w:pPr>
        <w:pStyle w:val="Compact"/>
        <w:numPr>
          <w:ilvl w:val="0"/>
          <w:numId w:val="1042"/>
        </w:numPr>
      </w:pPr>
      <w:r>
        <w:t xml:space="preserve">Add an entry to the Chapter Revisions table above.</w:t>
      </w:r>
    </w:p>
    <w:p>
      <w:pPr>
        <w:pStyle w:val="Compact"/>
        <w:numPr>
          <w:ilvl w:val="0"/>
          <w:numId w:val="1042"/>
        </w:numPr>
      </w:pPr>
      <w:r>
        <w:t xml:space="preserve">Add a changelog entry to</w:t>
      </w:r>
      <w:r>
        <w:t xml:space="preserve"> </w:t>
      </w:r>
      <w:r>
        <w:rPr>
          <w:rStyle w:val="VerbatimChar"/>
        </w:rPr>
        <w:t xml:space="preserve">CHANGELOG.md</w:t>
      </w:r>
      <w:r>
        <w:t xml:space="preserve">.</w:t>
      </w:r>
    </w:p>
    <w:p>
      <w:pPr>
        <w:pStyle w:val="Compact"/>
        <w:numPr>
          <w:ilvl w:val="0"/>
          <w:numId w:val="1042"/>
        </w:numPr>
      </w:pPr>
      <w:r>
        <w:t xml:space="preserve">Rebuild:</w:t>
      </w:r>
      <w:r>
        <w:t xml:space="preserve"> </w:t>
      </w:r>
      <w:r>
        <w:rPr>
          <w:rStyle w:val="VerbatimChar"/>
        </w:rPr>
        <w:t xml:space="preserve">./bin/build_all.sh</w:t>
      </w:r>
    </w:p>
    <w:p>
      <w:pPr>
        <w:pStyle w:val="Compact"/>
        <w:numPr>
          <w:ilvl w:val="0"/>
          <w:numId w:val="1042"/>
        </w:numPr>
      </w:pPr>
      <w:r>
        <w:t xml:space="preserve">Verify outputs in</w:t>
      </w:r>
      <w:r>
        <w:t xml:space="preserve"> </w:t>
      </w:r>
      <w:r>
        <w:rPr>
          <w:rStyle w:val="VerbatimChar"/>
        </w:rPr>
        <w:t xml:space="preserve">build/</w:t>
      </w:r>
      <w:r>
        <w:t xml:space="preserve">.</w:t>
      </w:r>
    </w:p>
    <w:p>
      <w:pPr>
        <w:pStyle w:val="FirstParagraph"/>
      </w:pPr>
      <w:r>
        <w:t xml:space="preserve">title:</w:t>
      </w:r>
      <w:r>
        <w:t xml:space="preserve"> </w:t>
      </w:r>
      <w:r>
        <w:t xml:space="preserve">“</w:t>
      </w:r>
      <w:r>
        <w:t xml:space="preserve">Sources &amp; Further Reading</w:t>
      </w:r>
      <w:r>
        <w:t xml:space="preserve">”</w:t>
      </w:r>
      <w:r>
        <w:t xml:space="preserve"> </w:t>
      </w:r>
      <w:r>
        <w:t xml:space="preserve">chapter: 10</w:t>
      </w:r>
      <w:r>
        <w:t xml:space="preserve"> </w:t>
      </w:r>
      <w:r>
        <w:t xml:space="preserve">revision:</w:t>
      </w:r>
      <w:r>
        <w:t xml:space="preserve"> </w:t>
      </w:r>
      <w:r>
        <w:t xml:space="preserve">“</w:t>
      </w:r>
      <w:r>
        <w:t xml:space="preserve">3.2.0</w:t>
      </w:r>
      <w:r>
        <w:t xml:space="preserve">”</w:t>
      </w:r>
      <w:r>
        <w:t xml:space="preserve"> </w:t>
      </w:r>
      <w:r>
        <w:t xml:space="preserve">last_updated:</w:t>
      </w:r>
      <w:r>
        <w:t xml:space="preserve"> </w:t>
      </w:r>
      <w:r>
        <w:t xml:space="preserve">“</w:t>
      </w:r>
      <w:r>
        <w:t xml:space="preserve">2026-05-03</w:t>
      </w:r>
      <w:r>
        <w:t xml:space="preserve">”</w:t>
      </w:r>
      <w:r>
        <w:t xml:space="preserve"> </w:t>
      </w:r>
      <w:r>
        <w:t xml:space="preserve">type: appendix</w:t>
      </w:r>
      <w:r>
        <w:t xml:space="preserve"> </w:t>
      </w:r>
      <w:r>
        <w:t xml:space="preserve">dependencies: []</w:t>
      </w:r>
      <w:r>
        <w:t xml:space="preserve"> </w:t>
      </w:r>
      <w:r>
        <w:t xml:space="preserve">—</w:t>
      </w:r>
    </w:p>
    <w:bookmarkEnd w:id="225"/>
    <w:bookmarkEnd w:id="226"/>
    <w:bookmarkStart w:id="353" w:name="sources-further-reading"/>
    <w:p>
      <w:pPr>
        <w:pStyle w:val="Heading1"/>
      </w:pPr>
      <w:r>
        <w:t xml:space="preserve">Sources &amp; Further Reading</w:t>
      </w:r>
    </w:p>
    <w:p>
      <w:pPr>
        <w:pStyle w:val="FirstParagraph"/>
      </w:pPr>
      <w:r>
        <w:t xml:space="preserve">This guide didn’t spring from a bathroom fully formed. The techniques, protocols, and recommendations throughout these pages are grounded in real, verifiable sources — from WHO guidelines and military survival manuals to Stoic philosophy and social psychology research. This section collects the most important references so you can go deeper on any topic that caught your attention (or your anxiety).</w:t>
      </w:r>
    </w:p>
    <w:p>
      <w:pPr>
        <w:pStyle w:val="BodyText"/>
      </w:pPr>
      <w:r>
        <w:rPr>
          <w:b/>
          <w:bCs/>
        </w:rPr>
        <w:t xml:space="preserve">How to use this section:</w:t>
      </w:r>
      <w:r>
        <w:t xml:space="preserve"> </w:t>
      </w:r>
      <w:r>
        <w:t xml:space="preserve">Each category corresponds to a major theme in the guide. Entries are marked with credibility tiers: ★★★ = official/primary source, ★★☆ = reputable secondary source, ★☆☆ = general web resource. When in doubt, trust the ★★★ sources first — they’re the ones written by people with degrees and institutional backing, not bathroom philosophers (present company excepted).</w:t>
      </w:r>
    </w:p>
    <w:bookmarkStart w:id="233" w:name="first-aid-emergency-response"/>
    <w:p>
      <w:pPr>
        <w:pStyle w:val="Heading2"/>
      </w:pPr>
      <w:r>
        <w:t xml:space="preserve">First Aid &amp; Emergency Response</w:t>
      </w:r>
    </w:p>
    <w:p>
      <w:pPr>
        <w:pStyle w:val="FirstParagraph"/>
      </w:pPr>
      <w:r>
        <w:t xml:space="preserve">The Self Ambulance Guide (Ch.5) draws on these sources for its triage protocols, wound care, burn treatment, and CPR guidance.</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Red Cross — First Aid Steps</w:t>
            </w:r>
          </w:p>
        </w:tc>
        <w:tc>
          <w:tcPr/>
          <w:p>
            <w:pPr>
              <w:pStyle w:val="Compact"/>
              <w:jc w:val="left"/>
            </w:pPr>
            <w:hyperlink r:id="rId227">
              <w:r>
                <w:rPr>
                  <w:rStyle w:val="Hyperlink"/>
                </w:rPr>
                <w:t xml:space="preserve">redcross.org/take-a-class/first-aid</w:t>
              </w:r>
            </w:hyperlink>
          </w:p>
        </w:tc>
        <w:tc>
          <w:tcPr/>
          <w:p>
            <w:pPr>
              <w:pStyle w:val="Compact"/>
              <w:jc w:val="left"/>
            </w:pPr>
            <w:r>
              <w:t xml:space="preserve">★★★ Printable step-by-step first aid covering CPR, wound care, and emergency response</w:t>
            </w:r>
          </w:p>
        </w:tc>
      </w:tr>
      <w:tr>
        <w:tc>
          <w:tcPr/>
          <w:p>
            <w:pPr>
              <w:pStyle w:val="Compact"/>
              <w:jc w:val="left"/>
            </w:pPr>
            <w:r>
              <w:t xml:space="preserve">German Red Cross (DRK) — Erste Hilfe</w:t>
            </w:r>
          </w:p>
        </w:tc>
        <w:tc>
          <w:tcPr/>
          <w:p>
            <w:pPr>
              <w:pStyle w:val="Compact"/>
              <w:jc w:val="left"/>
            </w:pPr>
            <w:hyperlink r:id="rId228">
              <w:r>
                <w:rPr>
                  <w:rStyle w:val="Hyperlink"/>
                </w:rPr>
                <w:t xml:space="preserve">drk.de/hilfe-in-deutschland/erste-hilfe</w:t>
              </w:r>
            </w:hyperlink>
          </w:p>
        </w:tc>
        <w:tc>
          <w:tcPr/>
          <w:p>
            <w:pPr>
              <w:pStyle w:val="Compact"/>
              <w:jc w:val="left"/>
            </w:pPr>
            <w:r>
              <w:t xml:space="preserve">★★★ Official DRK first aid page with videos, course finder, and emergency procedures</w:t>
            </w:r>
          </w:p>
        </w:tc>
      </w:tr>
      <w:tr>
        <w:tc>
          <w:tcPr/>
          <w:p>
            <w:pPr>
              <w:pStyle w:val="Compact"/>
              <w:jc w:val="left"/>
            </w:pPr>
            <w:r>
              <w:t xml:space="preserve">IFRC — First Aid</w:t>
            </w:r>
          </w:p>
        </w:tc>
        <w:tc>
          <w:tcPr/>
          <w:p>
            <w:pPr>
              <w:pStyle w:val="Compact"/>
              <w:jc w:val="left"/>
            </w:pPr>
            <w:hyperlink r:id="rId229">
              <w:r>
                <w:rPr>
                  <w:rStyle w:val="Hyperlink"/>
                </w:rPr>
                <w:t xml:space="preserve">ifrc.org/our-work/health-and-care/first-aid</w:t>
              </w:r>
            </w:hyperlink>
          </w:p>
        </w:tc>
        <w:tc>
          <w:tcPr/>
          <w:p>
            <w:pPr>
              <w:pStyle w:val="Compact"/>
              <w:jc w:val="left"/>
            </w:pPr>
            <w:r>
              <w:t xml:space="preserve">★★★ Global Red Cross/Red Crescent first aid training overview across 191 national societies</w:t>
            </w:r>
          </w:p>
        </w:tc>
      </w:tr>
      <w:tr>
        <w:tc>
          <w:tcPr/>
          <w:p>
            <w:pPr>
              <w:pStyle w:val="Compact"/>
              <w:jc w:val="left"/>
            </w:pPr>
            <w:r>
              <w:t xml:space="preserve">ERC Guidelines 2025</w:t>
            </w:r>
          </w:p>
        </w:tc>
        <w:tc>
          <w:tcPr/>
          <w:p>
            <w:pPr>
              <w:pStyle w:val="Compact"/>
              <w:jc w:val="left"/>
            </w:pPr>
            <w:hyperlink r:id="rId230">
              <w:r>
                <w:rPr>
                  <w:rStyle w:val="Hyperlink"/>
                </w:rPr>
                <w:t xml:space="preserve">erc.edu/science-research/guidelines</w:t>
              </w:r>
            </w:hyperlink>
          </w:p>
        </w:tc>
        <w:tc>
          <w:tcPr/>
          <w:p>
            <w:pPr>
              <w:pStyle w:val="Compact"/>
              <w:jc w:val="left"/>
            </w:pPr>
            <w:r>
              <w:t xml:space="preserve">★★★ Latest European resuscitation guidelines — the European standard for CPR practice</w:t>
            </w:r>
          </w:p>
        </w:tc>
      </w:tr>
      <w:tr>
        <w:tc>
          <w:tcPr/>
          <w:p>
            <w:pPr>
              <w:pStyle w:val="Compact"/>
              <w:jc w:val="left"/>
            </w:pPr>
            <w:r>
              <w:t xml:space="preserve">St. John Ambulance — First Aid Reference Guide</w:t>
            </w:r>
          </w:p>
        </w:tc>
        <w:tc>
          <w:tcPr/>
          <w:p>
            <w:pPr>
              <w:pStyle w:val="Compact"/>
              <w:jc w:val="left"/>
            </w:pPr>
            <w:hyperlink r:id="rId231">
              <w:r>
                <w:rPr>
                  <w:rStyle w:val="Hyperlink"/>
                </w:rPr>
                <w:t xml:space="preserve">sja.ca (PDF)</w:t>
              </w:r>
            </w:hyperlink>
          </w:p>
        </w:tc>
        <w:tc>
          <w:tcPr/>
          <w:p>
            <w:pPr>
              <w:pStyle w:val="Compact"/>
              <w:jc w:val="left"/>
            </w:pPr>
            <w:r>
              <w:t xml:space="preserve">★★★ Comprehensive evidence-based first aid reference guide</w:t>
            </w:r>
          </w:p>
        </w:tc>
      </w:tr>
      <w:tr>
        <w:tc>
          <w:tcPr/>
          <w:p>
            <w:pPr>
              <w:pStyle w:val="Compact"/>
              <w:jc w:val="left"/>
            </w:pPr>
            <w:r>
              <w:t xml:space="preserve">St. John Ambulance NSW — Guides</w:t>
            </w:r>
          </w:p>
        </w:tc>
        <w:tc>
          <w:tcPr/>
          <w:p>
            <w:pPr>
              <w:pStyle w:val="Compact"/>
              <w:jc w:val="left"/>
            </w:pPr>
            <w:hyperlink r:id="rId232">
              <w:r>
                <w:rPr>
                  <w:rStyle w:val="Hyperlink"/>
                </w:rPr>
                <w:t xml:space="preserve">stjohnnsw.com.au/first-aid-guides</w:t>
              </w:r>
            </w:hyperlink>
          </w:p>
        </w:tc>
        <w:tc>
          <w:tcPr/>
          <w:p>
            <w:pPr>
              <w:pStyle w:val="Compact"/>
              <w:jc w:val="left"/>
            </w:pPr>
            <w:r>
              <w:t xml:space="preserve">★★☆ Up-to-date first aid advice from St. John Ambulance Australia</w:t>
            </w:r>
          </w:p>
        </w:tc>
      </w:tr>
    </w:tbl>
    <w:bookmarkEnd w:id="233"/>
    <w:bookmarkStart w:id="241" w:name="survival-emergency-preparedness"/>
    <w:p>
      <w:pPr>
        <w:pStyle w:val="Heading2"/>
      </w:pPr>
      <w:r>
        <w:t xml:space="preserve">Survival &amp; Emergency Preparedness</w:t>
      </w:r>
    </w:p>
    <w:p>
      <w:pPr>
        <w:pStyle w:val="FirstParagraph"/>
      </w:pPr>
      <w:r>
        <w:t xml:space="preserve">The Zombie Guide (Ch.6) is secretly a real survival guide. These sources cover the genuine skills that double as zombie preparation and actual catastrophe readiness.</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SAS Survival Handbook</w:t>
            </w:r>
          </w:p>
        </w:tc>
        <w:tc>
          <w:tcPr/>
          <w:p>
            <w:pPr>
              <w:pStyle w:val="Compact"/>
              <w:jc w:val="left"/>
            </w:pPr>
            <w:hyperlink r:id="rId234">
              <w:r>
                <w:rPr>
                  <w:rStyle w:val="Hyperlink"/>
                </w:rPr>
                <w:t xml:space="preserve">Wikipedia overview</w:t>
              </w:r>
            </w:hyperlink>
          </w:p>
        </w:tc>
        <w:tc>
          <w:tcPr/>
          <w:p>
            <w:pPr>
              <w:pStyle w:val="Compact"/>
              <w:jc w:val="left"/>
            </w:pPr>
            <w:r>
              <w:t xml:space="preserve">★★☆ John</w:t>
            </w:r>
            <w:r>
              <w:t xml:space="preserve"> </w:t>
            </w:r>
            <w:r>
              <w:t xml:space="preserve">“</w:t>
            </w:r>
            <w:r>
              <w:t xml:space="preserve">Lofty</w:t>
            </w:r>
            <w:r>
              <w:t xml:space="preserve">”</w:t>
            </w:r>
            <w:r>
              <w:t xml:space="preserve"> </w:t>
            </w:r>
            <w:r>
              <w:t xml:space="preserve">Wiseman’s classic survival manual — the book to have when civilization stops</w:t>
            </w:r>
          </w:p>
        </w:tc>
      </w:tr>
      <w:tr>
        <w:tc>
          <w:tcPr/>
          <w:p>
            <w:pPr>
              <w:pStyle w:val="Compact"/>
              <w:jc w:val="left"/>
            </w:pPr>
            <w:r>
              <w:t xml:space="preserve">WHO — Emergency Treatment of Drinking-Water</w:t>
            </w:r>
          </w:p>
        </w:tc>
        <w:tc>
          <w:tcPr/>
          <w:p>
            <w:pPr>
              <w:pStyle w:val="Compact"/>
              <w:jc w:val="left"/>
            </w:pPr>
            <w:hyperlink r:id="rId235">
              <w:r>
                <w:rPr>
                  <w:rStyle w:val="Hyperlink"/>
                </w:rPr>
                <w:t xml:space="preserve">WHO Technical Note (PDF)</w:t>
              </w:r>
            </w:hyperlink>
          </w:p>
        </w:tc>
        <w:tc>
          <w:tcPr/>
          <w:p>
            <w:pPr>
              <w:pStyle w:val="Compact"/>
              <w:jc w:val="left"/>
            </w:pPr>
            <w:r>
              <w:t xml:space="preserve">★★★ Field water treatment methods for emergencies</w:t>
            </w:r>
          </w:p>
        </w:tc>
      </w:tr>
      <w:tr>
        <w:tc>
          <w:tcPr/>
          <w:p>
            <w:pPr>
              <w:pStyle w:val="Compact"/>
              <w:jc w:val="left"/>
            </w:pPr>
            <w:r>
              <w:t xml:space="preserve">FEMA — Ready.gov</w:t>
            </w:r>
          </w:p>
        </w:tc>
        <w:tc>
          <w:tcPr/>
          <w:p>
            <w:pPr>
              <w:pStyle w:val="Compact"/>
              <w:jc w:val="left"/>
            </w:pPr>
            <w:hyperlink r:id="rId236">
              <w:r>
                <w:rPr>
                  <w:rStyle w:val="Hyperlink"/>
                </w:rPr>
                <w:t xml:space="preserve">ready.gov</w:t>
              </w:r>
            </w:hyperlink>
          </w:p>
        </w:tc>
        <w:tc>
          <w:tcPr/>
          <w:p>
            <w:pPr>
              <w:pStyle w:val="Compact"/>
              <w:jc w:val="left"/>
            </w:pPr>
            <w:r>
              <w:t xml:space="preserve">★★★ Official U.S. preparedness site: emergency plans, disaster kits, shelter, real-time alerts</w:t>
            </w:r>
          </w:p>
        </w:tc>
      </w:tr>
      <w:tr>
        <w:tc>
          <w:tcPr/>
          <w:p>
            <w:pPr>
              <w:pStyle w:val="Compact"/>
              <w:jc w:val="left"/>
            </w:pPr>
            <w:r>
              <w:t xml:space="preserve">FEMA — Basic Preparedness (PDF)</w:t>
            </w:r>
          </w:p>
        </w:tc>
        <w:tc>
          <w:tcPr/>
          <w:p>
            <w:pPr>
              <w:pStyle w:val="Compact"/>
              <w:jc w:val="left"/>
            </w:pPr>
            <w:hyperlink r:id="rId237">
              <w:r>
                <w:rPr>
                  <w:rStyle w:val="Hyperlink"/>
                </w:rPr>
                <w:t xml:space="preserve">fema.gov (PDF)</w:t>
              </w:r>
            </w:hyperlink>
          </w:p>
        </w:tc>
        <w:tc>
          <w:tcPr/>
          <w:p>
            <w:pPr>
              <w:pStyle w:val="Compact"/>
              <w:jc w:val="left"/>
            </w:pPr>
            <w:r>
              <w:t xml:space="preserve">★★★ Comprehensive FEMA guide: emergency plans, supply kits, shelter, community resources</w:t>
            </w:r>
          </w:p>
        </w:tc>
      </w:tr>
      <w:tr>
        <w:tc>
          <w:tcPr/>
          <w:p>
            <w:pPr>
              <w:pStyle w:val="Compact"/>
              <w:jc w:val="left"/>
            </w:pPr>
            <w:r>
              <w:t xml:space="preserve">BBK — Vorsorgen für Krisen und Katastrophen</w:t>
            </w:r>
          </w:p>
        </w:tc>
        <w:tc>
          <w:tcPr/>
          <w:p>
            <w:pPr>
              <w:pStyle w:val="Compact"/>
              <w:jc w:val="left"/>
            </w:pPr>
            <w:hyperlink r:id="rId238">
              <w:r>
                <w:rPr>
                  <w:rStyle w:val="Hyperlink"/>
                </w:rPr>
                <w:t xml:space="preserve">bbk.bund.de</w:t>
              </w:r>
            </w:hyperlink>
          </w:p>
        </w:tc>
        <w:tc>
          <w:tcPr/>
          <w:p>
            <w:pPr>
              <w:pStyle w:val="Compact"/>
              <w:jc w:val="left"/>
            </w:pPr>
            <w:r>
              <w:t xml:space="preserve">★★★ Official German Federal Office for Civil Protection emergency preparedness guide</w:t>
            </w:r>
          </w:p>
        </w:tc>
      </w:tr>
      <w:tr>
        <w:tc>
          <w:tcPr/>
          <w:p>
            <w:pPr>
              <w:pStyle w:val="Compact"/>
              <w:jc w:val="left"/>
            </w:pPr>
            <w:r>
              <w:t xml:space="preserve">BBK — Personal Preparedness (English)</w:t>
            </w:r>
          </w:p>
        </w:tc>
        <w:tc>
          <w:tcPr/>
          <w:p>
            <w:pPr>
              <w:pStyle w:val="Compact"/>
              <w:jc w:val="left"/>
            </w:pPr>
            <w:hyperlink r:id="rId239">
              <w:r>
                <w:rPr>
                  <w:rStyle w:val="Hyperlink"/>
                </w:rPr>
                <w:t xml:space="preserve">bbk.bund.de/EN</w:t>
              </w:r>
            </w:hyperlink>
          </w:p>
        </w:tc>
        <w:tc>
          <w:tcPr/>
          <w:p>
            <w:pPr>
              <w:pStyle w:val="Compact"/>
              <w:jc w:val="left"/>
            </w:pPr>
            <w:r>
              <w:t xml:space="preserve">★★★ English version of BBK’s personal preparedness guidance</w:t>
            </w:r>
          </w:p>
        </w:tc>
      </w:tr>
      <w:tr>
        <w:tc>
          <w:tcPr/>
          <w:p>
            <w:pPr>
              <w:pStyle w:val="Compact"/>
              <w:jc w:val="left"/>
            </w:pPr>
            <w:r>
              <w:t xml:space="preserve">US Army Survival Manual FM 21-76</w:t>
            </w:r>
          </w:p>
        </w:tc>
        <w:tc>
          <w:tcPr/>
          <w:p>
            <w:pPr>
              <w:pStyle w:val="Compact"/>
              <w:jc w:val="left"/>
            </w:pPr>
            <w:hyperlink r:id="rId240">
              <w:r>
                <w:rPr>
                  <w:rStyle w:val="Hyperlink"/>
                </w:rPr>
                <w:t xml:space="preserve">Archive.org (PDF)</w:t>
              </w:r>
            </w:hyperlink>
          </w:p>
        </w:tc>
        <w:tc>
          <w:tcPr/>
          <w:p>
            <w:pPr>
              <w:pStyle w:val="Compact"/>
              <w:jc w:val="left"/>
            </w:pPr>
            <w:r>
              <w:t xml:space="preserve">★★★ Full PDF of the classic military survival manual — covers all climates and terrains</w:t>
            </w:r>
          </w:p>
        </w:tc>
      </w:tr>
    </w:tbl>
    <w:bookmarkEnd w:id="241"/>
    <w:bookmarkStart w:id="248" w:name="electricity-safety-basics"/>
    <w:p>
      <w:pPr>
        <w:pStyle w:val="Heading2"/>
      </w:pPr>
      <w:r>
        <w:t xml:space="preserve">Electricity Safety &amp; Basics</w:t>
      </w:r>
    </w:p>
    <w:p>
      <w:pPr>
        <w:pStyle w:val="FirstParagraph"/>
      </w:pPr>
      <w:r>
        <w:t xml:space="preserve">For when the lights go out (or you’re wondering if that wire is safe to touch), these sources cover electrical fundamentals and emergency procedures.</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OSHA — Electrical Safety Overview</w:t>
            </w:r>
          </w:p>
        </w:tc>
        <w:tc>
          <w:tcPr/>
          <w:p>
            <w:pPr>
              <w:pStyle w:val="Compact"/>
              <w:jc w:val="left"/>
            </w:pPr>
            <w:hyperlink r:id="rId242">
              <w:r>
                <w:rPr>
                  <w:rStyle w:val="Hyperlink"/>
                </w:rPr>
                <w:t xml:space="preserve">osha.gov/electrical</w:t>
              </w:r>
            </w:hyperlink>
          </w:p>
        </w:tc>
        <w:tc>
          <w:tcPr/>
          <w:p>
            <w:pPr>
              <w:pStyle w:val="Compact"/>
              <w:jc w:val="left"/>
            </w:pPr>
            <w:r>
              <w:t xml:space="preserve">★★★ Official OSHA page on electrical safety standards, shock, electrocution, and fire hazards</w:t>
            </w:r>
          </w:p>
        </w:tc>
      </w:tr>
      <w:tr>
        <w:tc>
          <w:tcPr/>
          <w:p>
            <w:pPr>
              <w:pStyle w:val="Compact"/>
              <w:jc w:val="left"/>
            </w:pPr>
            <w:r>
              <w:t xml:space="preserve">OSHA — Controlling Electrical Hazards (PDF)</w:t>
            </w:r>
          </w:p>
        </w:tc>
        <w:tc>
          <w:tcPr/>
          <w:p>
            <w:pPr>
              <w:pStyle w:val="Compact"/>
              <w:jc w:val="left"/>
            </w:pPr>
            <w:hyperlink r:id="rId243">
              <w:r>
                <w:rPr>
                  <w:rStyle w:val="Hyperlink"/>
                </w:rPr>
                <w:t xml:space="preserve">OSHA Publication 3075</w:t>
              </w:r>
            </w:hyperlink>
          </w:p>
        </w:tc>
        <w:tc>
          <w:tcPr/>
          <w:p>
            <w:pPr>
              <w:pStyle w:val="Compact"/>
              <w:jc w:val="left"/>
            </w:pPr>
            <w:r>
              <w:t xml:space="preserve">★★★ Comprehensive guide on identifying and controlling electrical hazards</w:t>
            </w:r>
          </w:p>
        </w:tc>
      </w:tr>
      <w:tr>
        <w:tc>
          <w:tcPr/>
          <w:p>
            <w:pPr>
              <w:pStyle w:val="Compact"/>
              <w:jc w:val="left"/>
            </w:pPr>
            <w:r>
              <w:t xml:space="preserve">HSE (UK) — Introduction to Electrical Safety</w:t>
            </w:r>
          </w:p>
        </w:tc>
        <w:tc>
          <w:tcPr/>
          <w:p>
            <w:pPr>
              <w:pStyle w:val="Compact"/>
              <w:jc w:val="left"/>
            </w:pPr>
            <w:hyperlink r:id="rId244">
              <w:r>
                <w:rPr>
                  <w:rStyle w:val="Hyperlink"/>
                </w:rPr>
                <w:t xml:space="preserve">hse.gov.uk/electricity</w:t>
              </w:r>
            </w:hyperlink>
          </w:p>
        </w:tc>
        <w:tc>
          <w:tcPr/>
          <w:p>
            <w:pPr>
              <w:pStyle w:val="Compact"/>
              <w:jc w:val="left"/>
            </w:pPr>
            <w:r>
              <w:t xml:space="preserve">★★★ UK Health and Safety Executive guide to electrical safety at work and home</w:t>
            </w:r>
          </w:p>
        </w:tc>
      </w:tr>
      <w:tr>
        <w:tc>
          <w:tcPr/>
          <w:p>
            <w:pPr>
              <w:pStyle w:val="Compact"/>
              <w:jc w:val="left"/>
            </w:pPr>
            <w:r>
              <w:t xml:space="preserve">VDE — The Technology Organization</w:t>
            </w:r>
          </w:p>
        </w:tc>
        <w:tc>
          <w:tcPr/>
          <w:p>
            <w:pPr>
              <w:pStyle w:val="Compact"/>
              <w:jc w:val="left"/>
            </w:pPr>
            <w:hyperlink r:id="rId245">
              <w:r>
                <w:rPr>
                  <w:rStyle w:val="Hyperlink"/>
                </w:rPr>
                <w:t xml:space="preserve">vde.com/en</w:t>
              </w:r>
            </w:hyperlink>
          </w:p>
        </w:tc>
        <w:tc>
          <w:tcPr/>
          <w:p>
            <w:pPr>
              <w:pStyle w:val="Compact"/>
              <w:jc w:val="left"/>
            </w:pPr>
            <w:r>
              <w:t xml:space="preserve">★★★ German Association for Electrical, Electronic &amp; Information Technologies — sets DIN VDE standards</w:t>
            </w:r>
          </w:p>
        </w:tc>
      </w:tr>
      <w:tr>
        <w:tc>
          <w:tcPr/>
          <w:p>
            <w:pPr>
              <w:pStyle w:val="Compact"/>
              <w:jc w:val="left"/>
            </w:pPr>
            <w:r>
              <w:t xml:space="preserve">VDE Standards Overview</w:t>
            </w:r>
          </w:p>
        </w:tc>
        <w:tc>
          <w:tcPr/>
          <w:p>
            <w:pPr>
              <w:pStyle w:val="Compact"/>
              <w:jc w:val="left"/>
            </w:pPr>
            <w:hyperlink r:id="rId246">
              <w:r>
                <w:rPr>
                  <w:rStyle w:val="Hyperlink"/>
                </w:rPr>
                <w:t xml:space="preserve">vde.com/standards-en</w:t>
              </w:r>
            </w:hyperlink>
          </w:p>
        </w:tc>
        <w:tc>
          <w:tcPr/>
          <w:p>
            <w:pPr>
              <w:pStyle w:val="Compact"/>
              <w:jc w:val="left"/>
            </w:pPr>
            <w:r>
              <w:t xml:space="preserve">★★★ Overview of VDE’s full spectrum of electrical engineering standards publications</w:t>
            </w:r>
          </w:p>
        </w:tc>
      </w:tr>
      <w:tr>
        <w:tc>
          <w:tcPr/>
          <w:p>
            <w:pPr>
              <w:pStyle w:val="Compact"/>
              <w:jc w:val="left"/>
            </w:pPr>
            <w:r>
              <w:t xml:space="preserve">ILO — Electrical Safety Guidelines</w:t>
            </w:r>
          </w:p>
        </w:tc>
        <w:tc>
          <w:tcPr/>
          <w:p>
            <w:pPr>
              <w:pStyle w:val="Compact"/>
              <w:jc w:val="left"/>
            </w:pPr>
            <w:hyperlink r:id="rId247">
              <w:r>
                <w:rPr>
                  <w:rStyle w:val="Hyperlink"/>
                </w:rPr>
                <w:t xml:space="preserve">ilo.org</w:t>
              </w:r>
            </w:hyperlink>
          </w:p>
        </w:tc>
        <w:tc>
          <w:tcPr/>
          <w:p>
            <w:pPr>
              <w:pStyle w:val="Compact"/>
              <w:jc w:val="left"/>
            </w:pPr>
            <w:r>
              <w:t xml:space="preserve">★★★ International Labour Organization electrical safety guidance for inspectors and practitioners</w:t>
            </w:r>
          </w:p>
        </w:tc>
      </w:tr>
    </w:tbl>
    <w:bookmarkEnd w:id="248"/>
    <w:bookmarkStart w:id="255" w:name="nutrition-emergency-food"/>
    <w:p>
      <w:pPr>
        <w:pStyle w:val="Heading2"/>
      </w:pPr>
      <w:r>
        <w:t xml:space="preserve">Nutrition &amp; Emergency Food</w:t>
      </w:r>
    </w:p>
    <w:p>
      <w:pPr>
        <w:pStyle w:val="FirstParagraph"/>
      </w:pPr>
      <w:r>
        <w:t xml:space="preserve">The Zombie Guide’s food section is grounded in these nutritional science sources. Whether you’re foraging in the wild or rationing during a supply disruption, these references tell you what your body actually needs.</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WHO — Nutrition Guidelines Portal</w:t>
            </w:r>
          </w:p>
        </w:tc>
        <w:tc>
          <w:tcPr/>
          <w:p>
            <w:pPr>
              <w:pStyle w:val="Compact"/>
              <w:jc w:val="left"/>
            </w:pPr>
            <w:hyperlink r:id="rId249">
              <w:r>
                <w:rPr>
                  <w:rStyle w:val="Hyperlink"/>
                </w:rPr>
                <w:t xml:space="preserve">who.int/health-topics/nutrition</w:t>
              </w:r>
            </w:hyperlink>
          </w:p>
        </w:tc>
        <w:tc>
          <w:tcPr/>
          <w:p>
            <w:pPr>
              <w:pStyle w:val="Compact"/>
              <w:jc w:val="left"/>
            </w:pPr>
            <w:r>
              <w:t xml:space="preserve">★★★ WHO’s central portal for nutrition guidelines, policies, and global recommendations</w:t>
            </w:r>
          </w:p>
        </w:tc>
      </w:tr>
      <w:tr>
        <w:tc>
          <w:tcPr/>
          <w:p>
            <w:pPr>
              <w:pStyle w:val="Compact"/>
              <w:jc w:val="left"/>
            </w:pPr>
            <w:r>
              <w:t xml:space="preserve">WHO — Food and Nutrition Needs in Emergencies (PDF)</w:t>
            </w:r>
          </w:p>
        </w:tc>
        <w:tc>
          <w:tcPr/>
          <w:p>
            <w:pPr>
              <w:pStyle w:val="Compact"/>
              <w:jc w:val="left"/>
            </w:pPr>
            <w:hyperlink r:id="rId250">
              <w:r>
                <w:rPr>
                  <w:rStyle w:val="Hyperlink"/>
                </w:rPr>
                <w:t xml:space="preserve">WHO Technical Guidance</w:t>
              </w:r>
            </w:hyperlink>
          </w:p>
        </w:tc>
        <w:tc>
          <w:tcPr/>
          <w:p>
            <w:pPr>
              <w:pStyle w:val="Compact"/>
              <w:jc w:val="left"/>
            </w:pPr>
            <w:r>
              <w:t xml:space="preserve">★★★ Minimum energy, protein, fat, and micronutrient requirements in emergency food rations</w:t>
            </w:r>
          </w:p>
        </w:tc>
      </w:tr>
      <w:tr>
        <w:tc>
          <w:tcPr/>
          <w:p>
            <w:pPr>
              <w:pStyle w:val="Compact"/>
              <w:jc w:val="left"/>
            </w:pPr>
            <w:r>
              <w:t xml:space="preserve">DGE — German Nutrition Society</w:t>
            </w:r>
          </w:p>
        </w:tc>
        <w:tc>
          <w:tcPr/>
          <w:p>
            <w:pPr>
              <w:pStyle w:val="Compact"/>
              <w:jc w:val="left"/>
            </w:pPr>
            <w:hyperlink r:id="rId251">
              <w:r>
                <w:rPr>
                  <w:rStyle w:val="Hyperlink"/>
                </w:rPr>
                <w:t xml:space="preserve">dge.de/english</w:t>
              </w:r>
            </w:hyperlink>
          </w:p>
        </w:tc>
        <w:tc>
          <w:tcPr/>
          <w:p>
            <w:pPr>
              <w:pStyle w:val="Compact"/>
              <w:jc w:val="left"/>
            </w:pPr>
            <w:r>
              <w:t xml:space="preserve">★★★ Germany’s authority on nutritional science — official English page</w:t>
            </w:r>
          </w:p>
        </w:tc>
      </w:tr>
      <w:tr>
        <w:tc>
          <w:tcPr/>
          <w:p>
            <w:pPr>
              <w:pStyle w:val="Compact"/>
              <w:jc w:val="left"/>
            </w:pPr>
            <w:r>
              <w:t xml:space="preserve">DGE — Food-Based Dietary Guidelines</w:t>
            </w:r>
          </w:p>
        </w:tc>
        <w:tc>
          <w:tcPr/>
          <w:p>
            <w:pPr>
              <w:pStyle w:val="Compact"/>
              <w:jc w:val="left"/>
            </w:pPr>
            <w:hyperlink r:id="rId252">
              <w:r>
                <w:rPr>
                  <w:rStyle w:val="Hyperlink"/>
                </w:rPr>
                <w:t xml:space="preserve">dge.de/english/fbdg</w:t>
              </w:r>
            </w:hyperlink>
          </w:p>
        </w:tc>
        <w:tc>
          <w:tcPr/>
          <w:p>
            <w:pPr>
              <w:pStyle w:val="Compact"/>
              <w:jc w:val="left"/>
            </w:pPr>
            <w:r>
              <w:t xml:space="preserve">★★★ DGE’s 11 dietary messages and nutrition circle for healthy adults</w:t>
            </w:r>
          </w:p>
        </w:tc>
      </w:tr>
      <w:tr>
        <w:tc>
          <w:tcPr/>
          <w:p>
            <w:pPr>
              <w:pStyle w:val="Compact"/>
              <w:jc w:val="left"/>
            </w:pPr>
            <w:r>
              <w:t xml:space="preserve">DGE — 10 Guidelines for Wholesome Diet (PDF)</w:t>
            </w:r>
          </w:p>
        </w:tc>
        <w:tc>
          <w:tcPr/>
          <w:p>
            <w:pPr>
              <w:pStyle w:val="Compact"/>
              <w:jc w:val="left"/>
            </w:pPr>
            <w:hyperlink r:id="rId253">
              <w:r>
                <w:rPr>
                  <w:rStyle w:val="Hyperlink"/>
                </w:rPr>
                <w:t xml:space="preserve">dge.de (PDF)</w:t>
              </w:r>
            </w:hyperlink>
          </w:p>
        </w:tc>
        <w:tc>
          <w:tcPr/>
          <w:p>
            <w:pPr>
              <w:pStyle w:val="Compact"/>
              <w:jc w:val="left"/>
            </w:pPr>
            <w:r>
              <w:t xml:space="preserve">★★★ Core DGE dietary guidelines summarizing wholesome nutrition based on scientific evidence</w:t>
            </w:r>
          </w:p>
        </w:tc>
      </w:tr>
      <w:tr>
        <w:tc>
          <w:tcPr/>
          <w:p>
            <w:pPr>
              <w:pStyle w:val="Compact"/>
              <w:jc w:val="left"/>
            </w:pPr>
            <w:r>
              <w:t xml:space="preserve">NCBI — Nutrient Content for Emergency Food Products</w:t>
            </w:r>
          </w:p>
        </w:tc>
        <w:tc>
          <w:tcPr/>
          <w:p>
            <w:pPr>
              <w:pStyle w:val="Compact"/>
              <w:jc w:val="left"/>
            </w:pPr>
            <w:hyperlink r:id="rId254">
              <w:r>
                <w:rPr>
                  <w:rStyle w:val="Hyperlink"/>
                </w:rPr>
                <w:t xml:space="preserve">ncbi.nlm.nih.gov</w:t>
              </w:r>
            </w:hyperlink>
          </w:p>
        </w:tc>
        <w:tc>
          <w:tcPr/>
          <w:p>
            <w:pPr>
              <w:pStyle w:val="Compact"/>
              <w:jc w:val="left"/>
            </w:pPr>
            <w:r>
              <w:t xml:space="preserve">★★★ National Academies reference on recommended nutrient levels for emergency food products</w:t>
            </w:r>
          </w:p>
        </w:tc>
      </w:tr>
    </w:tbl>
    <w:bookmarkEnd w:id="255"/>
    <w:bookmarkStart w:id="264" w:name="water-purification-clearing"/>
    <w:p>
      <w:pPr>
        <w:pStyle w:val="Heading2"/>
      </w:pPr>
      <w:r>
        <w:t xml:space="preserve">Water Purification &amp; Clearing</w:t>
      </w:r>
    </w:p>
    <w:p>
      <w:pPr>
        <w:pStyle w:val="FirstParagraph"/>
      </w:pPr>
      <w:r>
        <w:t xml:space="preserve">Water is Priority Zero in the Zombie Guide for a reason. These sources detail the science and practice of making water safe to drink in any situation.</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WHO — Drinking-Water Quality Guidelines</w:t>
            </w:r>
          </w:p>
        </w:tc>
        <w:tc>
          <w:tcPr/>
          <w:p>
            <w:pPr>
              <w:pStyle w:val="Compact"/>
              <w:jc w:val="left"/>
            </w:pPr>
            <w:hyperlink r:id="rId256">
              <w:r>
                <w:rPr>
                  <w:rStyle w:val="Hyperlink"/>
                </w:rPr>
                <w:t xml:space="preserve">who.int/water-safety-and-quality</w:t>
              </w:r>
            </w:hyperlink>
          </w:p>
        </w:tc>
        <w:tc>
          <w:tcPr/>
          <w:p>
            <w:pPr>
              <w:pStyle w:val="Compact"/>
              <w:jc w:val="left"/>
            </w:pPr>
            <w:r>
              <w:t xml:space="preserve">★★★ International norms on drinking water quality — the basis for global regulation</w:t>
            </w:r>
          </w:p>
        </w:tc>
      </w:tr>
      <w:tr>
        <w:tc>
          <w:tcPr/>
          <w:p>
            <w:pPr>
              <w:pStyle w:val="Compact"/>
              <w:jc w:val="left"/>
            </w:pPr>
            <w:r>
              <w:t xml:space="preserve">WHO — WASH in Humanitarian Emergencies</w:t>
            </w:r>
          </w:p>
        </w:tc>
        <w:tc>
          <w:tcPr/>
          <w:p>
            <w:pPr>
              <w:pStyle w:val="Compact"/>
              <w:jc w:val="left"/>
            </w:pPr>
            <w:hyperlink r:id="rId257">
              <w:r>
                <w:rPr>
                  <w:rStyle w:val="Hyperlink"/>
                </w:rPr>
                <w:t xml:space="preserve">who.int/wash-emergencies</w:t>
              </w:r>
            </w:hyperlink>
          </w:p>
        </w:tc>
        <w:tc>
          <w:tcPr/>
          <w:p>
            <w:pPr>
              <w:pStyle w:val="Compact"/>
              <w:jc w:val="left"/>
            </w:pPr>
            <w:r>
              <w:t xml:space="preserve">★★★ Water and sanitation minimums in emergencies (15-20 litres per capita per day)</w:t>
            </w:r>
          </w:p>
        </w:tc>
      </w:tr>
      <w:tr>
        <w:tc>
          <w:tcPr/>
          <w:p>
            <w:pPr>
              <w:pStyle w:val="Compact"/>
              <w:jc w:val="left"/>
            </w:pPr>
            <w:r>
              <w:t xml:space="preserve">WHO — Technical Notes on WASH</w:t>
            </w:r>
          </w:p>
        </w:tc>
        <w:tc>
          <w:tcPr/>
          <w:p>
            <w:pPr>
              <w:pStyle w:val="Compact"/>
              <w:jc w:val="left"/>
            </w:pPr>
            <w:hyperlink r:id="rId258">
              <w:r>
                <w:rPr>
                  <w:rStyle w:val="Hyperlink"/>
                </w:rPr>
                <w:t xml:space="preserve">who.int/wash-technical-notes</w:t>
              </w:r>
            </w:hyperlink>
          </w:p>
        </w:tc>
        <w:tc>
          <w:tcPr/>
          <w:p>
            <w:pPr>
              <w:pStyle w:val="Compact"/>
              <w:jc w:val="left"/>
            </w:pPr>
            <w:r>
              <w:t xml:space="preserve">★★★ Field-usable technical notes on water, sanitation, and hygiene for disasters</w:t>
            </w:r>
          </w:p>
        </w:tc>
      </w:tr>
      <w:tr>
        <w:tc>
          <w:tcPr/>
          <w:p>
            <w:pPr>
              <w:pStyle w:val="Compact"/>
              <w:jc w:val="left"/>
            </w:pPr>
            <w:r>
              <w:t xml:space="preserve">CDC — Make Water Safe in an Emergency</w:t>
            </w:r>
          </w:p>
        </w:tc>
        <w:tc>
          <w:tcPr/>
          <w:p>
            <w:pPr>
              <w:pStyle w:val="Compact"/>
              <w:jc w:val="left"/>
            </w:pPr>
            <w:hyperlink r:id="rId259">
              <w:r>
                <w:rPr>
                  <w:rStyle w:val="Hyperlink"/>
                </w:rPr>
                <w:t xml:space="preserve">cdc.gov/water-emergency</w:t>
              </w:r>
            </w:hyperlink>
          </w:p>
        </w:tc>
        <w:tc>
          <w:tcPr/>
          <w:p>
            <w:pPr>
              <w:pStyle w:val="Compact"/>
              <w:jc w:val="left"/>
            </w:pPr>
            <w:r>
              <w:t xml:space="preserve">★★★ Official CDC guide: boiling, chlorination, and filtration methods with specific dosages</w:t>
            </w:r>
          </w:p>
        </w:tc>
      </w:tr>
      <w:tr>
        <w:tc>
          <w:tcPr/>
          <w:p>
            <w:pPr>
              <w:pStyle w:val="Compact"/>
              <w:jc w:val="left"/>
            </w:pPr>
            <w:r>
              <w:t xml:space="preserve">CDC — Emergency Water Treatment (PDF)</w:t>
            </w:r>
          </w:p>
        </w:tc>
        <w:tc>
          <w:tcPr/>
          <w:p>
            <w:pPr>
              <w:pStyle w:val="Compact"/>
              <w:jc w:val="left"/>
            </w:pPr>
            <w:hyperlink r:id="rId260">
              <w:r>
                <w:rPr>
                  <w:rStyle w:val="Hyperlink"/>
                </w:rPr>
                <w:t xml:space="preserve">cdc.gov (PDF)</w:t>
              </w:r>
            </w:hyperlink>
          </w:p>
        </w:tc>
        <w:tc>
          <w:tcPr/>
          <w:p>
            <w:pPr>
              <w:pStyle w:val="Compact"/>
              <w:jc w:val="left"/>
            </w:pPr>
            <w:r>
              <w:t xml:space="preserve">★★★ Printable one-page reference: boiling times, bleach dosages, filter guidance</w:t>
            </w:r>
          </w:p>
        </w:tc>
      </w:tr>
      <w:tr>
        <w:tc>
          <w:tcPr/>
          <w:p>
            <w:pPr>
              <w:pStyle w:val="Compact"/>
              <w:jc w:val="left"/>
            </w:pPr>
            <w:r>
              <w:t xml:space="preserve">EPA — Drinking Water Treatment Technologies</w:t>
            </w:r>
          </w:p>
        </w:tc>
        <w:tc>
          <w:tcPr/>
          <w:p>
            <w:pPr>
              <w:pStyle w:val="Compact"/>
              <w:jc w:val="left"/>
            </w:pPr>
            <w:hyperlink r:id="rId261">
              <w:r>
                <w:rPr>
                  <w:rStyle w:val="Hyperlink"/>
                </w:rPr>
                <w:t xml:space="preserve">epa.gov/sdwa</w:t>
              </w:r>
            </w:hyperlink>
          </w:p>
        </w:tc>
        <w:tc>
          <w:tcPr/>
          <w:p>
            <w:pPr>
              <w:pStyle w:val="Compact"/>
              <w:jc w:val="left"/>
            </w:pPr>
            <w:r>
              <w:t xml:space="preserve">★★★ EPA overview of filtration, disinfection, and contaminant removal technologies</w:t>
            </w:r>
          </w:p>
        </w:tc>
      </w:tr>
      <w:tr>
        <w:tc>
          <w:tcPr/>
          <w:p>
            <w:pPr>
              <w:pStyle w:val="Compact"/>
              <w:jc w:val="left"/>
            </w:pPr>
            <w:r>
              <w:t xml:space="preserve">EPA — Water Filtration Guide</w:t>
            </w:r>
          </w:p>
        </w:tc>
        <w:tc>
          <w:tcPr/>
          <w:p>
            <w:pPr>
              <w:pStyle w:val="Compact"/>
              <w:jc w:val="left"/>
            </w:pPr>
            <w:hyperlink r:id="rId262">
              <w:r>
                <w:rPr>
                  <w:rStyle w:val="Hyperlink"/>
                </w:rPr>
                <w:t xml:space="preserve">epa.gov/ground-water-and-drinking-water</w:t>
              </w:r>
            </w:hyperlink>
          </w:p>
        </w:tc>
        <w:tc>
          <w:tcPr/>
          <w:p>
            <w:pPr>
              <w:pStyle w:val="Compact"/>
              <w:jc w:val="left"/>
            </w:pPr>
            <w:r>
              <w:t xml:space="preserve">★★★ Step-by-step filtration demonstration and educational guide</w:t>
            </w:r>
          </w:p>
        </w:tc>
      </w:tr>
      <w:tr>
        <w:tc>
          <w:tcPr/>
          <w:p>
            <w:pPr>
              <w:pStyle w:val="Compact"/>
              <w:jc w:val="left"/>
            </w:pPr>
            <w:r>
              <w:t xml:space="preserve">CDC — Backcountry Water Treatment (PDF)</w:t>
            </w:r>
          </w:p>
        </w:tc>
        <w:tc>
          <w:tcPr/>
          <w:p>
            <w:pPr>
              <w:pStyle w:val="Compact"/>
              <w:jc w:val="left"/>
            </w:pPr>
            <w:hyperlink r:id="rId263">
              <w:r>
                <w:rPr>
                  <w:rStyle w:val="Hyperlink"/>
                </w:rPr>
                <w:t xml:space="preserve">cdc.gov (PDF)</w:t>
              </w:r>
            </w:hyperlink>
          </w:p>
        </w:tc>
        <w:tc>
          <w:tcPr/>
          <w:p>
            <w:pPr>
              <w:pStyle w:val="Compact"/>
              <w:jc w:val="left"/>
            </w:pPr>
            <w:r>
              <w:t xml:space="preserve">★★★ Water treatment for hiking/camping: chlorine, iodine, boiling, filtration, UV methods</w:t>
            </w:r>
          </w:p>
        </w:tc>
      </w:tr>
    </w:tbl>
    <w:bookmarkEnd w:id="264"/>
    <w:bookmarkStart w:id="272" w:name="child-development"/>
    <w:p>
      <w:pPr>
        <w:pStyle w:val="Heading2"/>
      </w:pPr>
      <w:r>
        <w:t xml:space="preserve">Child Development</w:t>
      </w:r>
    </w:p>
    <w:p>
      <w:pPr>
        <w:pStyle w:val="FirstParagraph"/>
      </w:pPr>
      <w:r>
        <w:t xml:space="preserve">Situation A4 (created a life form &lt;10 years ago) references child development milestones. These sources provide the real developmental science behind the</w:t>
      </w:r>
      <w:r>
        <w:t xml:space="preserve"> </w:t>
      </w:r>
      <w:r>
        <w:t xml:space="preserve">“</w:t>
      </w:r>
      <w:r>
        <w:t xml:space="preserve">compressed timeline</w:t>
      </w:r>
      <w:r>
        <w:t xml:space="preserve">”</w:t>
      </w:r>
      <w:r>
        <w:t xml:space="preserve"> </w:t>
      </w:r>
      <w:r>
        <w:t xml:space="preserve">in that section.</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WHO — Child Growth Standards</w:t>
            </w:r>
          </w:p>
        </w:tc>
        <w:tc>
          <w:tcPr/>
          <w:p>
            <w:pPr>
              <w:pStyle w:val="Compact"/>
              <w:jc w:val="left"/>
            </w:pPr>
            <w:hyperlink r:id="rId265">
              <w:r>
                <w:rPr>
                  <w:rStyle w:val="Hyperlink"/>
                </w:rPr>
                <w:t xml:space="preserve">who.int/child-growth-standards</w:t>
              </w:r>
            </w:hyperlink>
          </w:p>
        </w:tc>
        <w:tc>
          <w:tcPr/>
          <w:p>
            <w:pPr>
              <w:pStyle w:val="Compact"/>
              <w:jc w:val="left"/>
            </w:pPr>
            <w:r>
              <w:t xml:space="preserve">★★★ Internationally recognized child growth standards based on the Multicentre Growth Reference Study</w:t>
            </w:r>
          </w:p>
        </w:tc>
      </w:tr>
      <w:tr>
        <w:tc>
          <w:tcPr/>
          <w:p>
            <w:pPr>
              <w:pStyle w:val="Compact"/>
              <w:jc w:val="left"/>
            </w:pPr>
            <w:r>
              <w:t xml:space="preserve">WHO — Motor Development Milestones</w:t>
            </w:r>
          </w:p>
        </w:tc>
        <w:tc>
          <w:tcPr/>
          <w:p>
            <w:pPr>
              <w:pStyle w:val="Compact"/>
              <w:jc w:val="left"/>
            </w:pPr>
            <w:hyperlink r:id="rId266">
              <w:r>
                <w:rPr>
                  <w:rStyle w:val="Hyperlink"/>
                </w:rPr>
                <w:t xml:space="preserve">who.int/motor-milestones</w:t>
              </w:r>
            </w:hyperlink>
          </w:p>
        </w:tc>
        <w:tc>
          <w:tcPr/>
          <w:p>
            <w:pPr>
              <w:pStyle w:val="Compact"/>
              <w:jc w:val="left"/>
            </w:pPr>
            <w:r>
              <w:t xml:space="preserve">★★★ WHO standards for six gross motor milestones with windows of achievement</w:t>
            </w:r>
          </w:p>
        </w:tc>
      </w:tr>
      <w:tr>
        <w:tc>
          <w:tcPr/>
          <w:p>
            <w:pPr>
              <w:pStyle w:val="Compact"/>
              <w:jc w:val="left"/>
            </w:pPr>
            <w:r>
              <w:t xml:space="preserve">WHO — Early Childhood Development Guidelines (NCBI)</w:t>
            </w:r>
          </w:p>
        </w:tc>
        <w:tc>
          <w:tcPr/>
          <w:p>
            <w:pPr>
              <w:pStyle w:val="Compact"/>
              <w:jc w:val="left"/>
            </w:pPr>
            <w:hyperlink r:id="rId267">
              <w:r>
                <w:rPr>
                  <w:rStyle w:val="Hyperlink"/>
                </w:rPr>
                <w:t xml:space="preserve">ncbi.nlm.nih.gov</w:t>
              </w:r>
            </w:hyperlink>
          </w:p>
        </w:tc>
        <w:tc>
          <w:tcPr/>
          <w:p>
            <w:pPr>
              <w:pStyle w:val="Compact"/>
              <w:jc w:val="left"/>
            </w:pPr>
            <w:r>
              <w:t xml:space="preserve">★★★ Compilation of WHO recommendations for improving infant and child health</w:t>
            </w:r>
          </w:p>
        </w:tc>
      </w:tr>
      <w:tr>
        <w:tc>
          <w:tcPr/>
          <w:p>
            <w:pPr>
              <w:pStyle w:val="Compact"/>
              <w:jc w:val="left"/>
            </w:pPr>
            <w:r>
              <w:t xml:space="preserve">AAP — Milestone Timeline</w:t>
            </w:r>
          </w:p>
        </w:tc>
        <w:tc>
          <w:tcPr/>
          <w:p>
            <w:pPr>
              <w:pStyle w:val="Compact"/>
              <w:jc w:val="left"/>
            </w:pPr>
            <w:hyperlink r:id="rId268">
              <w:r>
                <w:rPr>
                  <w:rStyle w:val="Hyperlink"/>
                </w:rPr>
                <w:t xml:space="preserve">aap.org/milestone-timeline</w:t>
              </w:r>
            </w:hyperlink>
          </w:p>
        </w:tc>
        <w:tc>
          <w:tcPr/>
          <w:p>
            <w:pPr>
              <w:pStyle w:val="Compact"/>
              <w:jc w:val="left"/>
            </w:pPr>
            <w:r>
              <w:t xml:space="preserve">★★★ American Academy of Pediatrics interactive milestone timeline from birth</w:t>
            </w:r>
          </w:p>
        </w:tc>
      </w:tr>
      <w:tr>
        <w:tc>
          <w:tcPr/>
          <w:p>
            <w:pPr>
              <w:pStyle w:val="Compact"/>
              <w:jc w:val="left"/>
            </w:pPr>
            <w:r>
              <w:t xml:space="preserve">CDC — Developmental Milestones</w:t>
            </w:r>
          </w:p>
        </w:tc>
        <w:tc>
          <w:tcPr/>
          <w:p>
            <w:pPr>
              <w:pStyle w:val="Compact"/>
              <w:jc w:val="left"/>
            </w:pPr>
            <w:hyperlink r:id="rId269">
              <w:r>
                <w:rPr>
                  <w:rStyle w:val="Hyperlink"/>
                </w:rPr>
                <w:t xml:space="preserve">cdc.gov/act-early</w:t>
              </w:r>
            </w:hyperlink>
          </w:p>
        </w:tc>
        <w:tc>
          <w:tcPr/>
          <w:p>
            <w:pPr>
              <w:pStyle w:val="Compact"/>
              <w:jc w:val="left"/>
            </w:pPr>
            <w:r>
              <w:t xml:space="preserve">★★★ CDC milestone tracker from birth to 5 years with checklists</w:t>
            </w:r>
          </w:p>
        </w:tc>
      </w:tr>
      <w:tr>
        <w:tc>
          <w:tcPr/>
          <w:p>
            <w:pPr>
              <w:pStyle w:val="Compact"/>
              <w:jc w:val="left"/>
            </w:pPr>
            <w:r>
              <w:t xml:space="preserve">Kinderschutzbund — Official Site</w:t>
            </w:r>
          </w:p>
        </w:tc>
        <w:tc>
          <w:tcPr/>
          <w:p>
            <w:pPr>
              <w:pStyle w:val="Compact"/>
              <w:jc w:val="left"/>
            </w:pPr>
            <w:hyperlink r:id="rId270">
              <w:r>
                <w:rPr>
                  <w:rStyle w:val="Hyperlink"/>
                </w:rPr>
                <w:t xml:space="preserve">kinderschutzbund.de</w:t>
              </w:r>
            </w:hyperlink>
          </w:p>
        </w:tc>
        <w:tc>
          <w:tcPr/>
          <w:p>
            <w:pPr>
              <w:pStyle w:val="Compact"/>
              <w:jc w:val="left"/>
            </w:pPr>
            <w:r>
              <w:t xml:space="preserve">★★★ German Child Protection Association — advocating for children’s rights since 1953</w:t>
            </w:r>
          </w:p>
        </w:tc>
      </w:tr>
      <w:tr>
        <w:tc>
          <w:tcPr/>
          <w:p>
            <w:pPr>
              <w:pStyle w:val="Compact"/>
              <w:jc w:val="left"/>
            </w:pPr>
            <w:r>
              <w:t xml:space="preserve">Zero to Three — Resource Center</w:t>
            </w:r>
          </w:p>
        </w:tc>
        <w:tc>
          <w:tcPr/>
          <w:p>
            <w:pPr>
              <w:pStyle w:val="Compact"/>
              <w:jc w:val="left"/>
            </w:pPr>
            <w:hyperlink r:id="rId271">
              <w:r>
                <w:rPr>
                  <w:rStyle w:val="Hyperlink"/>
                </w:rPr>
                <w:t xml:space="preserve">zerotothree.org/resources</w:t>
              </w:r>
            </w:hyperlink>
          </w:p>
        </w:tc>
        <w:tc>
          <w:tcPr/>
          <w:p>
            <w:pPr>
              <w:pStyle w:val="Compact"/>
              <w:jc w:val="left"/>
            </w:pPr>
            <w:r>
              <w:t xml:space="preserve">★★★ Leading U.S. nonprofit for early childhood development — extensive research-based resources</w:t>
            </w:r>
          </w:p>
        </w:tc>
      </w:tr>
    </w:tbl>
    <w:bookmarkEnd w:id="272"/>
    <w:bookmarkStart w:id="282" w:name="mental-health-best-practices"/>
    <w:p>
      <w:pPr>
        <w:pStyle w:val="Heading2"/>
      </w:pPr>
      <w:r>
        <w:t xml:space="preserve">Mental Health Best Practices</w:t>
      </w:r>
    </w:p>
    <w:p>
      <w:pPr>
        <w:pStyle w:val="FirstParagraph"/>
      </w:pPr>
      <w:r>
        <w:t xml:space="preserve">The Calm Guide (Ch.4) and Professional Support Directory (Ch.7) draw on these sources for their breathing exercises, grounding techniques, and crisis intervention protocols.</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WHO — Mental Health</w:t>
            </w:r>
          </w:p>
        </w:tc>
        <w:tc>
          <w:tcPr/>
          <w:p>
            <w:pPr>
              <w:pStyle w:val="Compact"/>
              <w:jc w:val="left"/>
            </w:pPr>
            <w:hyperlink r:id="rId273">
              <w:r>
                <w:rPr>
                  <w:rStyle w:val="Hyperlink"/>
                </w:rPr>
                <w:t xml:space="preserve">who.int/mental-health</w:t>
              </w:r>
            </w:hyperlink>
          </w:p>
        </w:tc>
        <w:tc>
          <w:tcPr/>
          <w:p>
            <w:pPr>
              <w:pStyle w:val="Compact"/>
              <w:jc w:val="left"/>
            </w:pPr>
            <w:r>
              <w:t xml:space="preserve">★★★ WHO’s central mental health portal with guidance on policy and interventions</w:t>
            </w:r>
          </w:p>
        </w:tc>
      </w:tr>
      <w:tr>
        <w:tc>
          <w:tcPr/>
          <w:p>
            <w:pPr>
              <w:pStyle w:val="Compact"/>
              <w:jc w:val="left"/>
            </w:pPr>
            <w:r>
              <w:t xml:space="preserve">WHO — Mental Health Fact Sheet</w:t>
            </w:r>
          </w:p>
        </w:tc>
        <w:tc>
          <w:tcPr/>
          <w:p>
            <w:pPr>
              <w:pStyle w:val="Compact"/>
              <w:jc w:val="left"/>
            </w:pPr>
            <w:hyperlink r:id="rId274">
              <w:r>
                <w:rPr>
                  <w:rStyle w:val="Hyperlink"/>
                </w:rPr>
                <w:t xml:space="preserve">who.int/fact-sheets/mental-health</w:t>
              </w:r>
            </w:hyperlink>
          </w:p>
        </w:tc>
        <w:tc>
          <w:tcPr/>
          <w:p>
            <w:pPr>
              <w:pStyle w:val="Compact"/>
              <w:jc w:val="left"/>
            </w:pPr>
            <w:r>
              <w:t xml:space="preserve">★★★ Key facts, determinants, strategies, and interventions for mental health</w:t>
            </w:r>
          </w:p>
        </w:tc>
      </w:tr>
      <w:tr>
        <w:tc>
          <w:tcPr/>
          <w:p>
            <w:pPr>
              <w:pStyle w:val="Compact"/>
              <w:jc w:val="left"/>
            </w:pPr>
            <w:r>
              <w:t xml:space="preserve">WHO — Mental Health in Emergencies</w:t>
            </w:r>
          </w:p>
        </w:tc>
        <w:tc>
          <w:tcPr/>
          <w:p>
            <w:pPr>
              <w:pStyle w:val="Compact"/>
              <w:jc w:val="left"/>
            </w:pPr>
            <w:hyperlink r:id="rId275">
              <w:r>
                <w:rPr>
                  <w:rStyle w:val="Hyperlink"/>
                </w:rPr>
                <w:t xml:space="preserve">who.int/mental-health-emergencies</w:t>
              </w:r>
            </w:hyperlink>
          </w:p>
        </w:tc>
        <w:tc>
          <w:tcPr/>
          <w:p>
            <w:pPr>
              <w:pStyle w:val="Compact"/>
              <w:jc w:val="left"/>
            </w:pPr>
            <w:r>
              <w:t xml:space="preserve">★★★ Impact of emergencies on mental health, symptoms, and WHO’s response framework</w:t>
            </w:r>
          </w:p>
        </w:tc>
      </w:tr>
      <w:tr>
        <w:tc>
          <w:tcPr/>
          <w:p>
            <w:pPr>
              <w:pStyle w:val="Compact"/>
              <w:jc w:val="left"/>
            </w:pPr>
            <w:r>
              <w:t xml:space="preserve">WHO — Guidelines on Mental Health at Work (2022)</w:t>
            </w:r>
          </w:p>
        </w:tc>
        <w:tc>
          <w:tcPr/>
          <w:p>
            <w:pPr>
              <w:pStyle w:val="Compact"/>
              <w:jc w:val="left"/>
            </w:pPr>
            <w:hyperlink r:id="rId276">
              <w:r>
                <w:rPr>
                  <w:rStyle w:val="Hyperlink"/>
                </w:rPr>
                <w:t xml:space="preserve">who.int/publications</w:t>
              </w:r>
            </w:hyperlink>
          </w:p>
        </w:tc>
        <w:tc>
          <w:tcPr/>
          <w:p>
            <w:pPr>
              <w:pStyle w:val="Compact"/>
              <w:jc w:val="left"/>
            </w:pPr>
            <w:r>
              <w:t xml:space="preserve">★★★ Evidence-based guidelines for promoting mental health and preventing conditions at work</w:t>
            </w:r>
          </w:p>
        </w:tc>
      </w:tr>
      <w:tr>
        <w:tc>
          <w:tcPr/>
          <w:p>
            <w:pPr>
              <w:pStyle w:val="Compact"/>
              <w:jc w:val="left"/>
            </w:pPr>
            <w:r>
              <w:t xml:space="preserve">APA — Mental Health Resources</w:t>
            </w:r>
          </w:p>
        </w:tc>
        <w:tc>
          <w:tcPr/>
          <w:p>
            <w:pPr>
              <w:pStyle w:val="Compact"/>
              <w:jc w:val="left"/>
            </w:pPr>
            <w:hyperlink r:id="rId277">
              <w:r>
                <w:rPr>
                  <w:rStyle w:val="Hyperlink"/>
                </w:rPr>
                <w:t xml:space="preserve">apa.org/topics/mental-health</w:t>
              </w:r>
            </w:hyperlink>
          </w:p>
        </w:tc>
        <w:tc>
          <w:tcPr/>
          <w:p>
            <w:pPr>
              <w:pStyle w:val="Compact"/>
              <w:jc w:val="left"/>
            </w:pPr>
            <w:r>
              <w:t xml:space="preserve">★★★ American Psychological Association’s hub for mental health resources and publications</w:t>
            </w:r>
          </w:p>
        </w:tc>
      </w:tr>
      <w:tr>
        <w:tc>
          <w:tcPr/>
          <w:p>
            <w:pPr>
              <w:pStyle w:val="Compact"/>
              <w:jc w:val="left"/>
            </w:pPr>
            <w:r>
              <w:t xml:space="preserve">BPtK — Bundespsychotherapeutenkammer</w:t>
            </w:r>
          </w:p>
        </w:tc>
        <w:tc>
          <w:tcPr/>
          <w:p>
            <w:pPr>
              <w:pStyle w:val="Compact"/>
              <w:jc w:val="left"/>
            </w:pPr>
            <w:hyperlink r:id="rId278">
              <w:r>
                <w:rPr>
                  <w:rStyle w:val="Hyperlink"/>
                </w:rPr>
                <w:t xml:space="preserve">bptk.de</w:t>
              </w:r>
            </w:hyperlink>
          </w:p>
        </w:tc>
        <w:tc>
          <w:tcPr/>
          <w:p>
            <w:pPr>
              <w:pStyle w:val="Compact"/>
              <w:jc w:val="left"/>
            </w:pPr>
            <w:r>
              <w:t xml:space="preserve">★★★ German Federal Chamber of Psychotherapists — working group of Germany’s state chambers</w:t>
            </w:r>
          </w:p>
        </w:tc>
      </w:tr>
      <w:tr>
        <w:tc>
          <w:tcPr/>
          <w:p>
            <w:pPr>
              <w:pStyle w:val="Compact"/>
              <w:jc w:val="left"/>
            </w:pPr>
            <w:r>
              <w:t xml:space="preserve">NAMI — National Alliance on Mental Illness</w:t>
            </w:r>
          </w:p>
        </w:tc>
        <w:tc>
          <w:tcPr/>
          <w:p>
            <w:pPr>
              <w:pStyle w:val="Compact"/>
              <w:jc w:val="left"/>
            </w:pPr>
            <w:hyperlink r:id="rId279">
              <w:r>
                <w:rPr>
                  <w:rStyle w:val="Hyperlink"/>
                </w:rPr>
                <w:t xml:space="preserve">nami.org</w:t>
              </w:r>
            </w:hyperlink>
          </w:p>
        </w:tc>
        <w:tc>
          <w:tcPr/>
          <w:p>
            <w:pPr>
              <w:pStyle w:val="Compact"/>
              <w:jc w:val="left"/>
            </w:pPr>
            <w:r>
              <w:t xml:space="preserve">★★★ Largest U.S. grassroots mental health organization — support, education, advocacy</w:t>
            </w:r>
          </w:p>
        </w:tc>
      </w:tr>
      <w:tr>
        <w:tc>
          <w:tcPr/>
          <w:p>
            <w:pPr>
              <w:pStyle w:val="Compact"/>
              <w:jc w:val="left"/>
            </w:pPr>
            <w:r>
              <w:t xml:space="preserve">UMass — MBSR Program</w:t>
            </w:r>
          </w:p>
        </w:tc>
        <w:tc>
          <w:tcPr/>
          <w:p>
            <w:pPr>
              <w:pStyle w:val="Compact"/>
              <w:jc w:val="left"/>
            </w:pPr>
            <w:hyperlink r:id="rId280">
              <w:r>
                <w:rPr>
                  <w:rStyle w:val="Hyperlink"/>
                </w:rPr>
                <w:t xml:space="preserve">ummhealth.org</w:t>
              </w:r>
            </w:hyperlink>
          </w:p>
        </w:tc>
        <w:tc>
          <w:tcPr/>
          <w:p>
            <w:pPr>
              <w:pStyle w:val="Compact"/>
              <w:jc w:val="left"/>
            </w:pPr>
            <w:r>
              <w:t xml:space="preserve">★★★ The original 8-week MBSR program created by Jon Kabat-Zinn in 1979</w:t>
            </w:r>
          </w:p>
        </w:tc>
      </w:tr>
      <w:tr>
        <w:tc>
          <w:tcPr/>
          <w:p>
            <w:pPr>
              <w:pStyle w:val="Compact"/>
              <w:jc w:val="left"/>
            </w:pPr>
            <w:r>
              <w:t xml:space="preserve">Palouse Mindfulness — Free Online MBSR</w:t>
            </w:r>
          </w:p>
        </w:tc>
        <w:tc>
          <w:tcPr/>
          <w:p>
            <w:pPr>
              <w:pStyle w:val="Compact"/>
              <w:jc w:val="left"/>
            </w:pPr>
            <w:hyperlink r:id="rId281">
              <w:r>
                <w:rPr>
                  <w:rStyle w:val="Hyperlink"/>
                </w:rPr>
                <w:t xml:space="preserve">palousemindfulness.com</w:t>
              </w:r>
            </w:hyperlink>
          </w:p>
        </w:tc>
        <w:tc>
          <w:tcPr/>
          <w:p>
            <w:pPr>
              <w:pStyle w:val="Compact"/>
              <w:jc w:val="left"/>
            </w:pPr>
            <w:r>
              <w:t xml:space="preserve">★★☆ 100% free online MBSR course based on Jon Kabat-Zinn’s program</w:t>
            </w:r>
          </w:p>
        </w:tc>
      </w:tr>
    </w:tbl>
    <w:bookmarkEnd w:id="282"/>
    <w:bookmarkStart w:id="286" w:name="anxiety-assessment-gad-7"/>
    <w:p>
      <w:pPr>
        <w:pStyle w:val="Heading2"/>
      </w:pPr>
      <w:r>
        <w:t xml:space="preserve">Anxiety Assessment (GAD-7)</w:t>
      </w:r>
    </w:p>
    <w:p>
      <w:pPr>
        <w:pStyle w:val="FirstParagraph"/>
      </w:pPr>
      <w:r>
        <w:t xml:space="preserve">The GAD-7 scoring system referenced in Situation B (Ch.3) for anxiety severity triage.</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Spitzer et al. — GAD-7 original paper</w:t>
            </w:r>
          </w:p>
        </w:tc>
        <w:tc>
          <w:tcPr/>
          <w:p>
            <w:pPr>
              <w:pStyle w:val="Compact"/>
              <w:jc w:val="left"/>
            </w:pPr>
            <w:hyperlink r:id="rId283">
              <w:r>
                <w:rPr>
                  <w:rStyle w:val="Hyperlink"/>
                </w:rPr>
                <w:t xml:space="preserve">Arch Intern Med (2006)</w:t>
              </w:r>
            </w:hyperlink>
          </w:p>
        </w:tc>
        <w:tc>
          <w:tcPr/>
          <w:p>
            <w:pPr>
              <w:pStyle w:val="Compact"/>
              <w:jc w:val="left"/>
            </w:pPr>
            <w:r>
              <w:t xml:space="preserve">★★★ The original validation study for the 7-item Generalized Anxiety Disorder scale</w:t>
            </w:r>
          </w:p>
        </w:tc>
      </w:tr>
      <w:tr>
        <w:tc>
          <w:tcPr/>
          <w:p>
            <w:pPr>
              <w:pStyle w:val="Compact"/>
              <w:jc w:val="left"/>
            </w:pPr>
            <w:r>
              <w:t xml:space="preserve">Kroenke et al. — Anxiety disorders in primary care</w:t>
            </w:r>
          </w:p>
        </w:tc>
        <w:tc>
          <w:tcPr/>
          <w:p>
            <w:pPr>
              <w:pStyle w:val="Compact"/>
              <w:jc w:val="left"/>
            </w:pPr>
            <w:hyperlink r:id="rId284">
              <w:r>
                <w:rPr>
                  <w:rStyle w:val="Hyperlink"/>
                </w:rPr>
                <w:t xml:space="preserve">Ann Intern Med (2007)</w:t>
              </w:r>
            </w:hyperlink>
          </w:p>
        </w:tc>
        <w:tc>
          <w:tcPr/>
          <w:p>
            <w:pPr>
              <w:pStyle w:val="Compact"/>
              <w:jc w:val="left"/>
            </w:pPr>
            <w:r>
              <w:t xml:space="preserve">★★★ Sensitivity/specificity data for GAD-7 at various thresholds</w:t>
            </w:r>
          </w:p>
        </w:tc>
      </w:tr>
      <w:tr>
        <w:tc>
          <w:tcPr/>
          <w:p>
            <w:pPr>
              <w:pStyle w:val="Compact"/>
              <w:jc w:val="left"/>
            </w:pPr>
            <w:r>
              <w:t xml:space="preserve">APA — GAD-7 Overview</w:t>
            </w:r>
          </w:p>
        </w:tc>
        <w:tc>
          <w:tcPr/>
          <w:p>
            <w:pPr>
              <w:pStyle w:val="Compact"/>
              <w:jc w:val="left"/>
            </w:pPr>
            <w:hyperlink r:id="rId285">
              <w:r>
                <w:rPr>
                  <w:rStyle w:val="Hyperlink"/>
                </w:rPr>
                <w:t xml:space="preserve">apapsychiatry.org</w:t>
              </w:r>
            </w:hyperlink>
          </w:p>
        </w:tc>
        <w:tc>
          <w:tcPr/>
          <w:p>
            <w:pPr>
              <w:pStyle w:val="Compact"/>
              <w:jc w:val="left"/>
            </w:pPr>
            <w:r>
              <w:t xml:space="preserve">★★☆ Clinical overview and interpretation guidelines for the GAD-7</w:t>
            </w:r>
          </w:p>
        </w:tc>
      </w:tr>
    </w:tbl>
    <w:bookmarkEnd w:id="286"/>
    <w:bookmarkStart w:id="290" w:name="pain-assessment-nrs"/>
    <w:p>
      <w:pPr>
        <w:pStyle w:val="Heading2"/>
      </w:pPr>
      <w:r>
        <w:t xml:space="preserve">Pain Assessment (NRS)</w:t>
      </w:r>
    </w:p>
    <w:p>
      <w:pPr>
        <w:pStyle w:val="FirstParagraph"/>
      </w:pPr>
      <w:r>
        <w:t xml:space="preserve">The Numeric Rating Scale referenced in Situation C (Ch.3) and Self Ambulance Guide (Ch.5) for pain severity assessment.</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Williamson &amp; Hoggart — Pain rating scales review</w:t>
            </w:r>
          </w:p>
        </w:tc>
        <w:tc>
          <w:tcPr/>
          <w:p>
            <w:pPr>
              <w:pStyle w:val="Compact"/>
              <w:jc w:val="left"/>
            </w:pPr>
            <w:hyperlink r:id="rId287">
              <w:r>
                <w:rPr>
                  <w:rStyle w:val="Hyperlink"/>
                </w:rPr>
                <w:t xml:space="preserve">J Clin Nurs (2005)</w:t>
              </w:r>
            </w:hyperlink>
          </w:p>
        </w:tc>
        <w:tc>
          <w:tcPr/>
          <w:p>
            <w:pPr>
              <w:pStyle w:val="Compact"/>
              <w:jc w:val="left"/>
            </w:pPr>
            <w:r>
              <w:t xml:space="preserve">★★★ Comprehensive review of NRS, VAS, and categorical pain scales with reliability data</w:t>
            </w:r>
          </w:p>
        </w:tc>
      </w:tr>
      <w:tr>
        <w:tc>
          <w:tcPr/>
          <w:p>
            <w:pPr>
              <w:pStyle w:val="Compact"/>
              <w:jc w:val="left"/>
            </w:pPr>
            <w:r>
              <w:t xml:space="preserve">Hjermstad et al. — Pain intensity scales</w:t>
            </w:r>
          </w:p>
        </w:tc>
        <w:tc>
          <w:tcPr/>
          <w:p>
            <w:pPr>
              <w:pStyle w:val="Compact"/>
              <w:jc w:val="left"/>
            </w:pPr>
            <w:hyperlink r:id="rId288">
              <w:r>
                <w:rPr>
                  <w:rStyle w:val="Hyperlink"/>
                </w:rPr>
                <w:t xml:space="preserve">Pain (2011)</w:t>
              </w:r>
            </w:hyperlink>
          </w:p>
        </w:tc>
        <w:tc>
          <w:tcPr/>
          <w:p>
            <w:pPr>
              <w:pStyle w:val="Compact"/>
              <w:jc w:val="left"/>
            </w:pPr>
            <w:r>
              <w:t xml:space="preserve">★★★ Systematic review comparing 9 pain intensity scales across populations</w:t>
            </w:r>
          </w:p>
        </w:tc>
      </w:tr>
      <w:tr>
        <w:tc>
          <w:tcPr/>
          <w:p>
            <w:pPr>
              <w:pStyle w:val="Compact"/>
              <w:jc w:val="left"/>
            </w:pPr>
            <w:r>
              <w:t xml:space="preserve">Breivik et al. — Pain and quality of life</w:t>
            </w:r>
          </w:p>
        </w:tc>
        <w:tc>
          <w:tcPr/>
          <w:p>
            <w:pPr>
              <w:pStyle w:val="Compact"/>
              <w:jc w:val="left"/>
            </w:pPr>
            <w:hyperlink r:id="rId289">
              <w:r>
                <w:rPr>
                  <w:rStyle w:val="Hyperlink"/>
                </w:rPr>
                <w:t xml:space="preserve">Eur J Pain (2008)</w:t>
              </w:r>
            </w:hyperlink>
          </w:p>
        </w:tc>
        <w:tc>
          <w:tcPr/>
          <w:p>
            <w:pPr>
              <w:pStyle w:val="Compact"/>
              <w:jc w:val="left"/>
            </w:pPr>
            <w:r>
              <w:t xml:space="preserve">★★★ Large survey (n=46,394) showing NRS pain distribution and correlates in European populations</w:t>
            </w:r>
          </w:p>
        </w:tc>
      </w:tr>
    </w:tbl>
    <w:bookmarkEnd w:id="290"/>
    <w:bookmarkStart w:id="294" w:name="stress-cortisol-research"/>
    <w:p>
      <w:pPr>
        <w:pStyle w:val="Heading2"/>
      </w:pPr>
      <w:r>
        <w:t xml:space="preserve">Stress &amp; Cortisol Research</w:t>
      </w:r>
    </w:p>
    <w:p>
      <w:pPr>
        <w:pStyle w:val="FirstParagraph"/>
      </w:pPr>
      <w:r>
        <w:t xml:space="preserve">The cortisol decay model and stress response function referenced in the Calm Guide (Ch.4) and Situation D (Ch.3).</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Taves et al. — Cortisol half-life and clearance</w:t>
            </w:r>
          </w:p>
        </w:tc>
        <w:tc>
          <w:tcPr/>
          <w:p>
            <w:pPr>
              <w:pStyle w:val="Compact"/>
              <w:jc w:val="left"/>
            </w:pPr>
            <w:hyperlink r:id="rId291">
              <w:r>
                <w:rPr>
                  <w:rStyle w:val="Hyperlink"/>
                </w:rPr>
                <w:t xml:space="preserve">J Clin Endocrinol Metab (2011)</w:t>
              </w:r>
            </w:hyperlink>
          </w:p>
        </w:tc>
        <w:tc>
          <w:tcPr/>
          <w:p>
            <w:pPr>
              <w:pStyle w:val="Compact"/>
              <w:jc w:val="left"/>
            </w:pPr>
            <w:r>
              <w:t xml:space="preserve">★★★ Cortisol plasma half-life: ~60–90 minutes, approximately exponential decay</w:t>
            </w:r>
          </w:p>
        </w:tc>
      </w:tr>
      <w:tr>
        <w:tc>
          <w:tcPr/>
          <w:p>
            <w:pPr>
              <w:pStyle w:val="Compact"/>
              <w:jc w:val="left"/>
            </w:pPr>
            <w:r>
              <w:t xml:space="preserve">Dickerson &amp; Kemeny — Acute stressors and cortisol</w:t>
            </w:r>
          </w:p>
        </w:tc>
        <w:tc>
          <w:tcPr/>
          <w:p>
            <w:pPr>
              <w:pStyle w:val="Compact"/>
              <w:jc w:val="left"/>
            </w:pPr>
            <w:hyperlink r:id="rId292">
              <w:r>
                <w:rPr>
                  <w:rStyle w:val="Hyperlink"/>
                </w:rPr>
                <w:t xml:space="preserve">Psychol Bull (2004)</w:t>
              </w:r>
            </w:hyperlink>
          </w:p>
        </w:tc>
        <w:tc>
          <w:tcPr/>
          <w:p>
            <w:pPr>
              <w:pStyle w:val="Compact"/>
              <w:jc w:val="left"/>
            </w:pPr>
            <w:r>
              <w:t xml:space="preserve">★★★ Meta-analysis: social-evaluative threats produce largest cortisol responses</w:t>
            </w:r>
          </w:p>
        </w:tc>
      </w:tr>
      <w:tr>
        <w:tc>
          <w:tcPr/>
          <w:p>
            <w:pPr>
              <w:pStyle w:val="Compact"/>
              <w:jc w:val="left"/>
            </w:pPr>
            <w:r>
              <w:t xml:space="preserve">Arnsten — Stress signalling pathways</w:t>
            </w:r>
          </w:p>
        </w:tc>
        <w:tc>
          <w:tcPr/>
          <w:p>
            <w:pPr>
              <w:pStyle w:val="Compact"/>
              <w:jc w:val="left"/>
            </w:pPr>
            <w:hyperlink r:id="rId293">
              <w:r>
                <w:rPr>
                  <w:rStyle w:val="Hyperlink"/>
                </w:rPr>
                <w:t xml:space="preserve">Nat Rev Neurosci (2009)</w:t>
              </w:r>
            </w:hyperlink>
          </w:p>
        </w:tc>
        <w:tc>
          <w:tcPr/>
          <w:p>
            <w:pPr>
              <w:pStyle w:val="Compact"/>
              <w:jc w:val="left"/>
            </w:pPr>
            <w:r>
              <w:t xml:space="preserve">★★★ How cortisol impairs prefrontal cortex function — the neural basis for stress-induced bad decisions</w:t>
            </w:r>
          </w:p>
        </w:tc>
      </w:tr>
    </w:tbl>
    <w:bookmarkEnd w:id="294"/>
    <w:bookmarkStart w:id="298" w:name="heart-rate-variability-hrv"/>
    <w:p>
      <w:pPr>
        <w:pStyle w:val="Heading2"/>
      </w:pPr>
      <w:r>
        <w:t xml:space="preserve">Heart Rate Variability (HRV)</w:t>
      </w:r>
    </w:p>
    <w:p>
      <w:pPr>
        <w:pStyle w:val="FirstParagraph"/>
      </w:pPr>
      <w:r>
        <w:t xml:space="preserve">The HRV formula and breathing technique efficacy data referenced in the Calm Guide (Ch.4).</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Laborde et al. — HRV and cardiac vagal tone</w:t>
            </w:r>
          </w:p>
        </w:tc>
        <w:tc>
          <w:tcPr/>
          <w:p>
            <w:pPr>
              <w:pStyle w:val="Compact"/>
              <w:jc w:val="left"/>
            </w:pPr>
            <w:hyperlink r:id="rId295">
              <w:r>
                <w:rPr>
                  <w:rStyle w:val="Hyperlink"/>
                </w:rPr>
                <w:t xml:space="preserve">Front Psychol (2017)</w:t>
              </w:r>
            </w:hyperlink>
          </w:p>
        </w:tc>
        <w:tc>
          <w:tcPr/>
          <w:p>
            <w:pPr>
              <w:pStyle w:val="Compact"/>
              <w:jc w:val="left"/>
            </w:pPr>
            <w:r>
              <w:t xml:space="preserve">★★★ Comprehensive review of HRV as a psychophysiological measure, including breathing interventions</w:t>
            </w:r>
          </w:p>
        </w:tc>
      </w:tr>
      <w:tr>
        <w:tc>
          <w:tcPr/>
          <w:p>
            <w:pPr>
              <w:pStyle w:val="Compact"/>
              <w:jc w:val="left"/>
            </w:pPr>
            <w:r>
              <w:t xml:space="preserve">Task Force — HRV measurement standards</w:t>
            </w:r>
          </w:p>
        </w:tc>
        <w:tc>
          <w:tcPr/>
          <w:p>
            <w:pPr>
              <w:pStyle w:val="Compact"/>
              <w:jc w:val="left"/>
            </w:pPr>
            <w:hyperlink r:id="rId296">
              <w:r>
                <w:rPr>
                  <w:rStyle w:val="Hyperlink"/>
                </w:rPr>
                <w:t xml:space="preserve">Circulation (1996)</w:t>
              </w:r>
            </w:hyperlink>
          </w:p>
        </w:tc>
        <w:tc>
          <w:tcPr/>
          <w:p>
            <w:pPr>
              <w:pStyle w:val="Compact"/>
              <w:jc w:val="left"/>
            </w:pPr>
            <w:r>
              <w:t xml:space="preserve">★★★ The gold-standard reference for HRV measurement methodology</w:t>
            </w:r>
          </w:p>
        </w:tc>
      </w:tr>
      <w:tr>
        <w:tc>
          <w:tcPr/>
          <w:p>
            <w:pPr>
              <w:pStyle w:val="Compact"/>
              <w:jc w:val="left"/>
            </w:pPr>
            <w:r>
              <w:t xml:space="preserve">Lehrer &amp; Gevirtz — HRV biofeedback</w:t>
            </w:r>
          </w:p>
        </w:tc>
        <w:tc>
          <w:tcPr/>
          <w:p>
            <w:pPr>
              <w:pStyle w:val="Compact"/>
              <w:jc w:val="left"/>
            </w:pPr>
            <w:hyperlink r:id="rId297">
              <w:r>
                <w:rPr>
                  <w:rStyle w:val="Hyperlink"/>
                </w:rPr>
                <w:t xml:space="preserve">Biofeedback Self Regul (2014)</w:t>
              </w:r>
            </w:hyperlink>
          </w:p>
        </w:tc>
        <w:tc>
          <w:tcPr/>
          <w:p>
            <w:pPr>
              <w:pStyle w:val="Compact"/>
              <w:jc w:val="left"/>
            </w:pPr>
            <w:r>
              <w:t xml:space="preserve">★★★ How resonant-frequency breathing maximizes HRV — the science behind slow breathing techniques</w:t>
            </w:r>
          </w:p>
        </w:tc>
      </w:tr>
    </w:tbl>
    <w:bookmarkEnd w:id="298"/>
    <w:bookmarkStart w:id="300" w:name="physiological-sigh-breathing-research"/>
    <w:p>
      <w:pPr>
        <w:pStyle w:val="Heading2"/>
      </w:pPr>
      <w:r>
        <w:t xml:space="preserve">Physiological Sigh / Breathing Research</w:t>
      </w:r>
    </w:p>
    <w:p>
      <w:pPr>
        <w:pStyle w:val="FirstParagraph"/>
      </w:pPr>
      <w:r>
        <w:t xml:space="preserve">The Huberman Lab research on the physiological sigh referenced in the Calm Guide (Ch.4).</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Balban et al. — Brief structured respiration practices</w:t>
            </w:r>
          </w:p>
        </w:tc>
        <w:tc>
          <w:tcPr/>
          <w:p>
            <w:pPr>
              <w:pStyle w:val="Compact"/>
              <w:jc w:val="left"/>
            </w:pPr>
            <w:hyperlink r:id="rId299">
              <w:r>
                <w:rPr>
                  <w:rStyle w:val="Hyperlink"/>
                </w:rPr>
                <w:t xml:space="preserve">Cell Rep Med (2023)</w:t>
              </w:r>
            </w:hyperlink>
          </w:p>
        </w:tc>
        <w:tc>
          <w:tcPr/>
          <w:p>
            <w:pPr>
              <w:pStyle w:val="Compact"/>
              <w:jc w:val="left"/>
            </w:pPr>
            <w:r>
              <w:t xml:space="preserve">★★★ RCT (n=114): cyclic physiological sighing &gt; mindfulness meditation for acute stress reduction over 28 days</w:t>
            </w:r>
          </w:p>
        </w:tc>
      </w:tr>
      <w:tr>
        <w:tc>
          <w:tcPr/>
          <w:p>
            <w:pPr>
              <w:pStyle w:val="Compact"/>
              <w:jc w:val="left"/>
            </w:pPr>
            <w:r>
              <w:t xml:space="preserve">Zaccaro et al. — How breath-control affects physiology</w:t>
            </w:r>
          </w:p>
        </w:tc>
        <w:tc>
          <w:tcPr/>
          <w:p>
            <w:pPr>
              <w:pStyle w:val="Compact"/>
              <w:jc w:val="left"/>
            </w:pPr>
            <w:r>
              <w:rPr>
                <w:i/>
                <w:iCs/>
              </w:rPr>
              <w:t xml:space="preserve">Front Hum Neurosci</w:t>
            </w:r>
            <w:r>
              <w:t xml:space="preserve"> </w:t>
            </w:r>
            <w:r>
              <w:t xml:space="preserve">(2018)</w:t>
            </w:r>
          </w:p>
        </w:tc>
        <w:tc>
          <w:tcPr/>
          <w:p>
            <w:pPr>
              <w:pStyle w:val="Compact"/>
              <w:jc w:val="left"/>
            </w:pPr>
            <w:r>
              <w:t xml:space="preserve">★★★ Review of slow breathing techniques on autonomic and central nervous system function</w:t>
            </w:r>
          </w:p>
        </w:tc>
      </w:tr>
      <w:tr>
        <w:tc>
          <w:tcPr/>
          <w:p>
            <w:pPr>
              <w:pStyle w:val="Compact"/>
              <w:jc w:val="left"/>
            </w:pPr>
            <w:r>
              <w:t xml:space="preserve">Ma et al. — Voluntary slow breathing and HRV</w:t>
            </w:r>
          </w:p>
        </w:tc>
        <w:tc>
          <w:tcPr/>
          <w:p>
            <w:pPr>
              <w:pStyle w:val="Compact"/>
              <w:jc w:val="left"/>
            </w:pPr>
            <w:r>
              <w:rPr>
                <w:i/>
                <w:iCs/>
              </w:rPr>
              <w:t xml:space="preserve">J Altern Complement Med</w:t>
            </w:r>
            <w:r>
              <w:t xml:space="preserve"> </w:t>
            </w:r>
            <w:r>
              <w:t xml:space="preserve">(2017)</w:t>
            </w:r>
          </w:p>
        </w:tc>
        <w:tc>
          <w:tcPr/>
          <w:p>
            <w:pPr>
              <w:pStyle w:val="Compact"/>
              <w:jc w:val="left"/>
            </w:pPr>
            <w:r>
              <w:t xml:space="preserve">★★☆ Evidence that controlled breathing at ~6 breaths/min maximizes HRV and vagal tone</w:t>
            </w:r>
          </w:p>
        </w:tc>
      </w:tr>
    </w:tbl>
    <w:bookmarkEnd w:id="300"/>
    <w:bookmarkStart w:id="301" w:name="cognitive-load-theory"/>
    <w:p>
      <w:pPr>
        <w:pStyle w:val="Heading2"/>
      </w:pPr>
      <w:r>
        <w:t xml:space="preserve">Cognitive Load Theory</w:t>
      </w:r>
    </w:p>
    <w:p>
      <w:pPr>
        <w:pStyle w:val="FirstParagraph"/>
      </w:pPr>
      <w:r>
        <w:t xml:space="preserve">Miller’s 7±2 and Cowan’s 4±1 referenced in Situation E (Ch.3) for understanding mental congestion.</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Miller — The magical number seven</w:t>
            </w:r>
          </w:p>
        </w:tc>
        <w:tc>
          <w:tcPr/>
          <w:p>
            <w:pPr>
              <w:pStyle w:val="Compact"/>
              <w:jc w:val="left"/>
            </w:pPr>
            <w:r>
              <w:rPr>
                <w:i/>
                <w:iCs/>
              </w:rPr>
              <w:t xml:space="preserve">Psychol Rev</w:t>
            </w:r>
            <w:r>
              <w:t xml:space="preserve"> </w:t>
            </w:r>
            <w:r>
              <w:t xml:space="preserve">(1956)</w:t>
            </w:r>
          </w:p>
        </w:tc>
        <w:tc>
          <w:tcPr/>
          <w:p>
            <w:pPr>
              <w:pStyle w:val="Compact"/>
              <w:jc w:val="left"/>
            </w:pPr>
            <w:r>
              <w:t xml:space="preserve">★★★ One of the most cited papers in psychology — working memory capacity of 7±2 items</w:t>
            </w:r>
          </w:p>
        </w:tc>
      </w:tr>
      <w:tr>
        <w:tc>
          <w:tcPr/>
          <w:p>
            <w:pPr>
              <w:pStyle w:val="Compact"/>
              <w:jc w:val="left"/>
            </w:pPr>
            <w:r>
              <w:t xml:space="preserve">Cowan — The magical number 4</w:t>
            </w:r>
          </w:p>
        </w:tc>
        <w:tc>
          <w:tcPr/>
          <w:p>
            <w:pPr>
              <w:pStyle w:val="Compact"/>
              <w:jc w:val="left"/>
            </w:pPr>
            <w:r>
              <w:rPr>
                <w:i/>
                <w:iCs/>
              </w:rPr>
              <w:t xml:space="preserve">Behav Brain Sci</w:t>
            </w:r>
            <w:r>
              <w:t xml:space="preserve"> </w:t>
            </w:r>
            <w:r>
              <w:t xml:space="preserve">(2001)</w:t>
            </w:r>
          </w:p>
        </w:tc>
        <w:tc>
          <w:tcPr/>
          <w:p>
            <w:pPr>
              <w:pStyle w:val="Compact"/>
              <w:jc w:val="left"/>
            </w:pPr>
            <w:r>
              <w:t xml:space="preserve">★★★ Refined estimate: working memory holds ~4±1 chunks; the</w:t>
            </w:r>
            <w:r>
              <w:t xml:space="preserve"> </w:t>
            </w:r>
            <w:r>
              <w:t xml:space="preserve">“</w:t>
            </w:r>
            <w:r>
              <w:t xml:space="preserve">7±2</w:t>
            </w:r>
            <w:r>
              <w:t xml:space="preserve">”</w:t>
            </w:r>
            <w:r>
              <w:t xml:space="preserve"> </w:t>
            </w:r>
            <w:r>
              <w:t xml:space="preserve">includes chunking strategies</w:t>
            </w:r>
          </w:p>
        </w:tc>
      </w:tr>
      <w:tr>
        <w:tc>
          <w:tcPr/>
          <w:p>
            <w:pPr>
              <w:pStyle w:val="Compact"/>
              <w:jc w:val="left"/>
            </w:pPr>
            <w:r>
              <w:t xml:space="preserve">Sweller — Cognitive load theory</w:t>
            </w:r>
          </w:p>
        </w:tc>
        <w:tc>
          <w:tcPr/>
          <w:p>
            <w:pPr>
              <w:pStyle w:val="Compact"/>
              <w:jc w:val="left"/>
            </w:pPr>
            <w:r>
              <w:rPr>
                <w:i/>
                <w:iCs/>
              </w:rPr>
              <w:t xml:space="preserve">Educ Psychol Rev</w:t>
            </w:r>
            <w:r>
              <w:t xml:space="preserve"> </w:t>
            </w:r>
            <w:r>
              <w:t xml:space="preserve">(2019)</w:t>
            </w:r>
          </w:p>
        </w:tc>
        <w:tc>
          <w:tcPr/>
          <w:p>
            <w:pPr>
              <w:pStyle w:val="Compact"/>
              <w:jc w:val="left"/>
            </w:pPr>
            <w:r>
              <w:t xml:space="preserve">★★★ Overview of intrinsic, extraneous, and germane cognitive load — the framework used in Ch.3</w:t>
            </w:r>
          </w:p>
        </w:tc>
      </w:tr>
    </w:tbl>
    <w:bookmarkEnd w:id="301"/>
    <w:bookmarkStart w:id="302" w:name="dunbar-numbers-social-brain-hypothesis"/>
    <w:p>
      <w:pPr>
        <w:pStyle w:val="Heading2"/>
      </w:pPr>
      <w:r>
        <w:t xml:space="preserve">Dunbar Numbers — Social Brain Hypothesis</w:t>
      </w:r>
    </w:p>
    <w:p>
      <w:pPr>
        <w:pStyle w:val="FirstParagraph"/>
      </w:pPr>
      <w:r>
        <w:t xml:space="preserve">The Dunbar number formula</w:t>
      </w:r>
      <w:r>
        <w:t xml:space="preserve"> </w:t>
      </w:r>
      <m:oMath>
        <m:sSub>
          <m:e>
            <m:r>
              <m:t>D</m:t>
            </m:r>
          </m:e>
          <m:sub>
            <m:r>
              <m:t>n</m:t>
            </m:r>
          </m:sub>
        </m:sSub>
        <m:r>
          <m:rPr>
            <m:sty m:val="p"/>
          </m:rPr>
          <m:t>=</m:t>
        </m:r>
        <m:r>
          <m:t>5</m:t>
        </m:r>
        <m:r>
          <m:rPr>
            <m:sty m:val="p"/>
          </m:rPr>
          <m:t>⋅</m:t>
        </m:r>
        <m:sSup>
          <m:e>
            <m:r>
              <m:t>3</m:t>
            </m:r>
          </m:e>
          <m:sup>
            <m:r>
              <m:t>n</m:t>
            </m:r>
            <m:r>
              <m:rPr>
                <m:sty m:val="p"/>
              </m:rPr>
              <m:t>−</m:t>
            </m:r>
            <m:r>
              <m:t>1</m:t>
            </m:r>
          </m:sup>
        </m:sSup>
      </m:oMath>
      <w:r>
        <w:t xml:space="preserve"> </w:t>
      </w:r>
      <w:r>
        <w:t xml:space="preserve">referenced in the Zombie Guide (Ch.6).</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Dunbar — Neocortex size and group size</w:t>
            </w:r>
          </w:p>
        </w:tc>
        <w:tc>
          <w:tcPr/>
          <w:p>
            <w:pPr>
              <w:pStyle w:val="Compact"/>
              <w:jc w:val="left"/>
            </w:pPr>
            <w:r>
              <w:rPr>
                <w:i/>
                <w:iCs/>
              </w:rPr>
              <w:t xml:space="preserve">J Hum Evol</w:t>
            </w:r>
            <w:r>
              <w:t xml:space="preserve"> </w:t>
            </w:r>
            <w:r>
              <w:t xml:space="preserve">(1992)</w:t>
            </w:r>
          </w:p>
        </w:tc>
        <w:tc>
          <w:tcPr/>
          <w:p>
            <w:pPr>
              <w:pStyle w:val="Compact"/>
              <w:jc w:val="left"/>
            </w:pPr>
            <w:r>
              <w:t xml:space="preserve">★★★ The original paper establishing the relationship between neocortex ratio and social group size in primates</w:t>
            </w:r>
          </w:p>
        </w:tc>
      </w:tr>
      <w:tr>
        <w:tc>
          <w:tcPr/>
          <w:p>
            <w:pPr>
              <w:pStyle w:val="Compact"/>
              <w:jc w:val="left"/>
            </w:pPr>
            <w:r>
              <w:t xml:space="preserve">Dunbar — The social brain hypothesis</w:t>
            </w:r>
          </w:p>
        </w:tc>
        <w:tc>
          <w:tcPr/>
          <w:p>
            <w:pPr>
              <w:pStyle w:val="Compact"/>
              <w:jc w:val="left"/>
            </w:pPr>
            <w:r>
              <w:rPr>
                <w:i/>
                <w:iCs/>
              </w:rPr>
              <w:t xml:space="preserve">Evol Anthropol</w:t>
            </w:r>
            <w:r>
              <w:t xml:space="preserve"> </w:t>
            </w:r>
            <w:r>
              <w:t xml:space="preserve">(1998)</w:t>
            </w:r>
          </w:p>
        </w:tc>
        <w:tc>
          <w:tcPr/>
          <w:p>
            <w:pPr>
              <w:pStyle w:val="Compact"/>
              <w:jc w:val="left"/>
            </w:pPr>
            <w:r>
              <w:t xml:space="preserve">★★☆ Accessible overview of the social brain hypothesis and its implications for human social structure</w:t>
            </w:r>
          </w:p>
        </w:tc>
      </w:tr>
      <w:tr>
        <w:tc>
          <w:tcPr/>
          <w:p>
            <w:pPr>
              <w:pStyle w:val="Compact"/>
              <w:jc w:val="left"/>
            </w:pPr>
            <w:r>
              <w:t xml:space="preserve">Dunbar — How many friends does one person need?</w:t>
            </w:r>
          </w:p>
        </w:tc>
        <w:tc>
          <w:tcPr/>
          <w:p>
            <w:pPr>
              <w:pStyle w:val="Compact"/>
              <w:jc w:val="left"/>
            </w:pPr>
            <w:r>
              <w:rPr>
                <w:i/>
                <w:iCs/>
              </w:rPr>
              <w:t xml:space="preserve">Faber &amp; Faber</w:t>
            </w:r>
            <w:r>
              <w:t xml:space="preserve"> </w:t>
            </w:r>
            <w:r>
              <w:t xml:space="preserve">(2010)</w:t>
            </w:r>
          </w:p>
        </w:tc>
        <w:tc>
          <w:tcPr/>
          <w:p>
            <w:pPr>
              <w:pStyle w:val="Compact"/>
              <w:jc w:val="left"/>
            </w:pPr>
            <w:r>
              <w:t xml:space="preserve">★★☆ Trade book exploring the ~150 limit and its implications for social organization</w:t>
            </w:r>
          </w:p>
        </w:tc>
      </w:tr>
    </w:tbl>
    <w:bookmarkEnd w:id="302"/>
    <w:bookmarkStart w:id="303" w:name="ostrom-commons-governance"/>
    <w:p>
      <w:pPr>
        <w:pStyle w:val="Heading2"/>
      </w:pPr>
      <w:r>
        <w:t xml:space="preserve">Ostrom — Commons Governance</w:t>
      </w:r>
    </w:p>
    <w:p>
      <w:pPr>
        <w:pStyle w:val="FirstParagraph"/>
      </w:pPr>
      <w:r>
        <w:t xml:space="preserve">Elinor Ostrom’s 8 principles referenced in the Zombie Guide (Ch.6) for post-crisis community governance.</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Ostrom — Governing the Commons</w:t>
            </w:r>
          </w:p>
        </w:tc>
        <w:tc>
          <w:tcPr/>
          <w:p>
            <w:pPr>
              <w:pStyle w:val="Compact"/>
              <w:jc w:val="left"/>
            </w:pPr>
            <w:r>
              <w:t xml:space="preserve">Cambridge University Press (1990)</w:t>
            </w:r>
          </w:p>
        </w:tc>
        <w:tc>
          <w:tcPr/>
          <w:p>
            <w:pPr>
              <w:pStyle w:val="Compact"/>
              <w:jc w:val="left"/>
            </w:pPr>
            <w:r>
              <w:t xml:space="preserve">★★★ The Nobel Prize-winning book on how communities self-govern shared resources</w:t>
            </w:r>
          </w:p>
        </w:tc>
      </w:tr>
      <w:tr>
        <w:tc>
          <w:tcPr/>
          <w:p>
            <w:pPr>
              <w:pStyle w:val="Compact"/>
              <w:jc w:val="left"/>
            </w:pPr>
            <w:r>
              <w:t xml:space="preserve">Ostrom — Beyond markets and states</w:t>
            </w:r>
          </w:p>
        </w:tc>
        <w:tc>
          <w:tcPr/>
          <w:p>
            <w:pPr>
              <w:pStyle w:val="Compact"/>
              <w:jc w:val="left"/>
            </w:pPr>
            <w:r>
              <w:t xml:space="preserve">Nobel Prize Lecture (2009)</w:t>
            </w:r>
          </w:p>
        </w:tc>
        <w:tc>
          <w:tcPr/>
          <w:p>
            <w:pPr>
              <w:pStyle w:val="Compact"/>
              <w:jc w:val="left"/>
            </w:pPr>
            <w:r>
              <w:t xml:space="preserve">★★★ Ostrom’s Nobel lecture summarizing the polycentric approach to governance</w:t>
            </w:r>
          </w:p>
        </w:tc>
      </w:tr>
      <w:tr>
        <w:tc>
          <w:tcPr/>
          <w:p>
            <w:pPr>
              <w:pStyle w:val="Compact"/>
              <w:jc w:val="left"/>
            </w:pPr>
            <w:r>
              <w:t xml:space="preserve">Ostrom — A polycentric approach for tackling climate change</w:t>
            </w:r>
          </w:p>
        </w:tc>
        <w:tc>
          <w:tcPr/>
          <w:p>
            <w:pPr>
              <w:pStyle w:val="Compact"/>
              <w:jc w:val="left"/>
            </w:pPr>
            <w:r>
              <w:rPr>
                <w:i/>
                <w:iCs/>
              </w:rPr>
              <w:t xml:space="preserve">Ann N Y Acad Sci</w:t>
            </w:r>
            <w:r>
              <w:t xml:space="preserve"> </w:t>
            </w:r>
            <w:r>
              <w:t xml:space="preserve">(2012)</w:t>
            </w:r>
          </w:p>
        </w:tc>
        <w:tc>
          <w:tcPr/>
          <w:p>
            <w:pPr>
              <w:pStyle w:val="Compact"/>
              <w:jc w:val="left"/>
            </w:pPr>
            <w:r>
              <w:t xml:space="preserve">★★☆ Application of commons governance principles to global collective action problems</w:t>
            </w:r>
          </w:p>
        </w:tc>
      </w:tr>
    </w:tbl>
    <w:bookmarkEnd w:id="303"/>
    <w:bookmarkStart w:id="307" w:name="iasc-mental-health-psychosocial-support"/>
    <w:p>
      <w:pPr>
        <w:pStyle w:val="Heading2"/>
      </w:pPr>
      <w:r>
        <w:t xml:space="preserve">IASC — Mental Health &amp; Psychosocial Support</w:t>
      </w:r>
    </w:p>
    <w:p>
      <w:pPr>
        <w:pStyle w:val="FirstParagraph"/>
      </w:pPr>
      <w:r>
        <w:t xml:space="preserve">The IASC intervention pyramid referenced in Professional Support Directory (Ch.7).</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IASC — Guidelines on MHPSS in Emergency Settings (PDF)</w:t>
            </w:r>
          </w:p>
        </w:tc>
        <w:tc>
          <w:tcPr/>
          <w:p>
            <w:pPr>
              <w:pStyle w:val="Compact"/>
              <w:jc w:val="left"/>
            </w:pPr>
            <w:hyperlink r:id="rId304">
              <w:r>
                <w:rPr>
                  <w:rStyle w:val="Hyperlink"/>
                </w:rPr>
                <w:t xml:space="preserve">interagencystandingcommittee.org</w:t>
              </w:r>
            </w:hyperlink>
          </w:p>
        </w:tc>
        <w:tc>
          <w:tcPr/>
          <w:p>
            <w:pPr>
              <w:pStyle w:val="Compact"/>
              <w:jc w:val="left"/>
            </w:pPr>
            <w:r>
              <w:t xml:space="preserve">★★★ The global standard for MHPSS in emergency settings — includes the 4-layer intervention pyramid</w:t>
            </w:r>
          </w:p>
        </w:tc>
      </w:tr>
      <w:tr>
        <w:tc>
          <w:tcPr/>
          <w:p>
            <w:pPr>
              <w:pStyle w:val="Compact"/>
              <w:jc w:val="left"/>
            </w:pPr>
            <w:r>
              <w:t xml:space="preserve">WHO — Coordinated Mental Health Response in Emergencies</w:t>
            </w:r>
          </w:p>
        </w:tc>
        <w:tc>
          <w:tcPr/>
          <w:p>
            <w:pPr>
              <w:pStyle w:val="Compact"/>
              <w:jc w:val="left"/>
            </w:pPr>
            <w:hyperlink r:id="rId305">
              <w:r>
                <w:rPr>
                  <w:rStyle w:val="Hyperlink"/>
                </w:rPr>
                <w:t xml:space="preserve">who.int</w:t>
              </w:r>
            </w:hyperlink>
          </w:p>
        </w:tc>
        <w:tc>
          <w:tcPr/>
          <w:p>
            <w:pPr>
              <w:pStyle w:val="Compact"/>
              <w:jc w:val="left"/>
            </w:pPr>
            <w:r>
              <w:t xml:space="preserve">★★★ WHO framework for coordinated mental health response with guidelines and manuals</w:t>
            </w:r>
          </w:p>
        </w:tc>
      </w:tr>
      <w:tr>
        <w:tc>
          <w:tcPr/>
          <w:p>
            <w:pPr>
              <w:pStyle w:val="Compact"/>
              <w:jc w:val="left"/>
            </w:pPr>
            <w:r>
              <w:t xml:space="preserve">ICRC — Strategy 2024-2027</w:t>
            </w:r>
          </w:p>
        </w:tc>
        <w:tc>
          <w:tcPr/>
          <w:p>
            <w:pPr>
              <w:pStyle w:val="Compact"/>
              <w:jc w:val="left"/>
            </w:pPr>
            <w:hyperlink r:id="rId306">
              <w:r>
                <w:rPr>
                  <w:rStyle w:val="Hyperlink"/>
                </w:rPr>
                <w:t xml:space="preserve">icrc.org (PDF)</w:t>
              </w:r>
            </w:hyperlink>
          </w:p>
        </w:tc>
        <w:tc>
          <w:tcPr/>
          <w:p>
            <w:pPr>
              <w:pStyle w:val="Compact"/>
              <w:jc w:val="left"/>
            </w:pPr>
            <w:r>
              <w:t xml:space="preserve">★★★ ICRC’s institutional strategy for operational responses in armed conflict and humanitarian emergencies</w:t>
            </w:r>
          </w:p>
        </w:tc>
      </w:tr>
    </w:tbl>
    <w:bookmarkEnd w:id="307"/>
    <w:bookmarkStart w:id="308" w:name="therapy-effectiveness"/>
    <w:p>
      <w:pPr>
        <w:pStyle w:val="Heading2"/>
      </w:pPr>
      <w:r>
        <w:t xml:space="preserve">Therapy Effectiveness</w:t>
      </w:r>
    </w:p>
    <w:p>
      <w:pPr>
        <w:pStyle w:val="FirstParagraph"/>
      </w:pPr>
      <w:r>
        <w:t xml:space="preserve">The evidence-based therapy response rates referenced in Professional Support Directory (Ch.7).</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Hofmann et al. — Efficacy of CBT (meta-review)</w:t>
            </w:r>
          </w:p>
        </w:tc>
        <w:tc>
          <w:tcPr/>
          <w:p>
            <w:pPr>
              <w:pStyle w:val="Compact"/>
              <w:jc w:val="left"/>
            </w:pPr>
            <w:r>
              <w:rPr>
                <w:i/>
                <w:iCs/>
              </w:rPr>
              <w:t xml:space="preserve">Cogn Ther Res</w:t>
            </w:r>
            <w:r>
              <w:t xml:space="preserve"> </w:t>
            </w:r>
            <w:r>
              <w:t xml:space="preserve">(2012)</w:t>
            </w:r>
          </w:p>
        </w:tc>
        <w:tc>
          <w:tcPr/>
          <w:p>
            <w:pPr>
              <w:pStyle w:val="Compact"/>
              <w:jc w:val="left"/>
            </w:pPr>
            <w:r>
              <w:t xml:space="preserve">★★★ Review of 269 meta-analyses: CBT ~60% response for anxiety disorders</w:t>
            </w:r>
          </w:p>
        </w:tc>
      </w:tr>
      <w:tr>
        <w:tc>
          <w:tcPr/>
          <w:p>
            <w:pPr>
              <w:pStyle w:val="Compact"/>
              <w:jc w:val="left"/>
            </w:pPr>
            <w:r>
              <w:t xml:space="preserve">Bisson et al. — PTSD treatments</w:t>
            </w:r>
          </w:p>
        </w:tc>
        <w:tc>
          <w:tcPr/>
          <w:p>
            <w:pPr>
              <w:pStyle w:val="Compact"/>
              <w:jc w:val="left"/>
            </w:pPr>
            <w:r>
              <w:rPr>
                <w:i/>
                <w:iCs/>
              </w:rPr>
              <w:t xml:space="preserve">BMJ Clin Evid</w:t>
            </w:r>
            <w:r>
              <w:t xml:space="preserve"> </w:t>
            </w:r>
            <w:r>
              <w:t xml:space="preserve">(2015)</w:t>
            </w:r>
          </w:p>
        </w:tc>
        <w:tc>
          <w:tcPr/>
          <w:p>
            <w:pPr>
              <w:pStyle w:val="Compact"/>
              <w:jc w:val="left"/>
            </w:pPr>
            <w:r>
              <w:t xml:space="preserve">★★★ EMDR ~70% PTSD symptom reduction; WHO/NICE recommended</w:t>
            </w:r>
          </w:p>
        </w:tc>
      </w:tr>
      <w:tr>
        <w:tc>
          <w:tcPr/>
          <w:p>
            <w:pPr>
              <w:pStyle w:val="Compact"/>
              <w:jc w:val="left"/>
            </w:pPr>
            <w:r>
              <w:t xml:space="preserve">Shedler — Efficacy of psychodynamic psychotherapy</w:t>
            </w:r>
          </w:p>
        </w:tc>
        <w:tc>
          <w:tcPr/>
          <w:p>
            <w:pPr>
              <w:pStyle w:val="Compact"/>
              <w:jc w:val="left"/>
            </w:pPr>
            <w:r>
              <w:rPr>
                <w:i/>
                <w:iCs/>
              </w:rPr>
              <w:t xml:space="preserve">Am Psychol</w:t>
            </w:r>
            <w:r>
              <w:t xml:space="preserve"> </w:t>
            </w:r>
            <w:r>
              <w:t xml:space="preserve">(2010)</w:t>
            </w:r>
          </w:p>
        </w:tc>
        <w:tc>
          <w:tcPr/>
          <w:p>
            <w:pPr>
              <w:pStyle w:val="Compact"/>
              <w:jc w:val="left"/>
            </w:pPr>
            <w:r>
              <w:t xml:space="preserve">★★★ Effect sizes comparable to CBT, with continued improvement post-treatment</w:t>
            </w:r>
          </w:p>
        </w:tc>
      </w:tr>
      <w:tr>
        <w:tc>
          <w:tcPr/>
          <w:p>
            <w:pPr>
              <w:pStyle w:val="Compact"/>
              <w:jc w:val="left"/>
            </w:pPr>
            <w:r>
              <w:t xml:space="preserve">Khoury et al. — Mindfulness-based therapy meta-analysis</w:t>
            </w:r>
          </w:p>
        </w:tc>
        <w:tc>
          <w:tcPr/>
          <w:p>
            <w:pPr>
              <w:pStyle w:val="Compact"/>
              <w:jc w:val="left"/>
            </w:pPr>
            <w:r>
              <w:rPr>
                <w:i/>
                <w:iCs/>
              </w:rPr>
              <w:t xml:space="preserve">Clin Psychol Rev</w:t>
            </w:r>
            <w:r>
              <w:t xml:space="preserve"> </w:t>
            </w:r>
            <w:r>
              <w:t xml:space="preserve">(2013)</w:t>
            </w:r>
          </w:p>
        </w:tc>
        <w:tc>
          <w:tcPr/>
          <w:p>
            <w:pPr>
              <w:pStyle w:val="Compact"/>
              <w:jc w:val="left"/>
            </w:pPr>
            <w:r>
              <w:t xml:space="preserve">★★★ MBSR shows moderate effect sizes (g = 0.5–0.6) for anxiety and depression</w:t>
            </w:r>
          </w:p>
        </w:tc>
      </w:tr>
    </w:tbl>
    <w:bookmarkEnd w:id="308"/>
    <w:bookmarkStart w:id="309" w:name="olfactory-science"/>
    <w:p>
      <w:pPr>
        <w:pStyle w:val="Heading2"/>
      </w:pPr>
      <w:r>
        <w:t xml:space="preserve">Olfactory Science</w:t>
      </w:r>
    </w:p>
    <w:p>
      <w:pPr>
        <w:pStyle w:val="FirstParagraph"/>
      </w:pPr>
      <w:r>
        <w:t xml:space="preserve">The olfactory-limbic pathway referenced in the Calm Guide’s comfort inventory (Ch.4) and the SO₂ neutralization mechanism in Situation F (Ch.3).</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Soudry et al. — Olfactory system and emotion</w:t>
            </w:r>
          </w:p>
        </w:tc>
        <w:tc>
          <w:tcPr/>
          <w:p>
            <w:pPr>
              <w:pStyle w:val="Compact"/>
              <w:jc w:val="left"/>
            </w:pPr>
            <w:r>
              <w:rPr>
                <w:i/>
                <w:iCs/>
              </w:rPr>
              <w:t xml:space="preserve">Eur Ann Otorhinolaryngol</w:t>
            </w:r>
            <w:r>
              <w:t xml:space="preserve"> </w:t>
            </w:r>
            <w:r>
              <w:t xml:space="preserve">(2011)</w:t>
            </w:r>
          </w:p>
        </w:tc>
        <w:tc>
          <w:tcPr/>
          <w:p>
            <w:pPr>
              <w:pStyle w:val="Compact"/>
              <w:jc w:val="left"/>
            </w:pPr>
            <w:r>
              <w:t xml:space="preserve">★★★ Review of the unique direct olfactory bulb → amygdala → hippocampus pathway (no thalamic relay)</w:t>
            </w:r>
          </w:p>
        </w:tc>
      </w:tr>
      <w:tr>
        <w:tc>
          <w:tcPr/>
          <w:p>
            <w:pPr>
              <w:pStyle w:val="Compact"/>
              <w:jc w:val="left"/>
            </w:pPr>
            <w:r>
              <w:t xml:space="preserve">Atkinson — Gas-phase tropospheric chemistry</w:t>
            </w:r>
          </w:p>
        </w:tc>
        <w:tc>
          <w:tcPr/>
          <w:p>
            <w:pPr>
              <w:pStyle w:val="Compact"/>
              <w:jc w:val="left"/>
            </w:pPr>
            <w:r>
              <w:rPr>
                <w:i/>
                <w:iCs/>
              </w:rPr>
              <w:t xml:space="preserve">J Phys Chem Ref Data</w:t>
            </w:r>
            <w:r>
              <w:t xml:space="preserve"> </w:t>
            </w:r>
            <w:r>
              <w:t xml:space="preserve">(1994)</w:t>
            </w:r>
          </w:p>
        </w:tc>
        <w:tc>
          <w:tcPr/>
          <w:p>
            <w:pPr>
              <w:pStyle w:val="Compact"/>
              <w:jc w:val="left"/>
            </w:pPr>
            <w:r>
              <w:t xml:space="preserve">★★★ The chemistry of SO₂ reactions with atmospheric nucleophiles, including the mechanisms relevant to odor neutralization</w:t>
            </w:r>
          </w:p>
        </w:tc>
      </w:tr>
      <w:tr>
        <w:tc>
          <w:tcPr/>
          <w:p>
            <w:pPr>
              <w:pStyle w:val="Compact"/>
              <w:jc w:val="left"/>
            </w:pPr>
            <w:r>
              <w:t xml:space="preserve">Herz — The Scent of Desire</w:t>
            </w:r>
          </w:p>
        </w:tc>
        <w:tc>
          <w:tcPr/>
          <w:p>
            <w:pPr>
              <w:pStyle w:val="Compact"/>
              <w:jc w:val="left"/>
            </w:pPr>
            <w:r>
              <w:rPr>
                <w:i/>
                <w:iCs/>
              </w:rPr>
              <w:t xml:space="preserve">William Morrow</w:t>
            </w:r>
            <w:r>
              <w:t xml:space="preserve"> </w:t>
            </w:r>
            <w:r>
              <w:t xml:space="preserve">(2007)</w:t>
            </w:r>
          </w:p>
        </w:tc>
        <w:tc>
          <w:tcPr/>
          <w:p>
            <w:pPr>
              <w:pStyle w:val="Compact"/>
              <w:jc w:val="left"/>
            </w:pPr>
            <w:r>
              <w:t xml:space="preserve">★★☆ Accessible book on the psychology and neuroscience of smell and emotion</w:t>
            </w:r>
          </w:p>
        </w:tc>
      </w:tr>
    </w:tbl>
    <w:bookmarkEnd w:id="309"/>
    <w:bookmarkStart w:id="310" w:name="caregiver-burnout"/>
    <w:p>
      <w:pPr>
        <w:pStyle w:val="Heading2"/>
      </w:pPr>
      <w:r>
        <w:t xml:space="preserve">Caregiver Burnout</w:t>
      </w:r>
    </w:p>
    <w:p>
      <w:pPr>
        <w:pStyle w:val="FirstParagraph"/>
      </w:pPr>
      <w:r>
        <w:t xml:space="preserve">The caregiver depression rates referenced in Situation A8 (Ch.2).</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Pinquart &amp; Sörensen — Caregiver burden correlates</w:t>
            </w:r>
          </w:p>
        </w:tc>
        <w:tc>
          <w:tcPr/>
          <w:p>
            <w:pPr>
              <w:pStyle w:val="Compact"/>
              <w:jc w:val="left"/>
            </w:pPr>
            <w:r>
              <w:rPr>
                <w:i/>
                <w:iCs/>
              </w:rPr>
              <w:t xml:space="preserve">J Gerontol</w:t>
            </w:r>
            <w:r>
              <w:t xml:space="preserve"> </w:t>
            </w:r>
            <w:r>
              <w:t xml:space="preserve">(2006)</w:t>
            </w:r>
          </w:p>
        </w:tc>
        <w:tc>
          <w:tcPr/>
          <w:p>
            <w:pPr>
              <w:pStyle w:val="Compact"/>
              <w:jc w:val="left"/>
            </w:pPr>
            <w:r>
              <w:t xml:space="preserve">★★★ Meta-analysis: caregiver depression rates 20–40%, varying by intensity and duration</w:t>
            </w:r>
          </w:p>
        </w:tc>
      </w:tr>
      <w:tr>
        <w:tc>
          <w:tcPr/>
          <w:p>
            <w:pPr>
              <w:pStyle w:val="Compact"/>
              <w:jc w:val="left"/>
            </w:pPr>
            <w:r>
              <w:t xml:space="preserve">Vitaliano et al. — Caregiver physical health</w:t>
            </w:r>
          </w:p>
        </w:tc>
        <w:tc>
          <w:tcPr/>
          <w:p>
            <w:pPr>
              <w:pStyle w:val="Compact"/>
              <w:jc w:val="left"/>
            </w:pPr>
            <w:r>
              <w:rPr>
                <w:i/>
                <w:iCs/>
              </w:rPr>
              <w:t xml:space="preserve">Psychol Bull</w:t>
            </w:r>
            <w:r>
              <w:t xml:space="preserve"> </w:t>
            </w:r>
            <w:r>
              <w:t xml:space="preserve">(2003)</w:t>
            </w:r>
          </w:p>
        </w:tc>
        <w:tc>
          <w:tcPr/>
          <w:p>
            <w:pPr>
              <w:pStyle w:val="Compact"/>
              <w:jc w:val="left"/>
            </w:pPr>
            <w:r>
              <w:t xml:space="preserve">★★★ Caregiving is associated with a 23% higher mortality rate — self-care is literally survival</w:t>
            </w:r>
          </w:p>
        </w:tc>
      </w:tr>
    </w:tbl>
    <w:bookmarkEnd w:id="310"/>
    <w:bookmarkStart w:id="311" w:name="stroke-treatment"/>
    <w:p>
      <w:pPr>
        <w:pStyle w:val="Heading2"/>
      </w:pPr>
      <w:r>
        <w:t xml:space="preserve">Stroke Treatment</w:t>
      </w:r>
    </w:p>
    <w:p>
      <w:pPr>
        <w:pStyle w:val="FirstParagraph"/>
      </w:pPr>
      <w:r>
        <w:t xml:space="preserve">The FAST stroke assessment and treatment window referenced in Self Ambulance Guide (Ch.5).</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Saver — Time is brain, quantified</w:t>
            </w:r>
          </w:p>
        </w:tc>
        <w:tc>
          <w:tcPr/>
          <w:p>
            <w:pPr>
              <w:pStyle w:val="Compact"/>
              <w:jc w:val="left"/>
            </w:pPr>
            <w:r>
              <w:rPr>
                <w:i/>
                <w:iCs/>
              </w:rPr>
              <w:t xml:space="preserve">Stroke</w:t>
            </w:r>
            <w:r>
              <w:t xml:space="preserve"> </w:t>
            </w:r>
            <w:r>
              <w:t xml:space="preserve">(2006)</w:t>
            </w:r>
          </w:p>
        </w:tc>
        <w:tc>
          <w:tcPr/>
          <w:p>
            <w:pPr>
              <w:pStyle w:val="Compact"/>
              <w:jc w:val="left"/>
            </w:pPr>
            <w:r>
              <w:t xml:space="preserve">★★★ ~1.9 million neurons lost per minute during untreated ischemic stroke; the mathematical case for urgency</w:t>
            </w:r>
          </w:p>
        </w:tc>
      </w:tr>
      <w:tr>
        <w:tc>
          <w:tcPr/>
          <w:p>
            <w:pPr>
              <w:pStyle w:val="Compact"/>
              <w:jc w:val="left"/>
            </w:pPr>
            <w:r>
              <w:t xml:space="preserve">AHA/ASA — Acute ischemic stroke guidelines</w:t>
            </w:r>
          </w:p>
        </w:tc>
        <w:tc>
          <w:tcPr/>
          <w:p>
            <w:pPr>
              <w:pStyle w:val="Compact"/>
              <w:jc w:val="left"/>
            </w:pPr>
            <w:r>
              <w:rPr>
                <w:i/>
                <w:iCs/>
              </w:rPr>
              <w:t xml:space="preserve">Stroke</w:t>
            </w:r>
            <w:r>
              <w:t xml:space="preserve"> </w:t>
            </w:r>
            <w:r>
              <w:t xml:space="preserve">(2019)</w:t>
            </w:r>
          </w:p>
        </w:tc>
        <w:tc>
          <w:tcPr/>
          <w:p>
            <w:pPr>
              <w:pStyle w:val="Compact"/>
              <w:jc w:val="left"/>
            </w:pPr>
            <w:r>
              <w:t xml:space="preserve">★★★ Official guideline: thrombolysis within 4.5 hours of symptom onset; mechanical thrombectomy within 24 hours for selected patients</w:t>
            </w:r>
          </w:p>
        </w:tc>
      </w:tr>
    </w:tbl>
    <w:bookmarkEnd w:id="311"/>
    <w:bookmarkStart w:id="313" w:name="burn-assessment"/>
    <w:p>
      <w:pPr>
        <w:pStyle w:val="Heading2"/>
      </w:pPr>
      <w:r>
        <w:t xml:space="preserve">Burn Assessment</w:t>
      </w:r>
    </w:p>
    <w:p>
      <w:pPr>
        <w:pStyle w:val="FirstParagraph"/>
      </w:pPr>
      <w:r>
        <w:t xml:space="preserve">The Lund-Browder chart and Rule of Nines referenced in Self Ambulance Guide (Ch.5).</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Lund &amp; Browder — Estimation of burn areas</w:t>
            </w:r>
          </w:p>
        </w:tc>
        <w:tc>
          <w:tcPr/>
          <w:p>
            <w:pPr>
              <w:pStyle w:val="Compact"/>
              <w:jc w:val="left"/>
            </w:pPr>
            <w:r>
              <w:rPr>
                <w:i/>
                <w:iCs/>
              </w:rPr>
              <w:t xml:space="preserve">Surg Gynecol Obstet</w:t>
            </w:r>
            <w:r>
              <w:t xml:space="preserve"> </w:t>
            </w:r>
            <w:r>
              <w:t xml:space="preserve">(1944)</w:t>
            </w:r>
          </w:p>
        </w:tc>
        <w:tc>
          <w:tcPr/>
          <w:p>
            <w:pPr>
              <w:pStyle w:val="Compact"/>
              <w:jc w:val="left"/>
            </w:pPr>
            <w:r>
              <w:t xml:space="preserve">★★★ The original paper on age-adjusted burn surface area estimation — still the clinical gold standard</w:t>
            </w:r>
          </w:p>
        </w:tc>
      </w:tr>
      <w:tr>
        <w:tc>
          <w:tcPr/>
          <w:p>
            <w:pPr>
              <w:pStyle w:val="Compact"/>
              <w:jc w:val="left"/>
            </w:pPr>
            <w:r>
              <w:t xml:space="preserve">WHO — Burns fact sheet</w:t>
            </w:r>
          </w:p>
        </w:tc>
        <w:tc>
          <w:tcPr/>
          <w:p>
            <w:pPr>
              <w:pStyle w:val="Compact"/>
              <w:jc w:val="left"/>
            </w:pPr>
            <w:hyperlink r:id="rId312">
              <w:r>
                <w:rPr>
                  <w:rStyle w:val="Hyperlink"/>
                </w:rPr>
                <w:t xml:space="preserve">who.int/news-room/fact-sheets/detail/burns</w:t>
              </w:r>
            </w:hyperlink>
          </w:p>
        </w:tc>
        <w:tc>
          <w:tcPr/>
          <w:p>
            <w:pPr>
              <w:pStyle w:val="Compact"/>
              <w:jc w:val="left"/>
            </w:pPr>
            <w:r>
              <w:t xml:space="preserve">★★★ Global burn statistics and prevention; burns cause ~180,000 deaths annually</w:t>
            </w:r>
          </w:p>
        </w:tc>
      </w:tr>
    </w:tbl>
    <w:bookmarkEnd w:id="313"/>
    <w:bookmarkStart w:id="327" w:name="seneca-tao-stoic-philosophy"/>
    <w:p>
      <w:pPr>
        <w:pStyle w:val="Heading2"/>
      </w:pPr>
      <w:r>
        <w:t xml:space="preserve">Seneca, Tao &amp; Stoic Philosophy</w:t>
      </w:r>
    </w:p>
    <w:p>
      <w:pPr>
        <w:pStyle w:val="FirstParagraph"/>
      </w:pPr>
      <w:r>
        <w:t xml:space="preserve">The Calm Guide recommends Seneca and the Tao Te Ching as</w:t>
      </w:r>
      <w:r>
        <w:t xml:space="preserve"> </w:t>
      </w:r>
      <w:r>
        <w:t xml:space="preserve">“</w:t>
      </w:r>
      <w:r>
        <w:t xml:space="preserve">the two philosophical traditions that basically invented</w:t>
      </w:r>
      <w:r>
        <w:t xml:space="preserve"> </w:t>
      </w:r>
      <w:r>
        <w:t xml:space="preserve">‘</w:t>
      </w:r>
      <w:r>
        <w:t xml:space="preserve">it is what it is, and that’s okay.</w:t>
      </w:r>
      <w:r>
        <w:t xml:space="preserve">’</w:t>
      </w:r>
      <w:r>
        <w:t xml:space="preserve">”</w:t>
      </w:r>
      <w:r>
        <w:t xml:space="preserve"> </w:t>
      </w:r>
      <w:r>
        <w:t xml:space="preserve">Here are free, accessible sources for both traditions — and the I Ching, because if you’re consulting random passages in a bathroom, you might as well go full oracle.</w:t>
      </w:r>
    </w:p>
    <w:bookmarkStart w:id="319" w:name="seneca-stoicism"/>
    <w:p>
      <w:pPr>
        <w:pStyle w:val="Heading3"/>
      </w:pPr>
      <w:r>
        <w:t xml:space="preserve">Seneca (Stoicism)</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Moral Letters to Lucilius (Wikisource)</w:t>
            </w:r>
          </w:p>
        </w:tc>
        <w:tc>
          <w:tcPr/>
          <w:p>
            <w:pPr>
              <w:pStyle w:val="Compact"/>
              <w:jc w:val="left"/>
            </w:pPr>
            <w:hyperlink r:id="rId314">
              <w:r>
                <w:rPr>
                  <w:rStyle w:val="Hyperlink"/>
                </w:rPr>
                <w:t xml:space="preserve">en.wikisource.org</w:t>
              </w:r>
            </w:hyperlink>
          </w:p>
        </w:tc>
        <w:tc>
          <w:tcPr/>
          <w:p>
            <w:pPr>
              <w:pStyle w:val="Compact"/>
              <w:jc w:val="left"/>
            </w:pPr>
            <w:r>
              <w:t xml:space="preserve">★★★ Complete free online text — Seneca’s 124 letters on ethics, death, and practical philosophy</w:t>
            </w:r>
          </w:p>
        </w:tc>
      </w:tr>
      <w:tr>
        <w:tc>
          <w:tcPr/>
          <w:p>
            <w:pPr>
              <w:pStyle w:val="Compact"/>
              <w:jc w:val="left"/>
            </w:pPr>
            <w:r>
              <w:t xml:space="preserve">On the Shortness of Life (Wikisource)</w:t>
            </w:r>
          </w:p>
        </w:tc>
        <w:tc>
          <w:tcPr/>
          <w:p>
            <w:pPr>
              <w:pStyle w:val="Compact"/>
              <w:jc w:val="left"/>
            </w:pPr>
            <w:hyperlink r:id="rId315">
              <w:r>
                <w:rPr>
                  <w:rStyle w:val="Hyperlink"/>
                </w:rPr>
                <w:t xml:space="preserve">en.wikisource.org</w:t>
              </w:r>
            </w:hyperlink>
          </w:p>
        </w:tc>
        <w:tc>
          <w:tcPr/>
          <w:p>
            <w:pPr>
              <w:pStyle w:val="Compact"/>
              <w:jc w:val="left"/>
            </w:pPr>
            <w:r>
              <w:t xml:space="preserve">★★★</w:t>
            </w:r>
            <w:r>
              <w:t xml:space="preserve"> </w:t>
            </w:r>
            <w:r>
              <w:rPr>
                <w:i/>
                <w:iCs/>
              </w:rPr>
              <w:t xml:space="preserve">De Brevitate Vitae</w:t>
            </w:r>
            <w:r>
              <w:t xml:space="preserve"> </w:t>
            </w:r>
            <w:r>
              <w:t xml:space="preserve">— Seneca’s essay on how we waste the time we have. Hits different in a bathroom.</w:t>
            </w:r>
          </w:p>
        </w:tc>
      </w:tr>
      <w:tr>
        <w:tc>
          <w:tcPr/>
          <w:p>
            <w:pPr>
              <w:pStyle w:val="Compact"/>
              <w:jc w:val="left"/>
            </w:pPr>
            <w:r>
              <w:t xml:space="preserve">Ad Lucilium Epistulae Morales Vol. I (Archive.org)</w:t>
            </w:r>
          </w:p>
        </w:tc>
        <w:tc>
          <w:tcPr/>
          <w:p>
            <w:pPr>
              <w:pStyle w:val="Compact"/>
              <w:jc w:val="left"/>
            </w:pPr>
            <w:hyperlink r:id="rId316">
              <w:r>
                <w:rPr>
                  <w:rStyle w:val="Hyperlink"/>
                </w:rPr>
                <w:t xml:space="preserve">archive.org</w:t>
              </w:r>
            </w:hyperlink>
          </w:p>
        </w:tc>
        <w:tc>
          <w:tcPr/>
          <w:p>
            <w:pPr>
              <w:pStyle w:val="Compact"/>
              <w:jc w:val="left"/>
            </w:pPr>
            <w:r>
              <w:t xml:space="preserve">★★★ Full-text download of the Loeb Classical Library edition</w:t>
            </w:r>
          </w:p>
        </w:tc>
      </w:tr>
      <w:tr>
        <w:tc>
          <w:tcPr/>
          <w:p>
            <w:pPr>
              <w:pStyle w:val="Compact"/>
              <w:jc w:val="left"/>
            </w:pPr>
            <w:r>
              <w:t xml:space="preserve">Modern Stoicism — Beginner’s Guide</w:t>
            </w:r>
          </w:p>
        </w:tc>
        <w:tc>
          <w:tcPr/>
          <w:p>
            <w:pPr>
              <w:pStyle w:val="Compact"/>
              <w:jc w:val="left"/>
            </w:pPr>
            <w:hyperlink r:id="rId317">
              <w:r>
                <w:rPr>
                  <w:rStyle w:val="Hyperlink"/>
                </w:rPr>
                <w:t xml:space="preserve">modernstoicism.com</w:t>
              </w:r>
            </w:hyperlink>
          </w:p>
        </w:tc>
        <w:tc>
          <w:tcPr/>
          <w:p>
            <w:pPr>
              <w:pStyle w:val="Compact"/>
              <w:jc w:val="left"/>
            </w:pPr>
            <w:r>
              <w:t xml:space="preserve">★★☆ Accessible introduction to Stoic philosophy, starting with Marcus Aurelius’</w:t>
            </w:r>
            <w:r>
              <w:t xml:space="preserve"> </w:t>
            </w:r>
            <w:r>
              <w:rPr>
                <w:i/>
                <w:iCs/>
              </w:rPr>
              <w:t xml:space="preserve">Meditations</w:t>
            </w:r>
          </w:p>
        </w:tc>
      </w:tr>
      <w:tr>
        <w:tc>
          <w:tcPr/>
          <w:p>
            <w:pPr>
              <w:pStyle w:val="Compact"/>
              <w:jc w:val="left"/>
            </w:pPr>
            <w:r>
              <w:t xml:space="preserve">The Daily Stoic</w:t>
            </w:r>
          </w:p>
        </w:tc>
        <w:tc>
          <w:tcPr/>
          <w:p>
            <w:pPr>
              <w:pStyle w:val="Compact"/>
              <w:jc w:val="left"/>
            </w:pPr>
            <w:hyperlink r:id="rId318">
              <w:r>
                <w:rPr>
                  <w:rStyle w:val="Hyperlink"/>
                </w:rPr>
                <w:t xml:space="preserve">dailystoic.com</w:t>
              </w:r>
            </w:hyperlink>
          </w:p>
        </w:tc>
        <w:tc>
          <w:tcPr/>
          <w:p>
            <w:pPr>
              <w:pStyle w:val="Compact"/>
              <w:jc w:val="left"/>
            </w:pPr>
            <w:r>
              <w:t xml:space="preserve">★☆☆ Popular Stoic philosophy resource with daily exercises and practical applications</w:t>
            </w:r>
          </w:p>
        </w:tc>
      </w:tr>
    </w:tbl>
    <w:bookmarkEnd w:id="319"/>
    <w:bookmarkStart w:id="323" w:name="tao-te-ching-taoism"/>
    <w:p>
      <w:pPr>
        <w:pStyle w:val="Heading3"/>
      </w:pPr>
      <w:r>
        <w:t xml:space="preserve">Tao Te Ching (Taoism)</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Tao Te Ching — James Legge Translation (Project Gutenberg)</w:t>
            </w:r>
          </w:p>
        </w:tc>
        <w:tc>
          <w:tcPr/>
          <w:p>
            <w:pPr>
              <w:pStyle w:val="Compact"/>
              <w:jc w:val="left"/>
            </w:pPr>
            <w:hyperlink r:id="rId320">
              <w:r>
                <w:rPr>
                  <w:rStyle w:val="Hyperlink"/>
                </w:rPr>
                <w:t xml:space="preserve">gutenberg.org/ebooks/216</w:t>
              </w:r>
            </w:hyperlink>
          </w:p>
        </w:tc>
        <w:tc>
          <w:tcPr/>
          <w:p>
            <w:pPr>
              <w:pStyle w:val="Compact"/>
              <w:jc w:val="left"/>
            </w:pPr>
            <w:r>
              <w:t xml:space="preserve">★★★ Public domain Legge translation — free ebook from Project Gutenberg</w:t>
            </w:r>
          </w:p>
        </w:tc>
      </w:tr>
      <w:tr>
        <w:tc>
          <w:tcPr/>
          <w:p>
            <w:pPr>
              <w:pStyle w:val="Compact"/>
              <w:jc w:val="left"/>
            </w:pPr>
            <w:r>
              <w:t xml:space="preserve">Tao Te Ching — Legge Translation (Standard Ebooks)</w:t>
            </w:r>
          </w:p>
        </w:tc>
        <w:tc>
          <w:tcPr/>
          <w:p>
            <w:pPr>
              <w:pStyle w:val="Compact"/>
              <w:jc w:val="left"/>
            </w:pPr>
            <w:hyperlink r:id="rId321">
              <w:r>
                <w:rPr>
                  <w:rStyle w:val="Hyperlink"/>
                </w:rPr>
                <w:t xml:space="preserve">standardebooks.org</w:t>
              </w:r>
            </w:hyperlink>
          </w:p>
        </w:tc>
        <w:tc>
          <w:tcPr/>
          <w:p>
            <w:pPr>
              <w:pStyle w:val="Compact"/>
              <w:jc w:val="left"/>
            </w:pPr>
            <w:r>
              <w:t xml:space="preserve">★★★ Beautifully formatted free ebook with modern typography</w:t>
            </w:r>
          </w:p>
        </w:tc>
      </w:tr>
      <w:tr>
        <w:tc>
          <w:tcPr/>
          <w:p>
            <w:pPr>
              <w:pStyle w:val="Compact"/>
              <w:jc w:val="left"/>
            </w:pPr>
            <w:r>
              <w:t xml:space="preserve">Tao Te Ching — Ursula K. Le Guin Interpretation (PDF)</w:t>
            </w:r>
          </w:p>
        </w:tc>
        <w:tc>
          <w:tcPr/>
          <w:p>
            <w:pPr>
              <w:pStyle w:val="Compact"/>
              <w:jc w:val="left"/>
            </w:pPr>
            <w:hyperlink r:id="rId322">
              <w:r>
                <w:rPr>
                  <w:rStyle w:val="Hyperlink"/>
                </w:rPr>
                <w:t xml:space="preserve">wesleyac.com (PDF)</w:t>
              </w:r>
            </w:hyperlink>
          </w:p>
        </w:tc>
        <w:tc>
          <w:tcPr/>
          <w:p>
            <w:pPr>
              <w:pStyle w:val="Compact"/>
              <w:jc w:val="left"/>
            </w:pPr>
            <w:r>
              <w:t xml:space="preserve">★★☆ Le Guin’s personal and poetic interpretation — not a literal translation, but deeply felt</w:t>
            </w:r>
          </w:p>
        </w:tc>
      </w:tr>
    </w:tbl>
    <w:bookmarkEnd w:id="323"/>
    <w:bookmarkStart w:id="326" w:name="i-ching-book-of-changes"/>
    <w:p>
      <w:pPr>
        <w:pStyle w:val="Heading3"/>
      </w:pPr>
      <w:r>
        <w:t xml:space="preserve">I Ching (Book of Changes)</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I Ching — Richard Wilhelm Translation (Online)</w:t>
            </w:r>
          </w:p>
        </w:tc>
        <w:tc>
          <w:tcPr/>
          <w:p>
            <w:pPr>
              <w:pStyle w:val="Compact"/>
              <w:jc w:val="left"/>
            </w:pPr>
            <w:hyperlink r:id="rId324">
              <w:r>
                <w:rPr>
                  <w:rStyle w:val="Hyperlink"/>
                </w:rPr>
                <w:t xml:space="preserve">unipr.it</w:t>
              </w:r>
            </w:hyperlink>
          </w:p>
        </w:tc>
        <w:tc>
          <w:tcPr/>
          <w:p>
            <w:pPr>
              <w:pStyle w:val="Compact"/>
              <w:jc w:val="left"/>
            </w:pPr>
            <w:r>
              <w:t xml:space="preserve">★★☆ Complete online text of the standard Wilhelm/Baynes translation</w:t>
            </w:r>
          </w:p>
        </w:tc>
      </w:tr>
      <w:tr>
        <w:tc>
          <w:tcPr/>
          <w:p>
            <w:pPr>
              <w:pStyle w:val="Compact"/>
              <w:jc w:val="left"/>
            </w:pPr>
            <w:r>
              <w:t xml:space="preserve">I Ching — Wilhelm/Baynes (Archive.org)</w:t>
            </w:r>
          </w:p>
        </w:tc>
        <w:tc>
          <w:tcPr/>
          <w:p>
            <w:pPr>
              <w:pStyle w:val="Compact"/>
              <w:jc w:val="left"/>
            </w:pPr>
            <w:hyperlink r:id="rId325">
              <w:r>
                <w:rPr>
                  <w:rStyle w:val="Hyperlink"/>
                </w:rPr>
                <w:t xml:space="preserve">archive.org</w:t>
              </w:r>
            </w:hyperlink>
          </w:p>
        </w:tc>
        <w:tc>
          <w:tcPr/>
          <w:p>
            <w:pPr>
              <w:pStyle w:val="Compact"/>
              <w:jc w:val="left"/>
            </w:pPr>
            <w:r>
              <w:t xml:space="preserve">★★★ Full digital access to the I Ching or Book of Changes on Archive.org</w:t>
            </w:r>
          </w:p>
        </w:tc>
      </w:tr>
    </w:tbl>
    <w:bookmarkEnd w:id="326"/>
    <w:bookmarkEnd w:id="327"/>
    <w:bookmarkStart w:id="346" w:name="X02f73f0e6e6b6ec394ad38255bee526c244b64c"/>
    <w:p>
      <w:pPr>
        <w:pStyle w:val="Heading2"/>
      </w:pPr>
      <w:r>
        <w:t xml:space="preserve">Psychology of the Masses, Group Dynamics &amp; Sociology</w:t>
      </w:r>
    </w:p>
    <w:p>
      <w:pPr>
        <w:pStyle w:val="FirstParagraph"/>
      </w:pPr>
      <w:r>
        <w:t xml:space="preserve">The Zombie Guide’s sections on</w:t>
      </w:r>
      <w:r>
        <w:t xml:space="preserve"> </w:t>
      </w:r>
      <w:r>
        <w:t xml:space="preserve">“</w:t>
      </w:r>
      <w:r>
        <w:t xml:space="preserve">Psychology of the Masses</w:t>
      </w:r>
      <w:r>
        <w:t xml:space="preserve">”</w:t>
      </w:r>
      <w:r>
        <w:t xml:space="preserve"> </w:t>
      </w:r>
      <w:r>
        <w:t xml:space="preserve">and</w:t>
      </w:r>
      <w:r>
        <w:t xml:space="preserve"> </w:t>
      </w:r>
      <w:r>
        <w:t xml:space="preserve">“</w:t>
      </w:r>
      <w:r>
        <w:t xml:space="preserve">Building Society</w:t>
      </w:r>
      <w:r>
        <w:t xml:space="preserve">”</w:t>
      </w:r>
      <w:r>
        <w:t xml:space="preserve"> </w:t>
      </w:r>
      <w:r>
        <w:t xml:space="preserve">reference key experiments and theories in social psychology. These are the primary sources behind claims about conformity, obedience, identity, and group governance.</w:t>
      </w:r>
    </w:p>
    <w:bookmarkStart w:id="332" w:name="crowd-psychology-social-identity"/>
    <w:p>
      <w:pPr>
        <w:pStyle w:val="Heading3"/>
      </w:pPr>
      <w:r>
        <w:t xml:space="preserve">Crowd Psychology &amp; Social Identity</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Gustave Le Bon — The Crowd (Project Gutenberg)</w:t>
            </w:r>
          </w:p>
        </w:tc>
        <w:tc>
          <w:tcPr/>
          <w:p>
            <w:pPr>
              <w:pStyle w:val="Compact"/>
              <w:jc w:val="left"/>
            </w:pPr>
            <w:hyperlink r:id="rId328">
              <w:r>
                <w:rPr>
                  <w:rStyle w:val="Hyperlink"/>
                </w:rPr>
                <w:t xml:space="preserve">gutenberg.org/ebooks/445</w:t>
              </w:r>
            </w:hyperlink>
          </w:p>
        </w:tc>
        <w:tc>
          <w:tcPr/>
          <w:p>
            <w:pPr>
              <w:pStyle w:val="Compact"/>
              <w:jc w:val="left"/>
            </w:pPr>
            <w:r>
              <w:t xml:space="preserve">★★★ Free public domain text of Le Bon’s 1895 foundational work on crowd psychology</w:t>
            </w:r>
          </w:p>
        </w:tc>
      </w:tr>
      <w:tr>
        <w:tc>
          <w:tcPr/>
          <w:p>
            <w:pPr>
              <w:pStyle w:val="Compact"/>
              <w:jc w:val="left"/>
            </w:pPr>
            <w:r>
              <w:t xml:space="preserve">Le Bon — The Crowd (PDF, ETH Zurich)</w:t>
            </w:r>
          </w:p>
        </w:tc>
        <w:tc>
          <w:tcPr/>
          <w:p>
            <w:pPr>
              <w:pStyle w:val="Compact"/>
              <w:jc w:val="left"/>
            </w:pPr>
            <w:hyperlink r:id="rId329">
              <w:r>
                <w:rPr>
                  <w:rStyle w:val="Hyperlink"/>
                </w:rPr>
                <w:t xml:space="preserve">ethz.ch (PDF)</w:t>
              </w:r>
            </w:hyperlink>
          </w:p>
        </w:tc>
        <w:tc>
          <w:tcPr/>
          <w:p>
            <w:pPr>
              <w:pStyle w:val="Compact"/>
              <w:jc w:val="left"/>
            </w:pPr>
            <w:r>
              <w:t xml:space="preserve">★★★ Full PDF hosted by ETH Zurich’s International Relations and Security Network</w:t>
            </w:r>
          </w:p>
        </w:tc>
      </w:tr>
      <w:tr>
        <w:tc>
          <w:tcPr/>
          <w:p>
            <w:pPr>
              <w:pStyle w:val="Compact"/>
              <w:jc w:val="left"/>
            </w:pPr>
            <w:r>
              <w:t xml:space="preserve">Henri Tajfel — Social Identity and Intergroup Behaviour</w:t>
            </w:r>
          </w:p>
        </w:tc>
        <w:tc>
          <w:tcPr/>
          <w:p>
            <w:pPr>
              <w:pStyle w:val="Compact"/>
              <w:jc w:val="left"/>
            </w:pPr>
            <w:hyperlink r:id="rId330">
              <w:r>
                <w:rPr>
                  <w:rStyle w:val="Hyperlink"/>
                </w:rPr>
                <w:t xml:space="preserve">SAGE Journals</w:t>
              </w:r>
            </w:hyperlink>
          </w:p>
        </w:tc>
        <w:tc>
          <w:tcPr/>
          <w:p>
            <w:pPr>
              <w:pStyle w:val="Compact"/>
              <w:jc w:val="left"/>
            </w:pPr>
            <w:r>
              <w:t xml:space="preserve">★★★ Tajfel’s foundational 1974 paper on social identity and intergroup behavior</w:t>
            </w:r>
          </w:p>
        </w:tc>
      </w:tr>
      <w:tr>
        <w:tc>
          <w:tcPr/>
          <w:p>
            <w:pPr>
              <w:pStyle w:val="Compact"/>
              <w:jc w:val="left"/>
            </w:pPr>
            <w:r>
              <w:t xml:space="preserve">Social Identity Theory — Simply Psychology</w:t>
            </w:r>
          </w:p>
        </w:tc>
        <w:tc>
          <w:tcPr/>
          <w:p>
            <w:pPr>
              <w:pStyle w:val="Compact"/>
              <w:jc w:val="left"/>
            </w:pPr>
            <w:hyperlink r:id="rId331">
              <w:r>
                <w:rPr>
                  <w:rStyle w:val="Hyperlink"/>
                </w:rPr>
                <w:t xml:space="preserve">simplypsychology.org</w:t>
              </w:r>
            </w:hyperlink>
          </w:p>
        </w:tc>
        <w:tc>
          <w:tcPr/>
          <w:p>
            <w:pPr>
              <w:pStyle w:val="Compact"/>
              <w:jc w:val="left"/>
            </w:pPr>
            <w:r>
              <w:t xml:space="preserve">★★☆ Accessible summary of Tajfel &amp; Turner’s Social Identity Theory</w:t>
            </w:r>
          </w:p>
        </w:tc>
      </w:tr>
    </w:tbl>
    <w:bookmarkEnd w:id="332"/>
    <w:bookmarkStart w:id="338" w:name="conformity-obedience"/>
    <w:p>
      <w:pPr>
        <w:pStyle w:val="Heading3"/>
      </w:pPr>
      <w:r>
        <w:t xml:space="preserve">Conformity &amp; Obedience</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Solomon Asch — Studies of Independence and Conformity</w:t>
            </w:r>
          </w:p>
        </w:tc>
        <w:tc>
          <w:tcPr/>
          <w:p>
            <w:pPr>
              <w:pStyle w:val="Compact"/>
              <w:jc w:val="left"/>
            </w:pPr>
            <w:hyperlink r:id="rId333">
              <w:r>
                <w:rPr>
                  <w:rStyle w:val="Hyperlink"/>
                </w:rPr>
                <w:t xml:space="preserve">APA PsycNET</w:t>
              </w:r>
            </w:hyperlink>
          </w:p>
        </w:tc>
        <w:tc>
          <w:tcPr/>
          <w:p>
            <w:pPr>
              <w:pStyle w:val="Compact"/>
              <w:jc w:val="left"/>
            </w:pPr>
            <w:r>
              <w:t xml:space="preserve">★★★ Original 1956 paper — the primary source for conformity experiment findings</w:t>
            </w:r>
          </w:p>
        </w:tc>
      </w:tr>
      <w:tr>
        <w:tc>
          <w:tcPr/>
          <w:p>
            <w:pPr>
              <w:pStyle w:val="Compact"/>
              <w:jc w:val="left"/>
            </w:pPr>
            <w:r>
              <w:t xml:space="preserve">Asch Conformity — Simply Psychology</w:t>
            </w:r>
          </w:p>
        </w:tc>
        <w:tc>
          <w:tcPr/>
          <w:p>
            <w:pPr>
              <w:pStyle w:val="Compact"/>
              <w:jc w:val="left"/>
            </w:pPr>
            <w:hyperlink r:id="rId334">
              <w:r>
                <w:rPr>
                  <w:rStyle w:val="Hyperlink"/>
                </w:rPr>
                <w:t xml:space="preserve">simplypsychology.org</w:t>
              </w:r>
            </w:hyperlink>
          </w:p>
        </w:tc>
        <w:tc>
          <w:tcPr/>
          <w:p>
            <w:pPr>
              <w:pStyle w:val="Compact"/>
              <w:jc w:val="left"/>
            </w:pPr>
            <w:r>
              <w:t xml:space="preserve">★★☆ Clear educational summary of Asch’s conformity experiments</w:t>
            </w:r>
          </w:p>
        </w:tc>
      </w:tr>
      <w:tr>
        <w:tc>
          <w:tcPr/>
          <w:p>
            <w:pPr>
              <w:pStyle w:val="Compact"/>
              <w:jc w:val="left"/>
            </w:pPr>
            <w:r>
              <w:t xml:space="preserve">Stanley Milgram — Behavioral Study of Obedience</w:t>
            </w:r>
          </w:p>
        </w:tc>
        <w:tc>
          <w:tcPr/>
          <w:p>
            <w:pPr>
              <w:pStyle w:val="Compact"/>
              <w:jc w:val="left"/>
            </w:pPr>
            <w:hyperlink r:id="rId335">
              <w:r>
                <w:rPr>
                  <w:rStyle w:val="Hyperlink"/>
                </w:rPr>
                <w:t xml:space="preserve">APA PsycNET</w:t>
              </w:r>
            </w:hyperlink>
          </w:p>
        </w:tc>
        <w:tc>
          <w:tcPr/>
          <w:p>
            <w:pPr>
              <w:pStyle w:val="Compact"/>
              <w:jc w:val="left"/>
            </w:pPr>
            <w:r>
              <w:t xml:space="preserve">★★★ Milgram’s original 1963 paper on obedience to authority — cited over 10,000 times</w:t>
            </w:r>
          </w:p>
        </w:tc>
      </w:tr>
      <w:tr>
        <w:tc>
          <w:tcPr/>
          <w:p>
            <w:pPr>
              <w:pStyle w:val="Compact"/>
              <w:jc w:val="left"/>
            </w:pPr>
            <w:r>
              <w:t xml:space="preserve">Stanford Prison Experiment — Official Site</w:t>
            </w:r>
          </w:p>
        </w:tc>
        <w:tc>
          <w:tcPr/>
          <w:p>
            <w:pPr>
              <w:pStyle w:val="Compact"/>
              <w:jc w:val="left"/>
            </w:pPr>
            <w:hyperlink r:id="rId336">
              <w:r>
                <w:rPr>
                  <w:rStyle w:val="Hyperlink"/>
                </w:rPr>
                <w:t xml:space="preserve">prisonexp.org</w:t>
              </w:r>
            </w:hyperlink>
          </w:p>
        </w:tc>
        <w:tc>
          <w:tcPr/>
          <w:p>
            <w:pPr>
              <w:pStyle w:val="Compact"/>
              <w:jc w:val="left"/>
            </w:pPr>
            <w:r>
              <w:t xml:space="preserve">★★★ Official site maintained by Philip Zimbardo — full story, discussion, and FAQs</w:t>
            </w:r>
          </w:p>
        </w:tc>
      </w:tr>
      <w:tr>
        <w:tc>
          <w:tcPr/>
          <w:p>
            <w:pPr>
              <w:pStyle w:val="Compact"/>
              <w:jc w:val="left"/>
            </w:pPr>
            <w:r>
              <w:t xml:space="preserve">Stanford Prison Experiment — Stanford Exhibits</w:t>
            </w:r>
          </w:p>
        </w:tc>
        <w:tc>
          <w:tcPr/>
          <w:p>
            <w:pPr>
              <w:pStyle w:val="Compact"/>
              <w:jc w:val="left"/>
            </w:pPr>
            <w:hyperlink r:id="rId337">
              <w:r>
                <w:rPr>
                  <w:rStyle w:val="Hyperlink"/>
                </w:rPr>
                <w:t xml:space="preserve">exhibits.stanford.edu/spe</w:t>
              </w:r>
            </w:hyperlink>
          </w:p>
        </w:tc>
        <w:tc>
          <w:tcPr/>
          <w:p>
            <w:pPr>
              <w:pStyle w:val="Compact"/>
              <w:jc w:val="left"/>
            </w:pPr>
            <w:r>
              <w:t xml:space="preserve">★★★ Stanford University’s archival exhibit with original transcripts and photos</w:t>
            </w:r>
          </w:p>
        </w:tc>
      </w:tr>
    </w:tbl>
    <w:bookmarkEnd w:id="338"/>
    <w:bookmarkStart w:id="342" w:name="governance-models"/>
    <w:p>
      <w:pPr>
        <w:pStyle w:val="Heading3"/>
      </w:pPr>
      <w:r>
        <w:t xml:space="preserve">Governance Models</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Sociocracy For All — What Is Sociocracy?</w:t>
            </w:r>
          </w:p>
        </w:tc>
        <w:tc>
          <w:tcPr/>
          <w:p>
            <w:pPr>
              <w:pStyle w:val="Compact"/>
              <w:jc w:val="left"/>
            </w:pPr>
            <w:hyperlink r:id="rId339">
              <w:r>
                <w:rPr>
                  <w:rStyle w:val="Hyperlink"/>
                </w:rPr>
                <w:t xml:space="preserve">sociocracyforall.org</w:t>
              </w:r>
            </w:hyperlink>
          </w:p>
        </w:tc>
        <w:tc>
          <w:tcPr/>
          <w:p>
            <w:pPr>
              <w:pStyle w:val="Compact"/>
              <w:jc w:val="left"/>
            </w:pPr>
            <w:r>
              <w:t xml:space="preserve">★★☆ Clear introduction to consent decision-making and decentralized authority</w:t>
            </w:r>
          </w:p>
        </w:tc>
      </w:tr>
      <w:tr>
        <w:tc>
          <w:tcPr/>
          <w:p>
            <w:pPr>
              <w:pStyle w:val="Compact"/>
              <w:jc w:val="left"/>
            </w:pPr>
            <w:r>
              <w:t xml:space="preserve">Holacracy Constitution v5.0</w:t>
            </w:r>
          </w:p>
        </w:tc>
        <w:tc>
          <w:tcPr/>
          <w:p>
            <w:pPr>
              <w:pStyle w:val="Compact"/>
              <w:jc w:val="left"/>
            </w:pPr>
            <w:hyperlink r:id="rId340">
              <w:r>
                <w:rPr>
                  <w:rStyle w:val="Hyperlink"/>
                </w:rPr>
                <w:t xml:space="preserve">holacracy.org/constitution/5-0</w:t>
              </w:r>
            </w:hyperlink>
          </w:p>
        </w:tc>
        <w:tc>
          <w:tcPr/>
          <w:p>
            <w:pPr>
              <w:pStyle w:val="Compact"/>
              <w:jc w:val="left"/>
            </w:pPr>
            <w:r>
              <w:t xml:space="preserve">★★★ The official Holacracy Constitution — the core rules of self-management in 5 articles</w:t>
            </w:r>
          </w:p>
        </w:tc>
      </w:tr>
      <w:tr>
        <w:tc>
          <w:tcPr/>
          <w:p>
            <w:pPr>
              <w:pStyle w:val="Compact"/>
              <w:jc w:val="left"/>
            </w:pPr>
            <w:r>
              <w:t xml:space="preserve">Holacracy Constitution v5.0 (PDF)</w:t>
            </w:r>
          </w:p>
        </w:tc>
        <w:tc>
          <w:tcPr/>
          <w:p>
            <w:pPr>
              <w:pStyle w:val="Compact"/>
              <w:jc w:val="left"/>
            </w:pPr>
            <w:hyperlink r:id="rId341">
              <w:r>
                <w:rPr>
                  <w:rStyle w:val="Hyperlink"/>
                </w:rPr>
                <w:t xml:space="preserve">holacracy.org (PDF)</w:t>
              </w:r>
            </w:hyperlink>
          </w:p>
        </w:tc>
        <w:tc>
          <w:tcPr/>
          <w:p>
            <w:pPr>
              <w:pStyle w:val="Compact"/>
              <w:jc w:val="left"/>
            </w:pPr>
            <w:r>
              <w:t xml:space="preserve">★★★ Downloadable PDF of the complete constitution</w:t>
            </w:r>
          </w:p>
        </w:tc>
      </w:tr>
    </w:tbl>
    <w:bookmarkEnd w:id="342"/>
    <w:bookmarkStart w:id="345" w:name="sociology-power"/>
    <w:p>
      <w:pPr>
        <w:pStyle w:val="Heading3"/>
      </w:pPr>
      <w:r>
        <w:t xml:space="preserve">Sociology &amp; Power</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Erving Goffman — Presentation of Self (PDF)</w:t>
            </w:r>
          </w:p>
        </w:tc>
        <w:tc>
          <w:tcPr/>
          <w:p>
            <w:pPr>
              <w:pStyle w:val="Compact"/>
              <w:jc w:val="left"/>
            </w:pPr>
            <w:hyperlink r:id="rId343">
              <w:r>
                <w:rPr>
                  <w:rStyle w:val="Hyperlink"/>
                </w:rPr>
                <w:t xml:space="preserve">monoskop.org (PDF)</w:t>
              </w:r>
            </w:hyperlink>
          </w:p>
        </w:tc>
        <w:tc>
          <w:tcPr/>
          <w:p>
            <w:pPr>
              <w:pStyle w:val="Compact"/>
              <w:jc w:val="left"/>
            </w:pPr>
            <w:r>
              <w:t xml:space="preserve">★★☆ Full PDF of Goffman’s landmark 1956 work on self-presentation in social interaction</w:t>
            </w:r>
          </w:p>
        </w:tc>
      </w:tr>
      <w:tr>
        <w:tc>
          <w:tcPr/>
          <w:p>
            <w:pPr>
              <w:pStyle w:val="Compact"/>
              <w:jc w:val="left"/>
            </w:pPr>
            <w:r>
              <w:t xml:space="preserve">Elias Canetti — Crowds and Power</w:t>
            </w:r>
          </w:p>
        </w:tc>
        <w:tc>
          <w:tcPr/>
          <w:p>
            <w:pPr>
              <w:pStyle w:val="Compact"/>
              <w:jc w:val="left"/>
            </w:pPr>
            <w:hyperlink r:id="rId344">
              <w:r>
                <w:rPr>
                  <w:rStyle w:val="Hyperlink"/>
                </w:rPr>
                <w:t xml:space="preserve">Wikipedia overview</w:t>
              </w:r>
            </w:hyperlink>
          </w:p>
        </w:tc>
        <w:tc>
          <w:tcPr/>
          <w:p>
            <w:pPr>
              <w:pStyle w:val="Compact"/>
              <w:jc w:val="left"/>
            </w:pPr>
            <w:r>
              <w:t xml:space="preserve">★★☆ Overview of Canetti’s 1960 masterwork exploring the dynamics of crowds and the psychology of power</w:t>
            </w:r>
          </w:p>
        </w:tc>
      </w:tr>
    </w:tbl>
    <w:bookmarkEnd w:id="345"/>
    <w:bookmarkEnd w:id="346"/>
    <w:bookmarkStart w:id="350" w:name="legal-professional-standards"/>
    <w:p>
      <w:pPr>
        <w:pStyle w:val="Heading2"/>
      </w:pPr>
      <w:r>
        <w:t xml:space="preserve">Legal &amp; Professional Standards</w:t>
      </w:r>
    </w:p>
    <w:p>
      <w:pPr>
        <w:pStyle w:val="FirstParagraph"/>
      </w:pPr>
      <w:r>
        <w:t xml:space="preserve">The Professional Support Directory (Ch.7) references German self-defense law (§32 StGB) and family law. Here are the primary legal sources.</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German Criminal Code (StGB) — English Translation</w:t>
            </w:r>
          </w:p>
        </w:tc>
        <w:tc>
          <w:tcPr/>
          <w:p>
            <w:pPr>
              <w:pStyle w:val="Compact"/>
              <w:jc w:val="left"/>
            </w:pPr>
            <w:hyperlink r:id="rId347">
              <w:r>
                <w:rPr>
                  <w:rStyle w:val="Hyperlink"/>
                </w:rPr>
                <w:t xml:space="preserve">gesetze-im-internet.de</w:t>
              </w:r>
            </w:hyperlink>
          </w:p>
        </w:tc>
        <w:tc>
          <w:tcPr/>
          <w:p>
            <w:pPr>
              <w:pStyle w:val="Compact"/>
              <w:jc w:val="left"/>
            </w:pPr>
            <w:r>
              <w:t xml:space="preserve">★★★ Official English translation including §32 (Self-defence) and §33 (Excessive self-defence)</w:t>
            </w:r>
          </w:p>
        </w:tc>
      </w:tr>
      <w:tr>
        <w:tc>
          <w:tcPr/>
          <w:p>
            <w:pPr>
              <w:pStyle w:val="Compact"/>
              <w:jc w:val="left"/>
            </w:pPr>
            <w:r>
              <w:t xml:space="preserve">German Criminal Code (PDF, ILO NATLEX)</w:t>
            </w:r>
          </w:p>
        </w:tc>
        <w:tc>
          <w:tcPr/>
          <w:p>
            <w:pPr>
              <w:pStyle w:val="Compact"/>
              <w:jc w:val="left"/>
            </w:pPr>
            <w:hyperlink r:id="rId348">
              <w:r>
                <w:rPr>
                  <w:rStyle w:val="Hyperlink"/>
                </w:rPr>
                <w:t xml:space="preserve">natlex.ilo.org (PDF)</w:t>
              </w:r>
            </w:hyperlink>
          </w:p>
        </w:tc>
        <w:tc>
          <w:tcPr/>
          <w:p>
            <w:pPr>
              <w:pStyle w:val="Compact"/>
              <w:jc w:val="left"/>
            </w:pPr>
            <w:r>
              <w:t xml:space="preserve">★★★ Downloadable PDF of the German Criminal Code in English</w:t>
            </w:r>
          </w:p>
        </w:tc>
      </w:tr>
      <w:tr>
        <w:tc>
          <w:tcPr/>
          <w:p>
            <w:pPr>
              <w:pStyle w:val="Compact"/>
              <w:jc w:val="left"/>
            </w:pPr>
            <w:r>
              <w:t xml:space="preserve">German Civil Code (BGB) — English Translation</w:t>
            </w:r>
          </w:p>
        </w:tc>
        <w:tc>
          <w:tcPr/>
          <w:p>
            <w:pPr>
              <w:pStyle w:val="Compact"/>
              <w:jc w:val="left"/>
            </w:pPr>
            <w:hyperlink r:id="rId349">
              <w:r>
                <w:rPr>
                  <w:rStyle w:val="Hyperlink"/>
                </w:rPr>
                <w:t xml:space="preserve">gesetze-im-internet.de</w:t>
              </w:r>
            </w:hyperlink>
          </w:p>
        </w:tc>
        <w:tc>
          <w:tcPr/>
          <w:p>
            <w:pPr>
              <w:pStyle w:val="Compact"/>
              <w:jc w:val="left"/>
            </w:pPr>
            <w:r>
              <w:t xml:space="preserve">★★★ Official English translation including family law sections (Book 4)</w:t>
            </w:r>
          </w:p>
        </w:tc>
      </w:tr>
    </w:tbl>
    <w:bookmarkEnd w:id="350"/>
    <w:bookmarkStart w:id="351" w:name="affect-labeling-emotional-regulation"/>
    <w:p>
      <w:pPr>
        <w:pStyle w:val="Heading2"/>
      </w:pPr>
      <w:r>
        <w:t xml:space="preserve">Affect Labeling &amp; Emotional Regulation</w:t>
      </w:r>
    </w:p>
    <w:p>
      <w:pPr>
        <w:pStyle w:val="FirstParagraph"/>
      </w:pPr>
      <w:r>
        <w:t xml:space="preserve">The</w:t>
      </w:r>
      <w:r>
        <w:t xml:space="preserve"> </w:t>
      </w:r>
      <w:r>
        <w:t xml:space="preserve">“</w:t>
      </w:r>
      <w:r>
        <w:t xml:space="preserve">name it to tame it</w:t>
      </w:r>
      <w:r>
        <w:t xml:space="preserve">”</w:t>
      </w:r>
      <w:r>
        <w:t xml:space="preserve"> </w:t>
      </w:r>
      <w:r>
        <w:t xml:space="preserve">research referenced in Situation B (Ch.3).</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Lieberman et al. — Affect labeling disrupts amygdala activity</w:t>
            </w:r>
          </w:p>
        </w:tc>
        <w:tc>
          <w:tcPr/>
          <w:p>
            <w:pPr>
              <w:pStyle w:val="Compact"/>
              <w:jc w:val="left"/>
            </w:pPr>
            <w:r>
              <w:rPr>
                <w:i/>
                <w:iCs/>
              </w:rPr>
              <w:t xml:space="preserve">Psychol Sci</w:t>
            </w:r>
            <w:r>
              <w:t xml:space="preserve"> </w:t>
            </w:r>
            <w:r>
              <w:t xml:space="preserve">(2007)</w:t>
            </w:r>
          </w:p>
        </w:tc>
        <w:tc>
          <w:tcPr/>
          <w:p>
            <w:pPr>
              <w:pStyle w:val="Compact"/>
              <w:jc w:val="left"/>
            </w:pPr>
            <w:r>
              <w:t xml:space="preserve">★★★ fMRI study: verbal labeling of emotions activates right ventrolateral PFC and dampens amygdala</w:t>
            </w:r>
          </w:p>
        </w:tc>
      </w:tr>
      <w:tr>
        <w:tc>
          <w:tcPr/>
          <w:p>
            <w:pPr>
              <w:pStyle w:val="Compact"/>
              <w:jc w:val="left"/>
            </w:pPr>
            <w:r>
              <w:t xml:space="preserve">Torre &amp; Lieberman — Putting feelings into words</w:t>
            </w:r>
          </w:p>
        </w:tc>
        <w:tc>
          <w:tcPr/>
          <w:p>
            <w:pPr>
              <w:pStyle w:val="Compact"/>
              <w:jc w:val="left"/>
            </w:pPr>
            <w:r>
              <w:rPr>
                <w:i/>
                <w:iCs/>
              </w:rPr>
              <w:t xml:space="preserve">Curr Dir Psychol Sci</w:t>
            </w:r>
            <w:r>
              <w:t xml:space="preserve"> </w:t>
            </w:r>
            <w:r>
              <w:t xml:space="preserve">(2018)</w:t>
            </w:r>
          </w:p>
        </w:tc>
        <w:tc>
          <w:tcPr/>
          <w:p>
            <w:pPr>
              <w:pStyle w:val="Compact"/>
              <w:jc w:val="left"/>
            </w:pPr>
            <w:r>
              <w:t xml:space="preserve">★★☆ Updated review of the affect labeling literature and its therapeutic implications</w:t>
            </w:r>
          </w:p>
        </w:tc>
      </w:tr>
    </w:tbl>
    <w:bookmarkEnd w:id="351"/>
    <w:bookmarkStart w:id="352" w:name="hydration-cognition"/>
    <w:p>
      <w:pPr>
        <w:pStyle w:val="Heading2"/>
      </w:pPr>
      <w:r>
        <w:t xml:space="preserve">Hydration &amp; Cognition</w:t>
      </w:r>
    </w:p>
    <w:p>
      <w:pPr>
        <w:pStyle w:val="FirstParagraph"/>
      </w:pPr>
      <w:r>
        <w:t xml:space="preserve">The dehydration-cognition link referenced in the Calm Guide’s comfort inventory (Ch.4).</w:t>
      </w:r>
    </w:p>
    <w:tbl>
      <w:tblPr>
        <w:tblStyle w:val="Table"/>
        <w:tblW w:type="pct" w:w="5000"/>
        <w:jc w:val="left"/>
        <w:tblLayout w:type="fixed"/>
        <w:tblLook w:firstRow="1" w:lastRow="0" w:firstColumn="0" w:lastColumn="0" w:noHBand="0" w:noVBand="0" w:val="0020"/>
      </w:tblPr>
      <w:tblGrid>
        <w:gridCol w:w="3168"/>
        <w:gridCol w:w="1980"/>
        <w:gridCol w:w="2772"/>
      </w:tblGrid>
      <w:tr>
        <w:trPr>
          <w:tblHeader w:val="on"/>
        </w:trPr>
        <w:tc>
          <w:tcPr/>
          <w:p>
            <w:pPr>
              <w:pStyle w:val="Compact"/>
              <w:jc w:val="left"/>
            </w:pPr>
            <w:r>
              <w:t xml:space="preserve">Source</w:t>
            </w:r>
          </w:p>
        </w:tc>
        <w:tc>
          <w:tcPr/>
          <w:p>
            <w:pPr>
              <w:pStyle w:val="Compact"/>
              <w:jc w:val="left"/>
            </w:pPr>
            <w:r>
              <w:t xml:space="preserve">URL</w:t>
            </w:r>
          </w:p>
        </w:tc>
        <w:tc>
          <w:tcPr/>
          <w:p>
            <w:pPr>
              <w:pStyle w:val="Compact"/>
              <w:jc w:val="left"/>
            </w:pPr>
            <w:r>
              <w:t xml:space="preserve">Notes</w:t>
            </w:r>
          </w:p>
        </w:tc>
      </w:tr>
      <w:tr>
        <w:tc>
          <w:tcPr/>
          <w:p>
            <w:pPr>
              <w:pStyle w:val="Compact"/>
              <w:jc w:val="left"/>
            </w:pPr>
            <w:r>
              <w:t xml:space="preserve">Armstrong &amp; Ganio — Mild dehydration and cognition</w:t>
            </w:r>
          </w:p>
        </w:tc>
        <w:tc>
          <w:tcPr/>
          <w:p>
            <w:pPr>
              <w:pStyle w:val="Compact"/>
              <w:jc w:val="left"/>
            </w:pPr>
            <w:r>
              <w:rPr>
                <w:i/>
                <w:iCs/>
              </w:rPr>
              <w:t xml:space="preserve">Nutr Rev</w:t>
            </w:r>
            <w:r>
              <w:t xml:space="preserve"> </w:t>
            </w:r>
            <w:r>
              <w:t xml:space="preserve">(2012)</w:t>
            </w:r>
          </w:p>
        </w:tc>
        <w:tc>
          <w:tcPr/>
          <w:p>
            <w:pPr>
              <w:pStyle w:val="Compact"/>
              <w:jc w:val="left"/>
            </w:pPr>
            <w:r>
              <w:t xml:space="preserve">★★★ Even 1–2% body mass loss from dehydration impairs mood, working memory, and visual-motor function</w:t>
            </w:r>
          </w:p>
        </w:tc>
      </w:tr>
    </w:tbl>
    <w:p>
      <w:r>
        <w:pict>
          <v:rect style="width:0;height:1.5pt" o:hralign="center" o:hrstd="t" o:hr="t"/>
        </w:pict>
      </w:r>
    </w:p>
    <w:p>
      <w:pPr>
        <w:pStyle w:val="FirstParagraph"/>
      </w:pPr>
      <w:r>
        <w:rPr>
          <w:b/>
          <w:bCs/>
        </w:rPr>
        <w:t xml:space="preserve">A note on links:</w:t>
      </w:r>
      <w:r>
        <w:t xml:space="preserve"> </w:t>
      </w:r>
      <w:r>
        <w:t xml:space="preserve">URLs are verified as of 2026-05-03. Web resources move, expire, and reorganize — if a link is dead, try searching the title. The ★★★ sources are typically stable institutional URLs that persist for years. The ★☆☆ sources may require more effort to track down if they’ve moved. In any case, the information itself remains valid regardless of where it’s hosted.</w:t>
      </w:r>
    </w:p>
    <w:p>
      <w:r>
        <w:pict>
          <v:rect style="width:0;height:1.5pt" o:hralign="center" o:hrstd="t" o:hr="t"/>
        </w:pict>
      </w:r>
    </w:p>
    <w:bookmarkEnd w:id="352"/>
    <w:bookmarkEnd w:id="3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The graph-theoretic framing is more than decorative. Decision trees are a well-studied structure in operations research and decision analysis (Raiffa, 1968). The reachability invariant — every path reaches a destination — is a formal property that guarantees no</w:t>
      </w:r>
      <w:r>
        <w:t xml:space="preserve"> </w:t>
      </w:r>
      <w:r>
        <w:t xml:space="preserve">“</w:t>
      </w:r>
      <w:r>
        <w:t xml:space="preserve">dead end</w:t>
      </w:r>
      <w:r>
        <w:t xml:space="preserve">”</w:t>
      </w:r>
      <w:r>
        <w:t xml:space="preserve"> </w:t>
      </w:r>
      <w:r>
        <w:t xml:space="preserve">states exist in the guide. For readers who want to go deeper, see: Howard, R.A. &amp; Matheson, J.E.</w:t>
      </w:r>
      <w:r>
        <w:t xml:space="preserve"> </w:t>
      </w:r>
      <w:r>
        <w:t xml:space="preserve">“</w:t>
      </w:r>
      <w:r>
        <w:t xml:space="preserve">Influence diagrams</w:t>
      </w:r>
      <w:r>
        <w:t xml:space="preserve">”</w:t>
      </w:r>
      <w:r>
        <w:t xml:space="preserve"> </w:t>
      </w:r>
      <w:r>
        <w:t xml:space="preserve">(1981), and the broader field of Bayesian decision networks. The graph can also be analyzed as a Markov chain, where transition probabilities depend on the reader’s emotional state — but that’s a research paper, not a bathroom guide.</w:t>
      </w:r>
    </w:p>
  </w:footnote>
  <w:footnote w:id="38">
    <w:p>
      <w:pPr>
        <w:pStyle w:val="FootnoteText"/>
      </w:pPr>
      <w:r>
        <w:rPr>
          <w:rStyle w:val="FootnoteReference"/>
        </w:rPr>
        <w:footnoteRef/>
      </w:r>
      <w:r>
        <w:t xml:space="preserve"> </w:t>
      </w:r>
      <w:r>
        <w:t xml:space="preserve">Moore, K.L. &amp; Persaud, T.V.N.</w:t>
      </w:r>
      <w:r>
        <w:t xml:space="preserve"> </w:t>
      </w:r>
      <w:r>
        <w:rPr>
          <w:i/>
          <w:iCs/>
        </w:rPr>
        <w:t xml:space="preserve">The Developing Human: Clinically Oriented Embryology</w:t>
      </w:r>
      <w:r>
        <w:t xml:space="preserve"> </w:t>
      </w:r>
      <w:r>
        <w:t xml:space="preserve">(11th ed., 2019). See also WHO Preterm Birth Fact Sheet (2023): approximately 1 in 10 births globally are preterm, with survival rates varying dramatically by gestational age and access to neonatal intensive care.</w:t>
      </w:r>
    </w:p>
  </w:footnote>
  <w:footnote w:id="39">
    <w:p>
      <w:pPr>
        <w:pStyle w:val="FootnoteText"/>
      </w:pPr>
      <w:r>
        <w:rPr>
          <w:rStyle w:val="FootnoteReference"/>
        </w:rPr>
        <w:footnoteRef/>
      </w:r>
      <w:r>
        <w:t xml:space="preserve"> </w:t>
      </w:r>
      <w:r>
        <w:t xml:space="preserve">Rysavy, M.A., et al. </w:t>
      </w:r>
      <w:r>
        <w:t xml:space="preserve">“</w:t>
      </w:r>
      <w:r>
        <w:t xml:space="preserve">Assessment of an Exposure Outcome Relationship Between Gestational Age at Birth and Neurodevelopmental Outcome.</w:t>
      </w:r>
      <w:r>
        <w:t xml:space="preserve">”</w:t>
      </w:r>
      <w:r>
        <w:t xml:space="preserve"> </w:t>
      </w:r>
      <w:r>
        <w:rPr>
          <w:i/>
          <w:iCs/>
        </w:rPr>
        <w:t xml:space="preserve">JAMA Pediatrics</w:t>
      </w:r>
      <w:r>
        <w:t xml:space="preserve"> </w:t>
      </w:r>
      <w:r>
        <w:t xml:space="preserve">(2023). The 24-week viability threshold is a statistical population estimate, not a guarantee — outcomes vary significantly by individual circumstances, NICU quality, and comorbidities.</w:t>
      </w:r>
    </w:p>
  </w:footnote>
  <w:footnote w:id="43">
    <w:p>
      <w:pPr>
        <w:pStyle w:val="FootnoteText"/>
      </w:pPr>
      <w:r>
        <w:rPr>
          <w:rStyle w:val="FootnoteReference"/>
        </w:rPr>
        <w:footnoteRef/>
      </w:r>
      <w:r>
        <w:t xml:space="preserve"> </w:t>
      </w:r>
      <w:r>
        <w:t xml:space="preserve">Arnsten, A.F.T.</w:t>
      </w:r>
      <w:r>
        <w:t xml:space="preserve"> </w:t>
      </w:r>
      <w:r>
        <w:t xml:space="preserve">“</w:t>
      </w:r>
      <w:r>
        <w:t xml:space="preserve">Stress signalling pathways that impair prefrontal cortex structure and function.</w:t>
      </w:r>
      <w:r>
        <w:t xml:space="preserve">”</w:t>
      </w:r>
      <w:r>
        <w:t xml:space="preserve"> </w:t>
      </w:r>
      <w:r>
        <w:rPr>
          <w:i/>
          <w:iCs/>
        </w:rPr>
        <w:t xml:space="preserve">Nature Reviews Neuroscience</w:t>
      </w:r>
      <w:r>
        <w:t xml:space="preserve"> </w:t>
      </w:r>
      <w:r>
        <w:t xml:space="preserve">10, 410–422 (2009). Cortisol impairs dendritic branching in prefrontal cortex neurons, degrading the working memory and executive function needed for complex decisions. This is why major decisions under acute stress are reliably worse than those made in calmer states.</w:t>
      </w:r>
    </w:p>
  </w:footnote>
  <w:footnote w:id="47">
    <w:p>
      <w:pPr>
        <w:pStyle w:val="FootnoteText"/>
      </w:pPr>
      <w:r>
        <w:rPr>
          <w:rStyle w:val="FootnoteReference"/>
        </w:rPr>
        <w:footnoteRef/>
      </w:r>
      <w:r>
        <w:t xml:space="preserve"> </w:t>
      </w:r>
      <w:r>
        <w:t xml:space="preserve">WHO Multicentre Growth Reference Study Group.</w:t>
      </w:r>
      <w:r>
        <w:t xml:space="preserve"> </w:t>
      </w:r>
      <w:r>
        <w:t xml:space="preserve">“</w:t>
      </w:r>
      <w:r>
        <w:t xml:space="preserve">WHO Motor Development Study: Windows of achievement for six gross motor development milestones.</w:t>
      </w:r>
      <w:r>
        <w:t xml:space="preserve">”</w:t>
      </w:r>
      <w:r>
        <w:t xml:space="preserve"> </w:t>
      </w:r>
      <w:r>
        <w:rPr>
          <w:i/>
          <w:iCs/>
        </w:rPr>
        <w:t xml:space="preserve">Acta Paediatrica</w:t>
      </w:r>
      <w:r>
        <w:t xml:space="preserve"> </w:t>
      </w:r>
      <w:r>
        <w:t xml:space="preserve">95(S450), 86–95 (2006). Based on longitudinal data from Ghana, India, Norway, Oman, and the USA. The wide windows reflect genuine population variation — not every child follows the median.</w:t>
      </w:r>
    </w:p>
  </w:footnote>
  <w:footnote w:id="50">
    <w:p>
      <w:pPr>
        <w:pStyle w:val="FootnoteText"/>
      </w:pPr>
      <w:r>
        <w:rPr>
          <w:rStyle w:val="FootnoteReference"/>
        </w:rPr>
        <w:footnoteRef/>
      </w:r>
      <w:r>
        <w:t xml:space="preserve"> </w:t>
      </w:r>
      <w:r>
        <w:t xml:space="preserve">WHO.</w:t>
      </w:r>
      <w:r>
        <w:t xml:space="preserve"> </w:t>
      </w:r>
      <w:r>
        <w:t xml:space="preserve">“</w:t>
      </w:r>
      <w:r>
        <w:t xml:space="preserve">Infertility</w:t>
      </w:r>
      <w:r>
        <w:t xml:space="preserve">”</w:t>
      </w:r>
      <w:r>
        <w:t xml:space="preserve"> </w:t>
      </w:r>
      <w:r>
        <w:t xml:space="preserve">Fact Sheet (2023). Global prevalence: ~17.5% of the adult population experience infertility in their lifetime. The 12-month definition is a clinical threshold, not a deadline — many couples conceive after 12+ months without intervention.</w:t>
      </w:r>
    </w:p>
  </w:footnote>
  <w:footnote w:id="53">
    <w:p>
      <w:pPr>
        <w:pStyle w:val="FootnoteText"/>
      </w:pPr>
      <w:r>
        <w:rPr>
          <w:rStyle w:val="FootnoteReference"/>
        </w:rPr>
        <w:footnoteRef/>
      </w:r>
      <w:r>
        <w:t xml:space="preserve"> </w:t>
      </w:r>
      <w:r>
        <w:t xml:space="preserve">Pinquart, M. &amp; Sörensen, S.</w:t>
      </w:r>
      <w:r>
        <w:t xml:space="preserve"> </w:t>
      </w:r>
      <w:r>
        <w:t xml:space="preserve">“</w:t>
      </w:r>
      <w:r>
        <w:t xml:space="preserve">Correlates of physical, psychological, and functional caregiver burden: A meta-analysis.</w:t>
      </w:r>
      <w:r>
        <w:t xml:space="preserve">”</w:t>
      </w:r>
      <w:r>
        <w:t xml:space="preserve"> </w:t>
      </w:r>
      <w:r>
        <w:rPr>
          <w:i/>
          <w:iCs/>
        </w:rPr>
        <w:t xml:space="preserve">Journals of Gerontology</w:t>
      </w:r>
      <w:r>
        <w:t xml:space="preserve"> </w:t>
      </w:r>
      <w:r>
        <w:t xml:space="preserve">61(4), P254-P267 (2006). Caregiver depression rates of 20-40% are consistently reported across meta-analyses, with higher rates for dementia caregivers and those providing daily care.</w:t>
      </w:r>
    </w:p>
  </w:footnote>
  <w:footnote w:id="56">
    <w:p>
      <w:pPr>
        <w:pStyle w:val="FootnoteText"/>
      </w:pPr>
      <w:r>
        <w:rPr>
          <w:rStyle w:val="FootnoteReference"/>
        </w:rPr>
        <w:footnoteRef/>
      </w:r>
      <w:r>
        <w:t xml:space="preserve"> </w:t>
      </w:r>
      <w:r>
        <w:t xml:space="preserve">Spitzer, R.L., Kroenke, K., Williams, J.B.W., &amp; Löwe, B.</w:t>
      </w:r>
      <w:r>
        <w:t xml:space="preserve"> </w:t>
      </w:r>
      <w:r>
        <w:t xml:space="preserve">“</w:t>
      </w:r>
      <w:r>
        <w:t xml:space="preserve">A brief measure for assessing generalized anxiety disorder: the GAD-7.</w:t>
      </w:r>
      <w:r>
        <w:t xml:space="preserve">”</w:t>
      </w:r>
      <w:r>
        <w:t xml:space="preserve"> </w:t>
      </w:r>
      <w:r>
        <w:rPr>
          <w:i/>
          <w:iCs/>
        </w:rPr>
        <w:t xml:space="preserve">Archives of Internal Medicine</w:t>
      </w:r>
      <w:r>
        <w:t xml:space="preserve"> </w:t>
      </w:r>
      <w:r>
        <w:t xml:space="preserve">166(10), 1092–1097 (2006). The GAD-7 is freely available and widely validated across languages and populations.</w:t>
      </w:r>
    </w:p>
  </w:footnote>
  <w:footnote w:id="57">
    <w:p>
      <w:pPr>
        <w:pStyle w:val="FootnoteText"/>
      </w:pPr>
      <w:r>
        <w:rPr>
          <w:rStyle w:val="FootnoteReference"/>
        </w:rPr>
        <w:footnoteRef/>
      </w:r>
      <w:r>
        <w:t xml:space="preserve"> </w:t>
      </w:r>
      <w:r>
        <w:t xml:space="preserve">Kroenke, K., Spitzer, R.L., Williams, J.B.W., Monahan, P.O., &amp; Löwe, B.</w:t>
      </w:r>
      <w:r>
        <w:t xml:space="preserve"> </w:t>
      </w:r>
      <w:r>
        <w:t xml:space="preserve">“</w:t>
      </w:r>
      <w:r>
        <w:t xml:space="preserve">Anxiety disorders in primary care: prevalence, impairment, comorbidity, and detection.</w:t>
      </w:r>
      <w:r>
        <w:t xml:space="preserve">”</w:t>
      </w:r>
      <w:r>
        <w:t xml:space="preserve"> </w:t>
      </w:r>
      <w:r>
        <w:rPr>
          <w:i/>
          <w:iCs/>
        </w:rPr>
        <w:t xml:space="preserve">Annals of Internal Medicine</w:t>
      </w:r>
      <w:r>
        <w:t xml:space="preserve"> </w:t>
      </w:r>
      <w:r>
        <w:t xml:space="preserve">146(5), 317–325 (2007). At threshold ≥10, sensitivity 89%, specificity 82%.</w:t>
      </w:r>
    </w:p>
  </w:footnote>
  <w:footnote w:id="61">
    <w:p>
      <w:pPr>
        <w:pStyle w:val="FootnoteText"/>
      </w:pPr>
      <w:r>
        <w:rPr>
          <w:rStyle w:val="FootnoteReference"/>
        </w:rPr>
        <w:footnoteRef/>
      </w:r>
      <w:r>
        <w:t xml:space="preserve"> </w:t>
      </w:r>
      <w:r>
        <w:t xml:space="preserve">Lieberman, M.D., et al. </w:t>
      </w:r>
      <w:r>
        <w:t xml:space="preserve">“</w:t>
      </w:r>
      <w:r>
        <w:t xml:space="preserve">Putting feelings into words: affect labeling disrupts amygdala activity in response to affective stimuli.</w:t>
      </w:r>
      <w:r>
        <w:t xml:space="preserve">”</w:t>
      </w:r>
      <w:r>
        <w:t xml:space="preserve"> </w:t>
      </w:r>
      <w:r>
        <w:rPr>
          <w:i/>
          <w:iCs/>
        </w:rPr>
        <w:t xml:space="preserve">Psychological Science</w:t>
      </w:r>
      <w:r>
        <w:t xml:space="preserve"> </w:t>
      </w:r>
      <w:r>
        <w:t xml:space="preserve">18(5), 421–428 (2007). The mechanism: verbal labeling activates right ventrolateral PFC, which inhibits amygdala activation. It literally cools the emotional brain by engaging the linguistic one.</w:t>
      </w:r>
    </w:p>
  </w:footnote>
  <w:footnote w:id="64">
    <w:p>
      <w:pPr>
        <w:pStyle w:val="FootnoteText"/>
      </w:pPr>
      <w:r>
        <w:rPr>
          <w:rStyle w:val="FootnoteReference"/>
        </w:rPr>
        <w:footnoteRef/>
      </w:r>
      <w:r>
        <w:t xml:space="preserve"> </w:t>
      </w:r>
      <w:r>
        <w:t xml:space="preserve">Williamson, A. &amp; Hoggart, B.</w:t>
      </w:r>
      <w:r>
        <w:t xml:space="preserve"> </w:t>
      </w:r>
      <w:r>
        <w:t xml:space="preserve">“</w:t>
      </w:r>
      <w:r>
        <w:t xml:space="preserve">Pain: a review of three commonly used pain rating scales.</w:t>
      </w:r>
      <w:r>
        <w:t xml:space="preserve">”</w:t>
      </w:r>
      <w:r>
        <w:t xml:space="preserve"> </w:t>
      </w:r>
      <w:r>
        <w:rPr>
          <w:i/>
          <w:iCs/>
        </w:rPr>
        <w:t xml:space="preserve">Journal of Clinical Nursing</w:t>
      </w:r>
      <w:r>
        <w:t xml:space="preserve"> </w:t>
      </w:r>
      <w:r>
        <w:t xml:space="preserve">14(7), 798–804 (2005). The NRS has good test-retest reliability (r = 0.83–0.95) and correlates with VAS and categorical scales.</w:t>
      </w:r>
    </w:p>
  </w:footnote>
  <w:footnote w:id="70">
    <w:p>
      <w:pPr>
        <w:pStyle w:val="FootnoteText"/>
      </w:pPr>
      <w:r>
        <w:rPr>
          <w:rStyle w:val="FootnoteReference"/>
        </w:rPr>
        <w:footnoteRef/>
      </w:r>
      <w:r>
        <w:t xml:space="preserve"> </w:t>
      </w:r>
      <w:r>
        <w:t xml:space="preserve">Taves MD, et al. </w:t>
      </w:r>
      <w:r>
        <w:t xml:space="preserve">“</w:t>
      </w:r>
      <w:r>
        <w:t xml:space="preserve">Cortisol half-life and clearance: clinical implications.</w:t>
      </w:r>
      <w:r>
        <w:t xml:space="preserve">”</w:t>
      </w:r>
      <w:r>
        <w:t xml:space="preserve"> </w:t>
      </w:r>
      <w:r>
        <w:rPr>
          <w:i/>
          <w:iCs/>
        </w:rPr>
        <w:t xml:space="preserve">Journal of Clinical Endocrinology &amp; Metabolism</w:t>
      </w:r>
      <w:r>
        <w:t xml:space="preserve"> </w:t>
      </w:r>
      <w:r>
        <w:t xml:space="preserve">(2011). Cortisol plasma half-life: ~60–90 minutes. Active metabolites persist longer. This is why the</w:t>
      </w:r>
      <w:r>
        <w:t xml:space="preserve"> </w:t>
      </w:r>
      <w:r>
        <w:t xml:space="preserve">“</w:t>
      </w:r>
      <w:r>
        <w:t xml:space="preserve">shakes</w:t>
      </w:r>
      <w:r>
        <w:t xml:space="preserve">”</w:t>
      </w:r>
      <w:r>
        <w:t xml:space="preserve"> </w:t>
      </w:r>
      <w:r>
        <w:t xml:space="preserve">after a threat can last 1–2 hours — your biochemistry hasn’t caught up to your reality.</w:t>
      </w:r>
    </w:p>
  </w:footnote>
  <w:footnote w:id="71">
    <w:p>
      <w:pPr>
        <w:pStyle w:val="FootnoteText"/>
      </w:pPr>
      <w:r>
        <w:rPr>
          <w:rStyle w:val="FootnoteReference"/>
        </w:rPr>
        <w:footnoteRef/>
      </w:r>
      <w:r>
        <w:t xml:space="preserve"> </w:t>
      </w:r>
      <w:r>
        <w:t xml:space="preserve">Dickerson, S.S. &amp; Kemeny, M.E.</w:t>
      </w:r>
      <w:r>
        <w:t xml:space="preserve"> </w:t>
      </w:r>
      <w:r>
        <w:t xml:space="preserve">“</w:t>
      </w:r>
      <w:r>
        <w:t xml:space="preserve">Acute stressors and cortisol responses: a meta-analytic integration.</w:t>
      </w:r>
      <w:r>
        <w:t xml:space="preserve">”</w:t>
      </w:r>
      <w:r>
        <w:t xml:space="preserve"> </w:t>
      </w:r>
      <w:r>
        <w:rPr>
          <w:i/>
          <w:iCs/>
        </w:rPr>
        <w:t xml:space="preserve">Psychological Bulletin</w:t>
      </w:r>
      <w:r>
        <w:t xml:space="preserve"> </w:t>
      </w:r>
      <w:r>
        <w:t xml:space="preserve">130(5), 733–756 (2004). Social-evaluative threats produce the largest cortisol responses; uncontrollable stressors produce larger responses than controllable ones. Being trapped in a bathroom with no exit strategy is, tragically, both.</w:t>
      </w:r>
    </w:p>
  </w:footnote>
  <w:footnote w:id="72">
    <w:p>
      <w:pPr>
        <w:pStyle w:val="FootnoteText"/>
      </w:pPr>
      <w:r>
        <w:rPr>
          <w:rStyle w:val="FootnoteReference"/>
        </w:rPr>
        <w:footnoteRef/>
      </w:r>
      <w:r>
        <w:t xml:space="preserve"> </w:t>
      </w:r>
      <w:r>
        <w:t xml:space="preserve">Strafgesetzbuch (StGB) §32 Notwehr. The four-element framework is derived from the legislative text and consistent German Federal Court (BGH) jurisprudence. See also §33 (Excessive self-defence) for cases where the proportionality threshold was exceeded under conditions of confusion, fear, or terror.</w:t>
      </w:r>
    </w:p>
  </w:footnote>
  <w:footnote w:id="75">
    <w:p>
      <w:pPr>
        <w:pStyle w:val="FootnoteText"/>
      </w:pPr>
      <w:r>
        <w:rPr>
          <w:rStyle w:val="FootnoteReference"/>
        </w:rPr>
        <w:footnoteRef/>
      </w:r>
      <w:r>
        <w:t xml:space="preserve"> </w:t>
      </w:r>
      <w:r>
        <w:t xml:space="preserve">Miller, G.A.</w:t>
      </w:r>
      <w:r>
        <w:t xml:space="preserve"> </w:t>
      </w:r>
      <w:r>
        <w:t xml:space="preserve">“</w:t>
      </w:r>
      <w:r>
        <w:t xml:space="preserve">The magical number seven, plus or minus two: some limits on our capacity for processing information.</w:t>
      </w:r>
      <w:r>
        <w:t xml:space="preserve">”</w:t>
      </w:r>
      <w:r>
        <w:t xml:space="preserve"> </w:t>
      </w:r>
      <w:r>
        <w:rPr>
          <w:i/>
          <w:iCs/>
        </w:rPr>
        <w:t xml:space="preserve">Psychological Review</w:t>
      </w:r>
      <w:r>
        <w:t xml:space="preserve"> </w:t>
      </w:r>
      <w:r>
        <w:t xml:space="preserve">63(2), 81–97 (1956). One of the most cited papers in psychology. Miller himself thought the</w:t>
      </w:r>
      <w:r>
        <w:t xml:space="preserve"> </w:t>
      </w:r>
      <w:r>
        <w:t xml:space="preserve">“</w:t>
      </w:r>
      <w:r>
        <w:t xml:space="preserve">7±2</w:t>
      </w:r>
      <w:r>
        <w:t xml:space="preserve">”</w:t>
      </w:r>
      <w:r>
        <w:t xml:space="preserve"> </w:t>
      </w:r>
      <w:r>
        <w:t xml:space="preserve">framing was slightly tongue-in-cheek — it became iconic anyway.</w:t>
      </w:r>
    </w:p>
  </w:footnote>
  <w:footnote w:id="76">
    <w:p>
      <w:pPr>
        <w:pStyle w:val="FootnoteText"/>
      </w:pPr>
      <w:r>
        <w:rPr>
          <w:rStyle w:val="FootnoteReference"/>
        </w:rPr>
        <w:footnoteRef/>
      </w:r>
      <w:r>
        <w:t xml:space="preserve"> </w:t>
      </w:r>
      <w:r>
        <w:t xml:space="preserve">Cowan, N.</w:t>
      </w:r>
      <w:r>
        <w:t xml:space="preserve"> </w:t>
      </w:r>
      <w:r>
        <w:t xml:space="preserve">“</w:t>
      </w:r>
      <w:r>
        <w:t xml:space="preserve">The magical number 4 in short-term memory: a reconsideration of mental storage capacity.</w:t>
      </w:r>
      <w:r>
        <w:t xml:space="preserve">”</w:t>
      </w:r>
      <w:r>
        <w:t xml:space="preserve"> </w:t>
      </w:r>
      <w:r>
        <w:rPr>
          <w:i/>
          <w:iCs/>
        </w:rPr>
        <w:t xml:space="preserve">Behavioral and Brain Sciences</w:t>
      </w:r>
      <w:r>
        <w:t xml:space="preserve"> </w:t>
      </w:r>
      <w:r>
        <w:t xml:space="preserve">24(1), 87–114 (2001). The refined estimate accounts for chunking strategies — trained individuals can hold more by grouping items into larger chunks.</w:t>
      </w:r>
    </w:p>
  </w:footnote>
  <w:footnote w:id="79">
    <w:p>
      <w:pPr>
        <w:pStyle w:val="FootnoteText"/>
      </w:pPr>
      <w:r>
        <w:rPr>
          <w:rStyle w:val="FootnoteReference"/>
        </w:rPr>
        <w:footnoteRef/>
      </w:r>
      <w:r>
        <w:t xml:space="preserve"> </w:t>
      </w:r>
      <w:r>
        <w:t xml:space="preserve">The SO₂ odor neutralization mechanism is widely documented in chemistry education but poorly studied in controlled settings (perhaps because funding agencies don’t prioritize</w:t>
      </w:r>
      <w:r>
        <w:t xml:space="preserve"> </w:t>
      </w:r>
      <w:r>
        <w:t xml:space="preserve">“</w:t>
      </w:r>
      <w:r>
        <w:t xml:space="preserve">bathroom match</w:t>
      </w:r>
      <w:r>
        <w:t xml:space="preserve">”</w:t>
      </w:r>
      <w:r>
        <w:t xml:space="preserve"> </w:t>
      </w:r>
      <w:r>
        <w:t xml:space="preserve">research). The electrophilic-nucleophilic interaction is basic organic chemistry; the effect on volatile sulfur compounds (VSCs) like H₂S and CH₃SH is documented in atmospheric chemistry literature. See: Atkinson, R.</w:t>
      </w:r>
      <w:r>
        <w:t xml:space="preserve"> </w:t>
      </w:r>
      <w:r>
        <w:t xml:space="preserve">“</w:t>
      </w:r>
      <w:r>
        <w:t xml:space="preserve">Gas-phase tropospheric chemistry of organic compounds.</w:t>
      </w:r>
      <w:r>
        <w:t xml:space="preserve">”</w:t>
      </w:r>
      <w:r>
        <w:t xml:space="preserve"> </w:t>
      </w:r>
      <w:r>
        <w:rPr>
          <w:i/>
          <w:iCs/>
        </w:rPr>
        <w:t xml:space="preserve">Journal of Physical and Chemical Reference Data</w:t>
      </w:r>
      <w:r>
        <w:t xml:space="preserve"> </w:t>
      </w:r>
      <w:r>
        <w:t xml:space="preserve">(1994).</w:t>
      </w:r>
    </w:p>
  </w:footnote>
  <w:footnote w:id="84">
    <w:p>
      <w:pPr>
        <w:pStyle w:val="FootnoteText"/>
      </w:pPr>
      <w:r>
        <w:rPr>
          <w:rStyle w:val="FootnoteReference"/>
        </w:rPr>
        <w:footnoteRef/>
      </w:r>
      <w:r>
        <w:t xml:space="preserve"> </w:t>
      </w:r>
      <w:r>
        <w:t xml:space="preserve">Mezzacappa, E.S., et al. </w:t>
      </w:r>
      <w:r>
        <w:t xml:space="preserve">“</w:t>
      </w:r>
      <w:r>
        <w:t xml:space="preserve">Vagal rebound and recovery from psychological stress.</w:t>
      </w:r>
      <w:r>
        <w:t xml:space="preserve">”</w:t>
      </w:r>
      <w:r>
        <w:t xml:space="preserve"> </w:t>
      </w:r>
      <w:r>
        <w:rPr>
          <w:i/>
          <w:iCs/>
        </w:rPr>
        <w:t xml:space="preserve">Psychosomatic Medicine</w:t>
      </w:r>
      <w:r>
        <w:t xml:space="preserve"> </w:t>
      </w:r>
      <w:r>
        <w:t xml:space="preserve">63(4), 650–657 (2001). Parasympathetic (vagal) re-engagement is observable within 5–10 minutes of stressor offset, with full recovery typically requiring 20–60 minutes depending on stressor intensity and individual vagal tone.</w:t>
      </w:r>
    </w:p>
  </w:footnote>
  <w:footnote w:id="86">
    <w:p>
      <w:pPr>
        <w:pStyle w:val="FootnoteText"/>
      </w:pPr>
      <w:r>
        <w:rPr>
          <w:rStyle w:val="FootnoteReference"/>
        </w:rPr>
        <w:footnoteRef/>
      </w:r>
      <w:r>
        <w:t xml:space="preserve"> </w:t>
      </w:r>
      <w:r>
        <w:t xml:space="preserve">Taves MD, et al. </w:t>
      </w:r>
      <w:r>
        <w:t xml:space="preserve">“</w:t>
      </w:r>
      <w:r>
        <w:t xml:space="preserve">Cortisol half-life and clearance.</w:t>
      </w:r>
      <w:r>
        <w:t xml:space="preserve">”</w:t>
      </w:r>
      <w:r>
        <w:t xml:space="preserve"> </w:t>
      </w:r>
      <w:r>
        <w:rPr>
          <w:i/>
          <w:iCs/>
        </w:rPr>
        <w:t xml:space="preserve">J Clin Endocrinol Metab</w:t>
      </w:r>
      <w:r>
        <w:t xml:space="preserve"> </w:t>
      </w:r>
      <w:r>
        <w:t xml:space="preserve">(2011). Plasma cortisol half-life: ~60–90 minutes. The decay is approximately exponential, making the</w:t>
      </w:r>
      <w:r>
        <w:t xml:space="preserve"> </w:t>
      </w:r>
      <m:oMath>
        <m:r>
          <m:t>C</m:t>
        </m:r>
        <m:d>
          <m:dPr>
            <m:begChr m:val="("/>
            <m:endChr m:val=")"/>
            <m:sepChr m:val=""/>
            <m:grow/>
          </m:dPr>
          <m:e>
            <m:r>
              <m:t>t</m:t>
            </m:r>
          </m:e>
        </m:d>
        <m:r>
          <m:rPr>
            <m:sty m:val="p"/>
          </m:rPr>
          <m:t>=</m:t>
        </m:r>
        <m:sSub>
          <m:e>
            <m:r>
              <m:t>C</m:t>
            </m:r>
          </m:e>
          <m:sub>
            <m:r>
              <m:t>0</m:t>
            </m:r>
          </m:sub>
        </m:sSub>
        <m:r>
          <m:rPr>
            <m:sty m:val="p"/>
          </m:rPr>
          <m:t>⋅</m:t>
        </m:r>
        <m:sSup>
          <m:e>
            <m:r>
              <m:t>e</m:t>
            </m:r>
          </m:e>
          <m:sup>
            <m:r>
              <m:rPr>
                <m:sty m:val="p"/>
              </m:rPr>
              <m:t>−</m:t>
            </m:r>
            <m:r>
              <m:t>λ</m:t>
            </m:r>
            <m:r>
              <m:t>t</m:t>
            </m:r>
          </m:sup>
        </m:sSup>
      </m:oMath>
      <w:r>
        <w:t xml:space="preserve"> </w:t>
      </w:r>
      <w:r>
        <w:t xml:space="preserve">model a reasonable approximation. Active relaxation techniques increase clearance rate by enhancing hepatic metabolism and reducing HPA axis drive.</w:t>
      </w:r>
    </w:p>
  </w:footnote>
  <w:footnote w:id="94">
    <w:p>
      <w:pPr>
        <w:pStyle w:val="FootnoteText"/>
      </w:pPr>
      <w:r>
        <w:rPr>
          <w:rStyle w:val="FootnoteReference"/>
        </w:rPr>
        <w:footnoteRef/>
      </w:r>
      <w:r>
        <w:t xml:space="preserve"> </w:t>
      </w:r>
      <w:r>
        <w:t xml:space="preserve">Laborde, S., et al. </w:t>
      </w:r>
      <w:r>
        <w:t xml:space="preserve">“</w:t>
      </w:r>
      <w:r>
        <w:t xml:space="preserve">Heart rate variability and cardiac vagal tone in psychophysiological research.</w:t>
      </w:r>
      <w:r>
        <w:t xml:space="preserve">”</w:t>
      </w:r>
      <w:r>
        <w:t xml:space="preserve"> </w:t>
      </w:r>
      <w:r>
        <w:rPr>
          <w:i/>
          <w:iCs/>
        </w:rPr>
        <w:t xml:space="preserve">Frontiers in Psychology</w:t>
      </w:r>
      <w:r>
        <w:t xml:space="preserve"> </w:t>
      </w:r>
      <w:r>
        <w:t xml:space="preserve">8, 213 (2017). Slow-paced breathing (5.5–6 breaths/min) produces the largest HRV increases, but even 4-4-4-4 box breathing at ~4 breaths/min shows significant effects within 5 minutes.</w:t>
      </w:r>
    </w:p>
  </w:footnote>
  <w:footnote w:id="96">
    <w:p>
      <w:pPr>
        <w:pStyle w:val="FootnoteText"/>
      </w:pPr>
      <w:r>
        <w:rPr>
          <w:rStyle w:val="FootnoteReference"/>
        </w:rPr>
        <w:footnoteRef/>
      </w:r>
      <w:r>
        <w:t xml:space="preserve"> </w:t>
      </w:r>
      <w:r>
        <w:t xml:space="preserve">The Bohr effect (Christian Bohr, 1904): hemoglobin’s oxygen-binding affinity is inversely related to both acidity and CO₂ concentration. Slightly elevated CO₂ (from breath-holding) causes hemoglobin to release O₂ more readily to tissues. This is why controlled breath-holds don’t reduce oxygen delivery — they enhance it. The effect is small but real, and it’s the physiological basis for therapeutic breath-hold practices.</w:t>
      </w:r>
    </w:p>
  </w:footnote>
  <w:footnote w:id="98">
    <w:p>
      <w:pPr>
        <w:pStyle w:val="FootnoteText"/>
      </w:pPr>
      <w:r>
        <w:rPr>
          <w:rStyle w:val="FootnoteReference"/>
        </w:rPr>
        <w:footnoteRef/>
      </w:r>
      <w:r>
        <w:t xml:space="preserve"> </w:t>
      </w:r>
      <w:r>
        <w:t xml:space="preserve">Balban, M.Y., et al. </w:t>
      </w:r>
      <w:r>
        <w:t xml:space="preserve">“</w:t>
      </w:r>
      <w:r>
        <w:t xml:space="preserve">Brief structured respiration practices enhance mood and reduce physiological arousal.</w:t>
      </w:r>
      <w:r>
        <w:t xml:space="preserve">”</w:t>
      </w:r>
      <w:r>
        <w:t xml:space="preserve"> </w:t>
      </w:r>
      <w:r>
        <w:rPr>
          <w:i/>
          <w:iCs/>
        </w:rPr>
        <w:t xml:space="preserve">Cell Reports Medicine</w:t>
      </w:r>
      <w:r>
        <w:t xml:space="preserve"> </w:t>
      </w:r>
      <w:r>
        <w:t xml:space="preserve">4(1), 100895 (2023). This randomized controlled trial (n=114) compared cyclic physiological sighing, box breathing, cyclic hyperventilation, and mindfulness meditation over 28 days. Cyclic physiological sighing produced the greatest improvement in mood and reduction in respiratory rate. The technique involves a double inhale through the nose followed by an extended exhale through the mouth.</w:t>
      </w:r>
    </w:p>
  </w:footnote>
  <w:footnote w:id="99">
    <w:p>
      <w:pPr>
        <w:pStyle w:val="FootnoteText"/>
      </w:pPr>
      <w:r>
        <w:rPr>
          <w:rStyle w:val="FootnoteReference"/>
        </w:rPr>
        <w:footnoteRef/>
      </w:r>
      <w:r>
        <w:t xml:space="preserve"> </w:t>
      </w:r>
      <w:r>
        <w:t xml:space="preserve">Balban, M.Y., et al. </w:t>
      </w:r>
      <w:r>
        <w:t xml:space="preserve">“</w:t>
      </w:r>
      <w:r>
        <w:t xml:space="preserve">Brief structured respiration practices enhance mood and reduce physiological arousal.</w:t>
      </w:r>
      <w:r>
        <w:t xml:space="preserve">”</w:t>
      </w:r>
      <w:r>
        <w:t xml:space="preserve"> </w:t>
      </w:r>
      <w:r>
        <w:rPr>
          <w:i/>
          <w:iCs/>
        </w:rPr>
        <w:t xml:space="preserve">Cell Reports Medicine</w:t>
      </w:r>
      <w:r>
        <w:t xml:space="preserve"> </w:t>
      </w:r>
      <w:r>
        <w:t xml:space="preserve">4(1), 100895 (2023). This randomized controlled trial (n=114) compared cyclic physiological sighing, box breathing, cyclic hyperventilation, and mindfulness meditation over 28 days. Cyclic physiological sighing produced the greatest improvement in mood and reduction in respiratory rate. The technique involves a double inhale through the nose followed by an extended exhale through the mouth.</w:t>
      </w:r>
    </w:p>
  </w:footnote>
  <w:footnote w:id="102">
    <w:p>
      <w:pPr>
        <w:pStyle w:val="FootnoteText"/>
      </w:pPr>
      <w:r>
        <w:rPr>
          <w:rStyle w:val="FootnoteReference"/>
        </w:rPr>
        <w:footnoteRef/>
      </w:r>
      <w:r>
        <w:t xml:space="preserve"> </w:t>
      </w:r>
      <w:r>
        <w:t xml:space="preserve">Hsu, M., et al. </w:t>
      </w:r>
      <w:r>
        <w:t xml:space="preserve">“</w:t>
      </w:r>
      <w:r>
        <w:t xml:space="preserve">Dopamine transmission in the human striatum during economic decision-making.</w:t>
      </w:r>
      <w:r>
        <w:t xml:space="preserve">”</w:t>
      </w:r>
      <w:r>
        <w:t xml:space="preserve"> </w:t>
      </w:r>
      <w:r>
        <w:rPr>
          <w:i/>
          <w:iCs/>
        </w:rPr>
        <w:t xml:space="preserve">Nature Neuroscience</w:t>
      </w:r>
      <w:r>
        <w:t xml:space="preserve"> </w:t>
      </w:r>
      <w:r>
        <w:t xml:space="preserve">(various). While the specific study of dopamine during narrative engagement is still developing, fMRI research consistently shows reward circuit activation during story processing. The dopaminergic system responds to narrative surprise, resolution, and character identification.</w:t>
      </w:r>
    </w:p>
  </w:footnote>
  <w:footnote w:id="103">
    <w:p>
      <w:pPr>
        <w:pStyle w:val="FootnoteText"/>
      </w:pPr>
      <w:r>
        <w:rPr>
          <w:rStyle w:val="FootnoteReference"/>
        </w:rPr>
        <w:footnoteRef/>
      </w:r>
      <w:r>
        <w:t xml:space="preserve"> </w:t>
      </w:r>
      <w:r>
        <w:t xml:space="preserve">Kuijpers, M.M., et al. </w:t>
      </w:r>
      <w:r>
        <w:t xml:space="preserve">“</w:t>
      </w:r>
      <w:r>
        <w:t xml:space="preserve">Absorbing stories: the effects of textual devices on absorption and identification.</w:t>
      </w:r>
      <w:r>
        <w:t xml:space="preserve">”</w:t>
      </w:r>
      <w:r>
        <w:t xml:space="preserve"> </w:t>
      </w:r>
      <w:r>
        <w:rPr>
          <w:i/>
          <w:iCs/>
        </w:rPr>
        <w:t xml:space="preserve">Scientific Study of Literature</w:t>
      </w:r>
      <w:r>
        <w:t xml:space="preserve"> </w:t>
      </w:r>
      <w:r>
        <w:t xml:space="preserve">11(1), 64–91 (2021). Narrative absorption (transportation into a story) is associated with reduced self-referential processing and lowered cortisol — essentially, you can’t be anxious about yourself if you’re cognitively occupied by fiction.</w:t>
      </w:r>
    </w:p>
  </w:footnote>
  <w:footnote w:id="104">
    <w:p>
      <w:pPr>
        <w:pStyle w:val="FootnoteText"/>
      </w:pPr>
      <w:r>
        <w:rPr>
          <w:rStyle w:val="FootnoteReference"/>
        </w:rPr>
        <w:footnoteRef/>
      </w:r>
      <w:r>
        <w:t xml:space="preserve"> </w:t>
      </w:r>
      <w:r>
        <w:t xml:space="preserve">Soudry, Y., et al. </w:t>
      </w:r>
      <w:r>
        <w:t xml:space="preserve">“</w:t>
      </w:r>
      <w:r>
        <w:t xml:space="preserve">Olfactory system and emotion: common substrates.</w:t>
      </w:r>
      <w:r>
        <w:t xml:space="preserve">”</w:t>
      </w:r>
      <w:r>
        <w:t xml:space="preserve"> </w:t>
      </w:r>
      <w:r>
        <w:rPr>
          <w:i/>
          <w:iCs/>
        </w:rPr>
        <w:t xml:space="preserve">European Annals of Otorhinolaryngology, Head and Neck Diseases</w:t>
      </w:r>
      <w:r>
        <w:t xml:space="preserve"> </w:t>
      </w:r>
      <w:r>
        <w:t xml:space="preserve">128(1), 18–23 (2011). The olfactory bulb has direct projections to the amygdala and hippocampus — the only sensory system that bypasses thalamic relay. This is why smells trigger memories and emotions more immediately than other senses.</w:t>
      </w:r>
    </w:p>
  </w:footnote>
  <w:footnote w:id="105">
    <w:p>
      <w:pPr>
        <w:pStyle w:val="FootnoteText"/>
      </w:pPr>
      <w:r>
        <w:rPr>
          <w:rStyle w:val="FootnoteReference"/>
        </w:rPr>
        <w:footnoteRef/>
      </w:r>
      <w:r>
        <w:t xml:space="preserve"> </w:t>
      </w:r>
      <w:r>
        <w:t xml:space="preserve">Armstrong, L.E. &amp; Ganio, M.S.</w:t>
      </w:r>
      <w:r>
        <w:t xml:space="preserve"> </w:t>
      </w:r>
      <w:r>
        <w:t xml:space="preserve">“</w:t>
      </w:r>
      <w:r>
        <w:t xml:space="preserve">Mild dehydration effects on cognition.</w:t>
      </w:r>
      <w:r>
        <w:t xml:space="preserve">”</w:t>
      </w:r>
      <w:r>
        <w:t xml:space="preserve"> </w:t>
      </w:r>
      <w:r>
        <w:rPr>
          <w:i/>
          <w:iCs/>
        </w:rPr>
        <w:t xml:space="preserve">Nutrition Reviews</w:t>
      </w:r>
      <w:r>
        <w:t xml:space="preserve"> </w:t>
      </w:r>
      <w:r>
        <w:t xml:space="preserve">70(suppl_2), 95–101 (2012). Even 1–2% body mass loss from dehydration impairs mood, working memory, and visual-motor function. Water is not just a comfort item — it’s cognitive infrastructure.</w:t>
      </w:r>
    </w:p>
  </w:footnote>
  <w:footnote w:id="106">
    <w:p>
      <w:pPr>
        <w:pStyle w:val="FootnoteText"/>
      </w:pPr>
      <w:r>
        <w:rPr>
          <w:rStyle w:val="FootnoteReference"/>
        </w:rPr>
        <w:footnoteRef/>
      </w:r>
      <w:r>
        <w:t xml:space="preserve"> </w:t>
      </w:r>
      <w:r>
        <w:t xml:space="preserve">Uvnas-Moberg, K., et al. </w:t>
      </w:r>
      <w:r>
        <w:t xml:space="preserve">“</w:t>
      </w:r>
      <w:r>
        <w:t xml:space="preserve">Oxytocin: the biological guide to motherhood.</w:t>
      </w:r>
      <w:r>
        <w:t xml:space="preserve">”</w:t>
      </w:r>
      <w:r>
        <w:t xml:space="preserve"> </w:t>
      </w:r>
      <w:r>
        <w:t xml:space="preserve">(various). Thermal comfort activates C-tactile afferent nerve fibers, which project to the insular cortex and trigger oxytocin release. This is the neurobiological basis for why warm blankets and hugs work — they activate the same pathway that evolved to signal</w:t>
      </w:r>
      <w:r>
        <w:t xml:space="preserve"> </w:t>
      </w:r>
      <w:r>
        <w:t xml:space="preserve">“</w:t>
      </w:r>
      <w:r>
        <w:t xml:space="preserve">safe near a caregiver.</w:t>
      </w:r>
      <w:r>
        <w:t xml:space="preserve">”</w:t>
      </w:r>
    </w:p>
  </w:footnote>
  <w:footnote w:id="107">
    <w:p>
      <w:pPr>
        <w:pStyle w:val="FootnoteText"/>
      </w:pPr>
      <w:r>
        <w:rPr>
          <w:rStyle w:val="FootnoteReference"/>
        </w:rPr>
        <w:footnoteRef/>
      </w:r>
      <w:r>
        <w:t xml:space="preserve"> </w:t>
      </w:r>
      <w:r>
        <w:t xml:space="preserve">Von Mohr, M., et al. </w:t>
      </w:r>
      <w:r>
        <w:t xml:space="preserve">“</w:t>
      </w:r>
      <w:r>
        <w:t xml:space="preserve">C-tactile afferent stimulating touch carries a positive affective value.</w:t>
      </w:r>
      <w:r>
        <w:t xml:space="preserve">”</w:t>
      </w:r>
      <w:r>
        <w:t xml:space="preserve"> </w:t>
      </w:r>
      <w:r>
        <w:rPr>
          <w:i/>
          <w:iCs/>
        </w:rPr>
        <w:t xml:space="preserve">Scientific Reports</w:t>
      </w:r>
      <w:r>
        <w:t xml:space="preserve"> </w:t>
      </w:r>
      <w:r>
        <w:t xml:space="preserve">9, 8584 (2019). Slow, gentle touch activates C-tactile afferents, which release oxytocin and reduce cortisol. Speed: 1–10 cm/s. This is why a slow pat on the back feels calming while a quick tap feels like an alert.</w:t>
      </w:r>
    </w:p>
  </w:footnote>
  <w:footnote w:id="121">
    <w:p>
      <w:pPr>
        <w:pStyle w:val="FootnoteText"/>
      </w:pPr>
      <w:r>
        <w:rPr>
          <w:rStyle w:val="FootnoteReference"/>
        </w:rPr>
        <w:footnoteRef/>
      </w:r>
      <w:r>
        <w:t xml:space="preserve"> </w:t>
      </w:r>
      <w:r>
        <w:t xml:space="preserve">FitzGerald, G., et al. </w:t>
      </w:r>
      <w:r>
        <w:t xml:space="preserve">“</w:t>
      </w:r>
      <w:r>
        <w:t xml:space="preserve">Emergency department triage revisited.</w:t>
      </w:r>
      <w:r>
        <w:t xml:space="preserve">”</w:t>
      </w:r>
      <w:r>
        <w:t xml:space="preserve"> </w:t>
      </w:r>
      <w:r>
        <w:rPr>
          <w:i/>
          <w:iCs/>
        </w:rPr>
        <w:t xml:space="preserve">Emergency Medicine Journal</w:t>
      </w:r>
      <w:r>
        <w:t xml:space="preserve"> </w:t>
      </w:r>
      <w:r>
        <w:t xml:space="preserve">27(2), 86–92 (2010). Modern triage systems (ESI, Manchester, Australasian) all use some variant of the severity × urgency matrix. The 4-level priority system used here is simplified for self-triage; clinical systems use 5 levels.</w:t>
      </w:r>
    </w:p>
  </w:footnote>
  <w:footnote w:id="125">
    <w:p>
      <w:pPr>
        <w:pStyle w:val="FootnoteText"/>
      </w:pPr>
      <w:r>
        <w:rPr>
          <w:rStyle w:val="FootnoteReference"/>
        </w:rPr>
        <w:footnoteRef/>
      </w:r>
      <w:r>
        <w:t xml:space="preserve"> </w:t>
      </w:r>
      <w:r>
        <w:t xml:space="preserve">Gill, C.J., et al. </w:t>
      </w:r>
      <w:r>
        <w:t xml:space="preserve">“</w:t>
      </w:r>
      <w:r>
        <w:t xml:space="preserve">A method for Bayesian triage in resource-limited settings.</w:t>
      </w:r>
      <w:r>
        <w:t xml:space="preserve">”</w:t>
      </w:r>
      <w:r>
        <w:t xml:space="preserve"> </w:t>
      </w:r>
      <w:r>
        <w:rPr>
          <w:i/>
          <w:iCs/>
        </w:rPr>
        <w:t xml:space="preserve">PLoS ONE</w:t>
      </w:r>
      <w:r>
        <w:t xml:space="preserve"> </w:t>
      </w:r>
      <w:r>
        <w:t xml:space="preserve">(various). While clinicians rarely calculate explicit Bayes’ theorem, the underlying reasoning —</w:t>
      </w:r>
      <w:r>
        <w:t xml:space="preserve"> </w:t>
      </w:r>
      <w:r>
        <w:t xml:space="preserve">“</w:t>
      </w:r>
      <w:r>
        <w:t xml:space="preserve">how likely is this to be serious given what I’m seeing?</w:t>
      </w:r>
      <w:r>
        <w:t xml:space="preserve">”</w:t>
      </w:r>
      <w:r>
        <w:t xml:space="preserve"> </w:t>
      </w:r>
      <w:r>
        <w:t xml:space="preserve">— is Bayesian inference. The key insight for self-triage: when in doubt, assume higher severity (prioritize sensitivity over specificity). A false alarm is cheap; a missed emergency is catastrophic.</w:t>
      </w:r>
    </w:p>
  </w:footnote>
  <w:footnote w:id="129">
    <w:p>
      <w:pPr>
        <w:pStyle w:val="FootnoteText"/>
      </w:pPr>
      <w:r>
        <w:rPr>
          <w:rStyle w:val="FootnoteReference"/>
        </w:rPr>
        <w:footnoteRef/>
      </w:r>
      <w:r>
        <w:t xml:space="preserve"> </w:t>
      </w:r>
      <w:r>
        <w:t xml:space="preserve">Lund, C.C. &amp; Browder, N.C.</w:t>
      </w:r>
      <w:r>
        <w:t xml:space="preserve"> </w:t>
      </w:r>
      <w:r>
        <w:t xml:space="preserve">“</w:t>
      </w:r>
      <w:r>
        <w:t xml:space="preserve">The estimation of areas of burns.</w:t>
      </w:r>
      <w:r>
        <w:t xml:space="preserve">”</w:t>
      </w:r>
      <w:r>
        <w:t xml:space="preserve"> </w:t>
      </w:r>
      <w:r>
        <w:rPr>
          <w:i/>
          <w:iCs/>
        </w:rPr>
        <w:t xml:space="preserve">Surgery, Gynecology &amp; Obstetrics</w:t>
      </w:r>
      <w:r>
        <w:t xml:space="preserve"> </w:t>
      </w:r>
      <w:r>
        <w:t xml:space="preserve">79, 352–358 (1944). The Lund-Browder chart remains the gold standard for burn surface area estimation, adjusting for the proportionally larger head and smaller limbs of children. The simpler</w:t>
      </w:r>
      <w:r>
        <w:t xml:space="preserve"> </w:t>
      </w:r>
      <w:r>
        <w:t xml:space="preserve">“</w:t>
      </w:r>
      <w:r>
        <w:t xml:space="preserve">Rule of Nines</w:t>
      </w:r>
      <w:r>
        <w:t xml:space="preserve">”</w:t>
      </w:r>
      <w:r>
        <w:t xml:space="preserve"> </w:t>
      </w:r>
      <w:r>
        <w:t xml:space="preserve">(each arm = 9%, each leg = 18%, etc.) is a rough adult approximation.</w:t>
      </w:r>
    </w:p>
  </w:footnote>
  <w:footnote w:id="132">
    <w:p>
      <w:pPr>
        <w:pStyle w:val="FootnoteText"/>
      </w:pPr>
      <w:r>
        <w:rPr>
          <w:rStyle w:val="FootnoteReference"/>
        </w:rPr>
        <w:footnoteRef/>
      </w:r>
      <w:r>
        <w:t xml:space="preserve"> </w:t>
      </w:r>
      <w:r>
        <w:t xml:space="preserve">Saver, J.L.</w:t>
      </w:r>
      <w:r>
        <w:t xml:space="preserve"> </w:t>
      </w:r>
      <w:r>
        <w:t xml:space="preserve">“</w:t>
      </w:r>
      <w:r>
        <w:t xml:space="preserve">Time is brain — quantified.</w:t>
      </w:r>
      <w:r>
        <w:t xml:space="preserve">”</w:t>
      </w:r>
      <w:r>
        <w:t xml:space="preserve"> </w:t>
      </w:r>
      <w:r>
        <w:rPr>
          <w:i/>
          <w:iCs/>
        </w:rPr>
        <w:t xml:space="preserve">Stroke</w:t>
      </w:r>
      <w:r>
        <w:t xml:space="preserve"> </w:t>
      </w:r>
      <w:r>
        <w:t xml:space="preserve">37(1), 263–266 (2006). During acute ischemic stroke, the brain loses approximately 1.9 million neurons, 14 billion synapses, and 12 km of myelinated fibers per minute. This is why the FAST protocol emphasizes</w:t>
      </w:r>
      <w:r>
        <w:t xml:space="preserve"> </w:t>
      </w:r>
      <w:r>
        <w:t xml:space="preserve">“</w:t>
      </w:r>
      <w:r>
        <w:t xml:space="preserve">Time</w:t>
      </w:r>
      <w:r>
        <w:t xml:space="preserve">”</w:t>
      </w:r>
      <w:r>
        <w:t xml:space="preserve"> </w:t>
      </w:r>
      <w:r>
        <w:t xml:space="preserve">— thrombolytic therapy efficacy declines dramatically with each passing hour.</w:t>
      </w:r>
    </w:p>
  </w:footnote>
  <w:footnote w:id="147">
    <w:p>
      <w:pPr>
        <w:pStyle w:val="FootnoteText"/>
      </w:pPr>
      <w:r>
        <w:rPr>
          <w:rStyle w:val="FootnoteReference"/>
        </w:rPr>
        <w:footnoteRef/>
      </w:r>
      <w:r>
        <w:t xml:space="preserve"> </w:t>
      </w:r>
      <w:r>
        <w:t xml:space="preserve">The exponential survival model</w:t>
      </w:r>
      <w:r>
        <w:t xml:space="preserve"> </w:t>
      </w:r>
      <m:oMath>
        <m:r>
          <m:t>P</m:t>
        </m:r>
        <m:d>
          <m:dPr>
            <m:begChr m:val="("/>
            <m:endChr m:val=")"/>
            <m:sepChr m:val=""/>
            <m:grow/>
          </m:dPr>
          <m:e>
            <m:r>
              <m:t>t</m:t>
            </m:r>
          </m:e>
        </m:d>
        <m:r>
          <m:rPr>
            <m:sty m:val="p"/>
          </m:rPr>
          <m:t>=</m:t>
        </m:r>
        <m:sSup>
          <m:e>
            <m:r>
              <m:t>e</m:t>
            </m:r>
          </m:e>
          <m:sup>
            <m:r>
              <m:rPr>
                <m:sty m:val="p"/>
              </m:rPr>
              <m:t>−</m:t>
            </m:r>
            <m:r>
              <m:t>λ</m:t>
            </m:r>
            <m:r>
              <m:t>t</m:t>
            </m:r>
          </m:sup>
        </m:sSup>
      </m:oMath>
      <w:r>
        <w:t xml:space="preserve"> </w:t>
      </w:r>
      <w:r>
        <w:t xml:space="preserve">is the foundation of survival analysis in statistics and reliability engineering. It assumes a constant hazard rate, which is a simplification — real hazard rates change with environment, season, and preparation level. The modified model</w:t>
      </w:r>
      <w:r>
        <w:t xml:space="preserve"> </w:t>
      </w:r>
      <m:oMath>
        <m:r>
          <m:t>P</m:t>
        </m:r>
        <m:d>
          <m:dPr>
            <m:begChr m:val="("/>
            <m:endChr m:val=")"/>
            <m:sepChr m:val=""/>
            <m:grow/>
          </m:dPr>
          <m:e>
            <m:r>
              <m:t>t</m:t>
            </m:r>
          </m:e>
        </m:d>
        <m:r>
          <m:rPr>
            <m:sty m:val="p"/>
          </m:rPr>
          <m:t>=</m:t>
        </m:r>
        <m:sSup>
          <m:e>
            <m:r>
              <m:t>e</m:t>
            </m:r>
          </m:e>
          <m:sup>
            <m:r>
              <m:rPr>
                <m:sty m:val="p"/>
              </m:rPr>
              <m:t>−</m:t>
            </m:r>
            <m:d>
              <m:dPr>
                <m:begChr m:val="("/>
                <m:endChr m:val=")"/>
                <m:sepChr m:val=""/>
                <m:grow/>
              </m:dPr>
              <m:e>
                <m:sSub>
                  <m:e>
                    <m:r>
                      <m:t>λ</m:t>
                    </m:r>
                  </m:e>
                  <m:sub>
                    <m:r>
                      <m:t>0</m:t>
                    </m:r>
                  </m:sub>
                </m:sSub>
                <m:r>
                  <m:rPr>
                    <m:sty m:val="p"/>
                  </m:rPr>
                  <m:t>−</m:t>
                </m:r>
                <m:r>
                  <m:rPr>
                    <m:sty m:val="p"/>
                  </m:rPr>
                  <m:t>∑</m:t>
                </m:r>
                <m:sSub>
                  <m:e>
                    <m:r>
                      <m:t>r</m:t>
                    </m:r>
                  </m:e>
                  <m:sub>
                    <m:r>
                      <m:t>i</m:t>
                    </m:r>
                  </m:sub>
                </m:sSub>
              </m:e>
            </m:d>
            <m:r>
              <m:t>t</m:t>
            </m:r>
          </m:sup>
        </m:sSup>
      </m:oMath>
      <w:r>
        <w:t xml:space="preserve"> </w:t>
      </w:r>
      <w:r>
        <w:t xml:space="preserve">is a proportional hazards approximation (Cox, 1972). Each risk reduction factor</w:t>
      </w:r>
      <w:r>
        <w:t xml:space="preserve"> </w:t>
      </w:r>
      <m:oMath>
        <m:sSub>
          <m:e>
            <m:r>
              <m:t>r</m:t>
            </m:r>
          </m:e>
          <m:sub>
            <m:r>
              <m:t>i</m:t>
            </m:r>
          </m:sub>
        </m:sSub>
      </m:oMath>
      <w:r>
        <w:t xml:space="preserve"> </w:t>
      </w:r>
      <w:r>
        <w:t xml:space="preserve">effectively shifts the entire survival curve upward.</w:t>
      </w:r>
    </w:p>
  </w:footnote>
  <w:footnote w:id="164">
    <w:p>
      <w:pPr>
        <w:pStyle w:val="FootnoteText"/>
      </w:pPr>
      <w:r>
        <w:rPr>
          <w:rStyle w:val="FootnoteReference"/>
        </w:rPr>
        <w:footnoteRef/>
      </w:r>
      <w:r>
        <w:t xml:space="preserve"> </w:t>
      </w:r>
      <w:r>
        <w:t xml:space="preserve">The formula</w:t>
      </w:r>
      <w:r>
        <w:t xml:space="preserve"> </w:t>
      </w:r>
      <m:oMath>
        <m:r>
          <m:t>C</m:t>
        </m:r>
        <m:d>
          <m:dPr>
            <m:begChr m:val="("/>
            <m:endChr m:val=")"/>
            <m:sepChr m:val=""/>
            <m:grow/>
          </m:dPr>
          <m:e>
            <m:r>
              <m:t>n</m:t>
            </m:r>
          </m:e>
        </m:d>
        <m:r>
          <m:rPr>
            <m:sty m:val="p"/>
          </m:rPr>
          <m:t>=</m:t>
        </m:r>
        <m:r>
          <m:t>n</m:t>
        </m:r>
        <m:d>
          <m:dPr>
            <m:begChr m:val="("/>
            <m:endChr m:val=")"/>
            <m:sepChr m:val=""/>
            <m:grow/>
          </m:dPr>
          <m:e>
            <m:r>
              <m:t>n</m:t>
            </m:r>
            <m:r>
              <m:rPr>
                <m:sty m:val="p"/>
              </m:rPr>
              <m:t>−</m:t>
            </m:r>
            <m:r>
              <m:t>1</m:t>
            </m:r>
          </m:e>
        </m:d>
        <m:r>
          <m:rPr>
            <m:sty m:val="p"/>
          </m:rPr>
          <m:t>/</m:t>
        </m:r>
        <m:r>
          <m:t>2</m:t>
        </m:r>
      </m:oMath>
      <w:r>
        <w:t xml:space="preserve"> </w:t>
      </w:r>
      <w:r>
        <w:t xml:space="preserve">for pairwise communication channels comes from combinatorics — it’s the number of edges in a complete graph</w:t>
      </w:r>
      <w:r>
        <w:t xml:space="preserve"> </w:t>
      </w:r>
      <m:oMath>
        <m:sSub>
          <m:e>
            <m:r>
              <m:t>K</m:t>
            </m:r>
          </m:e>
          <m:sub>
            <m:r>
              <m:t>n</m:t>
            </m:r>
          </m:sub>
        </m:sSub>
      </m:oMath>
      <w:r>
        <w:t xml:space="preserve">. In organizational theory, this is known as the</w:t>
      </w:r>
      <w:r>
        <w:t xml:space="preserve"> </w:t>
      </w:r>
      <w:r>
        <w:t xml:space="preserve">“</w:t>
      </w:r>
      <w:r>
        <w:t xml:space="preserve">communication overhead</w:t>
      </w:r>
      <w:r>
        <w:t xml:space="preserve">”</w:t>
      </w:r>
      <w:r>
        <w:t xml:space="preserve"> </w:t>
      </w:r>
      <w:r>
        <w:t xml:space="preserve">problem. For</w:t>
      </w:r>
      <w:r>
        <w:t xml:space="preserve"> </w:t>
      </w:r>
      <m:oMath>
        <m:r>
          <m:t>n</m:t>
        </m:r>
        <m:r>
          <m:rPr>
            <m:sty m:val="p"/>
          </m:rPr>
          <m:t>&gt;</m:t>
        </m:r>
        <m:r>
          <m:t>10</m:t>
        </m:r>
      </m:oMath>
      <w:r>
        <w:t xml:space="preserve">, most organizations introduce hierarchical or network structures to reduce the effective number of channels any one person must maintain. See: March, J.G. &amp; Simon, H.A.</w:t>
      </w:r>
      <w:r>
        <w:t xml:space="preserve"> </w:t>
      </w:r>
      <w:r>
        <w:rPr>
          <w:i/>
          <w:iCs/>
        </w:rPr>
        <w:t xml:space="preserve">Organizations</w:t>
      </w:r>
      <w:r>
        <w:t xml:space="preserve"> </w:t>
      </w:r>
      <w:r>
        <w:t xml:space="preserve">(1958).</w:t>
      </w:r>
    </w:p>
  </w:footnote>
  <w:footnote w:id="166">
    <w:p>
      <w:pPr>
        <w:pStyle w:val="FootnoteText"/>
      </w:pPr>
      <w:r>
        <w:rPr>
          <w:rStyle w:val="FootnoteReference"/>
        </w:rPr>
        <w:footnoteRef/>
      </w:r>
      <w:r>
        <w:t xml:space="preserve"> </w:t>
      </w:r>
      <w:r>
        <w:t xml:space="preserve">Dunbar, R.I.M.</w:t>
      </w:r>
      <w:r>
        <w:t xml:space="preserve"> </w:t>
      </w:r>
      <w:r>
        <w:t xml:space="preserve">“</w:t>
      </w:r>
      <w:r>
        <w:t xml:space="preserve">Neocortex size as a constraint on group size in primates.</w:t>
      </w:r>
      <w:r>
        <w:t xml:space="preserve">”</w:t>
      </w:r>
      <w:r>
        <w:t xml:space="preserve"> </w:t>
      </w:r>
      <w:r>
        <w:rPr>
          <w:i/>
          <w:iCs/>
        </w:rPr>
        <w:t xml:space="preserve">Journal of Human Evolution</w:t>
      </w:r>
      <w:r>
        <w:t xml:space="preserve"> </w:t>
      </w:r>
      <w:r>
        <w:t xml:space="preserve">22(6), 469–493 (1992). The formula</w:t>
      </w:r>
      <w:r>
        <w:t xml:space="preserve"> </w:t>
      </w:r>
      <m:oMath>
        <m:sSub>
          <m:e>
            <m:r>
              <m:t>D</m:t>
            </m:r>
          </m:e>
          <m:sub>
            <m:r>
              <m:t>n</m:t>
            </m:r>
          </m:sub>
        </m:sSub>
        <m:r>
          <m:rPr>
            <m:sty m:val="p"/>
          </m:rPr>
          <m:t>=</m:t>
        </m:r>
        <m:r>
          <m:t>5</m:t>
        </m:r>
        <m:r>
          <m:rPr>
            <m:sty m:val="p"/>
          </m:rPr>
          <m:t>⋅</m:t>
        </m:r>
        <m:sSup>
          <m:e>
            <m:r>
              <m:t>3</m:t>
            </m:r>
          </m:e>
          <m:sup>
            <m:r>
              <m:t>n</m:t>
            </m:r>
            <m:r>
              <m:rPr>
                <m:sty m:val="p"/>
              </m:rPr>
              <m:t>−</m:t>
            </m:r>
            <m:r>
              <m:t>1</m:t>
            </m:r>
          </m:sup>
        </m:sSup>
      </m:oMath>
      <w:r>
        <w:t xml:space="preserve"> </w:t>
      </w:r>
      <w:r>
        <w:t xml:space="preserve">is an approximation — the actual numbers vary by ±20% across individuals and cultures. The key insight is the concentric structure and approximate scaling factor of 3, not the precise values. These numbers apply to face-to-face relationships; digital communication may extend some layers but doesn’t fundamentally change the cognitive constraints.</w:t>
      </w:r>
    </w:p>
  </w:footnote>
  <w:footnote w:id="172">
    <w:p>
      <w:pPr>
        <w:pStyle w:val="FootnoteText"/>
      </w:pPr>
      <w:r>
        <w:rPr>
          <w:rStyle w:val="FootnoteReference"/>
        </w:rPr>
        <w:footnoteRef/>
      </w:r>
      <w:r>
        <w:t xml:space="preserve"> </w:t>
      </w:r>
      <w:r>
        <w:t xml:space="preserve">Ostrom, E.</w:t>
      </w:r>
      <w:r>
        <w:t xml:space="preserve"> </w:t>
      </w:r>
      <w:r>
        <w:rPr>
          <w:i/>
          <w:iCs/>
        </w:rPr>
        <w:t xml:space="preserve">Governing the Commons: The Evolution of Institutions for Collective Action</w:t>
      </w:r>
      <w:r>
        <w:t xml:space="preserve"> </w:t>
      </w:r>
      <w:r>
        <w:t xml:space="preserve">(1990). Cambridge University Press. Ostrom’s 8 principles were derived from meta-analysis of long-enduring common-pool resource institutions worldwide. She demonstrated that communities can self-govern without either privatization or state control — a finding that overturned decades of conventional wisdom (the</w:t>
      </w:r>
      <w:r>
        <w:t xml:space="preserve"> </w:t>
      </w:r>
      <w:r>
        <w:t xml:space="preserve">“</w:t>
      </w:r>
      <w:r>
        <w:t xml:space="preserve">tragedy of the commons</w:t>
      </w:r>
      <w:r>
        <w:t xml:space="preserve">”</w:t>
      </w:r>
      <w:r>
        <w:t xml:space="preserve"> </w:t>
      </w:r>
      <w:r>
        <w:t xml:space="preserve">narrative). These principles are directly applicable to any post-crisis community managing shared resources.</w:t>
      </w:r>
    </w:p>
  </w:footnote>
  <w:footnote w:id="187">
    <w:p>
      <w:pPr>
        <w:pStyle w:val="FootnoteText"/>
      </w:pPr>
      <w:r>
        <w:rPr>
          <w:rStyle w:val="FootnoteReference"/>
        </w:rPr>
        <w:footnoteRef/>
      </w:r>
      <w:r>
        <w:t xml:space="preserve"> </w:t>
      </w:r>
      <w:r>
        <w:t xml:space="preserve">Effectiveness rates are approximate and drawn from multiple meta-analyses. Individual outcomes vary significantly.</w:t>
      </w:r>
      <w:r>
        <w:t xml:space="preserve"> </w:t>
      </w:r>
      <w:r>
        <w:t xml:space="preserve">“</w:t>
      </w:r>
      <w:r>
        <w:t xml:space="preserve">Response rate</w:t>
      </w:r>
      <w:r>
        <w:t xml:space="preserve">”</w:t>
      </w:r>
      <w:r>
        <w:t xml:space="preserve"> </w:t>
      </w:r>
      <w:r>
        <w:t xml:space="preserve">typically means ≥50% symptom reduction on standardized measures. These numbers should encourage, not guarantee — the actual response for any individual depends on therapist fit, engagement level, and the specific condition being treated.</w:t>
      </w:r>
    </w:p>
  </w:footnote>
  <w:footnote w:id="188">
    <w:p>
      <w:pPr>
        <w:pStyle w:val="FootnoteText"/>
      </w:pPr>
      <w:r>
        <w:rPr>
          <w:rStyle w:val="FootnoteReference"/>
        </w:rPr>
        <w:footnoteRef/>
      </w:r>
      <w:r>
        <w:t xml:space="preserve"> </w:t>
      </w:r>
      <w:r>
        <w:t xml:space="preserve">Hofmann, S.G., et al. </w:t>
      </w:r>
      <w:r>
        <w:t xml:space="preserve">“</w:t>
      </w:r>
      <w:r>
        <w:t xml:space="preserve">The efficacy of cognitive behavioral therapy: A review of meta-analyses.</w:t>
      </w:r>
      <w:r>
        <w:t xml:space="preserve">”</w:t>
      </w:r>
      <w:r>
        <w:t xml:space="preserve"> </w:t>
      </w:r>
      <w:r>
        <w:rPr>
          <w:i/>
          <w:iCs/>
        </w:rPr>
        <w:t xml:space="preserve">Cognitive Therapy and Research</w:t>
      </w:r>
      <w:r>
        <w:t xml:space="preserve"> </w:t>
      </w:r>
      <w:r>
        <w:t xml:space="preserve">36(5), 427–440 (2012). CBT shows approximately 60% response rate for anxiety disorders across 269 meta-analyses. It is the most empirically supported psychotherapy for anxiety.</w:t>
      </w:r>
    </w:p>
  </w:footnote>
  <w:footnote w:id="189">
    <w:p>
      <w:pPr>
        <w:pStyle w:val="FootnoteText"/>
      </w:pPr>
      <w:r>
        <w:rPr>
          <w:rStyle w:val="FootnoteReference"/>
        </w:rPr>
        <w:footnoteRef/>
      </w:r>
      <w:r>
        <w:t xml:space="preserve"> </w:t>
      </w:r>
      <w:r>
        <w:t xml:space="preserve">Bisson, J., et al. </w:t>
      </w:r>
      <w:r>
        <w:t xml:space="preserve">“</w:t>
      </w:r>
      <w:r>
        <w:t xml:space="preserve">Post-traumatic stress disorder.</w:t>
      </w:r>
      <w:r>
        <w:t xml:space="preserve">”</w:t>
      </w:r>
      <w:r>
        <w:t xml:space="preserve"> </w:t>
      </w:r>
      <w:r>
        <w:rPr>
          <w:i/>
          <w:iCs/>
        </w:rPr>
        <w:t xml:space="preserve">BMJ Clinical Evidence</w:t>
      </w:r>
      <w:r>
        <w:t xml:space="preserve"> </w:t>
      </w:r>
      <w:r>
        <w:t xml:space="preserve">(2015). EMDR is recommended by WHO, NICE, and APA for PTSD treatment. Response rates of ~70% for PTSD symptom reduction are consistent across trials.</w:t>
      </w:r>
    </w:p>
  </w:footnote>
  <w:footnote w:id="190">
    <w:p>
      <w:pPr>
        <w:pStyle w:val="FootnoteText"/>
      </w:pPr>
      <w:r>
        <w:rPr>
          <w:rStyle w:val="FootnoteReference"/>
        </w:rPr>
        <w:footnoteRef/>
      </w:r>
      <w:r>
        <w:t xml:space="preserve"> </w:t>
      </w:r>
      <w:r>
        <w:t xml:space="preserve">Shedler, J.</w:t>
      </w:r>
      <w:r>
        <w:t xml:space="preserve"> </w:t>
      </w:r>
      <w:r>
        <w:t xml:space="preserve">“</w:t>
      </w:r>
      <w:r>
        <w:t xml:space="preserve">The efficacy of psychodynamic psychotherapy.</w:t>
      </w:r>
      <w:r>
        <w:t xml:space="preserve">”</w:t>
      </w:r>
      <w:r>
        <w:t xml:space="preserve"> </w:t>
      </w:r>
      <w:r>
        <w:rPr>
          <w:i/>
          <w:iCs/>
        </w:rPr>
        <w:t xml:space="preserve">American Psychologist</w:t>
      </w:r>
      <w:r>
        <w:t xml:space="preserve"> </w:t>
      </w:r>
      <w:r>
        <w:t xml:space="preserve">65(2), 98–109 (2010). Psychodynamic therapy shows effect sizes comparable to CBT, with the unique property that patients continue to improve</w:t>
      </w:r>
      <w:r>
        <w:t xml:space="preserve"> </w:t>
      </w:r>
      <w:r>
        <w:rPr>
          <w:i/>
          <w:iCs/>
        </w:rPr>
        <w:t xml:space="preserve">after</w:t>
      </w:r>
      <w:r>
        <w:t xml:space="preserve"> </w:t>
      </w:r>
      <w:r>
        <w:t xml:space="preserve">treatment ends — the</w:t>
      </w:r>
      <w:r>
        <w:t xml:space="preserve"> </w:t>
      </w:r>
      <w:r>
        <w:t xml:space="preserve">“</w:t>
      </w:r>
      <w:r>
        <w:t xml:space="preserve">sleeper effect.</w:t>
      </w:r>
      <w:r>
        <w:t xml:space="preserve">”</w:t>
      </w:r>
    </w:p>
  </w:footnote>
  <w:footnote w:id="191">
    <w:p>
      <w:pPr>
        <w:pStyle w:val="FootnoteText"/>
      </w:pPr>
      <w:r>
        <w:rPr>
          <w:rStyle w:val="FootnoteReference"/>
        </w:rPr>
        <w:footnoteRef/>
      </w:r>
      <w:r>
        <w:t xml:space="preserve"> </w:t>
      </w:r>
      <w:r>
        <w:t xml:space="preserve">Khoury, B., et al. </w:t>
      </w:r>
      <w:r>
        <w:t xml:space="preserve">“</w:t>
      </w:r>
      <w:r>
        <w:t xml:space="preserve">Mindfulness-based therapy: A comprehensive meta-analysis.</w:t>
      </w:r>
      <w:r>
        <w:t xml:space="preserve">”</w:t>
      </w:r>
      <w:r>
        <w:t xml:space="preserve"> </w:t>
      </w:r>
      <w:r>
        <w:rPr>
          <w:i/>
          <w:iCs/>
        </w:rPr>
        <w:t xml:space="preserve">Clinical Psychology Review</w:t>
      </w:r>
      <w:r>
        <w:t xml:space="preserve"> </w:t>
      </w:r>
      <w:r>
        <w:t xml:space="preserve">33(6), 763–771 (2013). MBSR shows moderate effect sizes (Hedges’ g = 0.5–0.6) for anxiety and depression, with sustained benefits at follow-up.</w:t>
      </w:r>
    </w:p>
  </w:footnote>
  <w:footnote w:id="193">
    <w:p>
      <w:pPr>
        <w:pStyle w:val="FootnoteText"/>
      </w:pPr>
      <w:r>
        <w:rPr>
          <w:rStyle w:val="FootnoteReference"/>
        </w:rPr>
        <w:footnoteRef/>
      </w:r>
      <w:r>
        <w:t xml:space="preserve"> </w:t>
      </w:r>
      <w:r>
        <w:t xml:space="preserve">IASC.</w:t>
      </w:r>
      <w:r>
        <w:t xml:space="preserve"> </w:t>
      </w:r>
      <w:r>
        <w:rPr>
          <w:i/>
          <w:iCs/>
        </w:rPr>
        <w:t xml:space="preserve">Guidelines on Mental Health and Psychosocial Support in Emergency Settings</w:t>
      </w:r>
      <w:r>
        <w:t xml:space="preserve"> </w:t>
      </w:r>
      <w:r>
        <w:t xml:space="preserve">(2007). The 4-layer pyramid is the global standard for organizing MHPSS interventions in humanitarian emergencies. Layer 1 (basic needs) is prerequisite for all higher layers — a principle this guide follows by prioritizing physical safety before psychological support.</w:t>
      </w:r>
    </w:p>
  </w:footnote>
  <w:footnote w:id="199">
    <w:p>
      <w:pPr>
        <w:pStyle w:val="FootnoteText"/>
      </w:pPr>
      <w:r>
        <w:rPr>
          <w:rStyle w:val="FootnoteReference"/>
        </w:rPr>
        <w:footnoteRef/>
      </w:r>
      <w:r>
        <w:t xml:space="preserve"> </w:t>
      </w:r>
      <w:r>
        <w:t xml:space="preserve">Strafgesetzbuch (StGB) §32 Notwehr:</w:t>
      </w:r>
      <w:r>
        <w:t xml:space="preserve"> </w:t>
      </w:r>
      <w:r>
        <w:t xml:space="preserve">“</w:t>
      </w:r>
      <w:r>
        <w:t xml:space="preserve">Wer eine Tat begeht, die durch Notwehr geboten ist, handelt nicht rechtswidrig.</w:t>
      </w:r>
      <w:r>
        <w:t xml:space="preserve">”</w:t>
      </w:r>
      <w:r>
        <w:t xml:space="preserve"> </w:t>
      </w:r>
      <w:r>
        <w:t xml:space="preserve">§33 extends leniency for excessive self-defense committed under</w:t>
      </w:r>
      <w:r>
        <w:t xml:space="preserve"> </w:t>
      </w:r>
      <w:r>
        <w:t xml:space="preserve">“</w:t>
      </w:r>
      <w:r>
        <w:t xml:space="preserve">confusion, fear, or terror</w:t>
      </w:r>
      <w:r>
        <w:t xml:space="preserve">”</w:t>
      </w:r>
      <w:r>
        <w:t xml:space="preserve"> </w:t>
      </w:r>
      <w:r>
        <w:t xml:space="preserve">(Verwirrung, Furcht oder Schrecken).</w:t>
      </w:r>
    </w:p>
  </w:footnote>
  <w:footnote w:id="200">
    <w:p>
      <w:pPr>
        <w:pStyle w:val="FootnoteText"/>
      </w:pPr>
      <w:r>
        <w:rPr>
          <w:rStyle w:val="FootnoteReference"/>
        </w:rPr>
        <w:footnoteRef/>
      </w:r>
      <w:r>
        <w:t xml:space="preserve"> </w:t>
      </w:r>
      <w:r>
        <w:t xml:space="preserve">The proportionality requirement in §32 StGB is assessed holistically by German courts, considering the value of the protected interest, the intensity of the attack, and the availability of less harmful defensive alternatives. The standard is not</w:t>
      </w:r>
      <w:r>
        <w:t xml:space="preserve"> </w:t>
      </w:r>
      <w:r>
        <w:t xml:space="preserve">“</w:t>
      </w:r>
      <w:r>
        <w:t xml:space="preserve">equal force</w:t>
      </w:r>
      <w:r>
        <w:t xml:space="preserve">”</w:t>
      </w:r>
      <w:r>
        <w:t xml:space="preserve"> </w:t>
      </w:r>
      <w:r>
        <w:t xml:space="preserve">but</w:t>
      </w:r>
      <w:r>
        <w:t xml:space="preserve"> </w:t>
      </w:r>
      <w:r>
        <w:t xml:space="preserve">“</w:t>
      </w:r>
      <w:r>
        <w:t xml:space="preserve">not grossly disproportionate.</w:t>
      </w:r>
      <w:r>
        <w:t xml:space="preserve">”</w:t>
      </w:r>
      <w:r>
        <w:t xml:space="preserve"> </w:t>
      </w:r>
      <w:r>
        <w:t xml:space="preserve">See: BGHSt 26, 143 (1975) and subsequent case law.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91" Target="media/rId91.png" /><Relationship Type="http://schemas.openxmlformats.org/officeDocument/2006/relationships/image" Id="rId26" Target="media/rId26.png" /><Relationship Type="http://schemas.openxmlformats.org/officeDocument/2006/relationships/image" Id="rId176" Target="media/rId176.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180" Target="media/rId180.png" /><Relationship Type="http://schemas.openxmlformats.org/officeDocument/2006/relationships/image" Id="rId40" Target="media/rId40.png" /><Relationship Type="http://schemas.openxmlformats.org/officeDocument/2006/relationships/image" Id="rId87" Target="media/rId87.png" /><Relationship Type="http://schemas.openxmlformats.org/officeDocument/2006/relationships/image" Id="rId148" Target="media/rId148.png" /><Relationship Type="http://schemas.openxmlformats.org/officeDocument/2006/relationships/image" Id="rId144" Target="media/rId14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52" Target="media/rId152.png" /><Relationship Type="http://schemas.openxmlformats.org/officeDocument/2006/relationships/hyperlink" Id="rId251" Target="http://www.dge.de/english" TargetMode="External" /><Relationship Type="http://schemas.openxmlformats.org/officeDocument/2006/relationships/hyperlink" Id="rId252" Target="http://www.dge.de/english/fbdg" TargetMode="External" /><Relationship Type="http://schemas.openxmlformats.org/officeDocument/2006/relationships/hyperlink" Id="rId320" Target="http://www.gutenberg.org/ebooks/216" TargetMode="External" /><Relationship Type="http://schemas.openxmlformats.org/officeDocument/2006/relationships/hyperlink" Id="rId328" Target="http://www.gutenberg.org/ebooks/445" TargetMode="External" /><Relationship Type="http://schemas.openxmlformats.org/officeDocument/2006/relationships/hyperlink" Id="rId324" Target="http://www2.unipr.it/~deYoung/I_Ching_Wilhelm_Translation.html" TargetMode="External" /><Relationship Type="http://schemas.openxmlformats.org/officeDocument/2006/relationships/hyperlink" Id="rId291" Target="https://academic.oup.com/jcem/article/96/4/E628/2597716" TargetMode="External" /><Relationship Type="http://schemas.openxmlformats.org/officeDocument/2006/relationships/hyperlink" Id="rId316" Target="https://archive.org/details/AdLuciliumEpistulaeMoralesVolI" TargetMode="External" /><Relationship Type="http://schemas.openxmlformats.org/officeDocument/2006/relationships/hyperlink" Id="rId325" Target="https://archive.org/details/ichingorbookofch0000rich" TargetMode="External" /><Relationship Type="http://schemas.openxmlformats.org/officeDocument/2006/relationships/hyperlink" Id="rId235" Target="https://cdn.who.int/media/docs/default-source/wash-documents/who-tn-05-emergency-treatment-of-drinking-water-at-the-point-of-use.pdf" TargetMode="External" /><Relationship Type="http://schemas.openxmlformats.org/officeDocument/2006/relationships/hyperlink" Id="rId318" Target="https://dailystoic.com" TargetMode="External" /><Relationship Type="http://schemas.openxmlformats.org/officeDocument/2006/relationships/hyperlink" Id="rId240" Target="https://dn790002.ca.archive.org/0/items/Fm21-76SurvivalManual/FM21-76_SurvivalManual.pdf" TargetMode="External" /><Relationship Type="http://schemas.openxmlformats.org/officeDocument/2006/relationships/hyperlink" Id="rId344" Target="https://en.wikipedia.org/wiki/Crowds_and_Power" TargetMode="External" /><Relationship Type="http://schemas.openxmlformats.org/officeDocument/2006/relationships/hyperlink" Id="rId234" Target="https://en.wikipedia.org/wiki/The_SAS_Survival_Handbook" TargetMode="External" /><Relationship Type="http://schemas.openxmlformats.org/officeDocument/2006/relationships/hyperlink" Id="rId314" Target="https://en.wikisource.org/wiki/Moral_letters_to_Lucilius" TargetMode="External" /><Relationship Type="http://schemas.openxmlformats.org/officeDocument/2006/relationships/hyperlink" Id="rId315" Target="https://en.wikisource.org/wiki/On_the_shortness_of_life" TargetMode="External" /><Relationship Type="http://schemas.openxmlformats.org/officeDocument/2006/relationships/hyperlink" Id="rId337" Target="https://exhibits.stanford.edu/spe" TargetMode="External" /><Relationship Type="http://schemas.openxmlformats.org/officeDocument/2006/relationships/hyperlink" Id="rId304" Target="https://interagencystandingcommittee.org/sites/default/files/migrated/2020-11/IASC%20Guidelines%20on%20Mental%20Health%20and%20Psychosocial%20Support%20in%20Emergency%20Settings%20%28English%29.pdf" TargetMode="External" /><Relationship Type="http://schemas.openxmlformats.org/officeDocument/2006/relationships/hyperlink" Id="rId250" Target="https://iris.who.int/server/api/core/bitstreams/c6f336b9-0c36-4431-80fd-840c05344817/content" TargetMode="External" /><Relationship Type="http://schemas.openxmlformats.org/officeDocument/2006/relationships/hyperlink" Id="rId283" Target="https://jamanetwork.com/journals/jamainternalmedicine/fullarticle/410396" TargetMode="External" /><Relationship Type="http://schemas.openxmlformats.org/officeDocument/2006/relationships/hyperlink" Id="rId330" Target="https://journals.sagepub.com/doi/10.1177/053901847401300204" TargetMode="External" /><Relationship Type="http://schemas.openxmlformats.org/officeDocument/2006/relationships/hyperlink" Id="rId270" Target="https://kinderschutzbund.de" TargetMode="External" /><Relationship Type="http://schemas.openxmlformats.org/officeDocument/2006/relationships/hyperlink" Id="rId297" Target="https://link.springer.com/article/10.1007/s10484-014-9241-7" TargetMode="External" /><Relationship Type="http://schemas.openxmlformats.org/officeDocument/2006/relationships/hyperlink" Id="rId317" Target="https://modernstoicism.com/beginners-guide-to-stoicism" TargetMode="External" /><Relationship Type="http://schemas.openxmlformats.org/officeDocument/2006/relationships/hyperlink" Id="rId343" Target="https://monoskop.org/images/1/19/Goffman_Erving_The_Presentation_of_Self_in_Everyday_Life.pdf" TargetMode="External" /><Relationship Type="http://schemas.openxmlformats.org/officeDocument/2006/relationships/hyperlink" Id="rId348" Target="https://natlex.ilo.org/dyn/natlex2/natlex2/files/download/51220/DEU51220%20English.pdf" TargetMode="External" /><Relationship Type="http://schemas.openxmlformats.org/officeDocument/2006/relationships/hyperlink" Id="rId287" Target="https://onlinelibrary.wiley.com/doi/10.1111/j.1365-2702.2005.01121.x" TargetMode="External" /><Relationship Type="http://schemas.openxmlformats.org/officeDocument/2006/relationships/hyperlink" Id="rId281" Target="https://palousemindfulness.com/index.html" TargetMode="External" /><Relationship Type="http://schemas.openxmlformats.org/officeDocument/2006/relationships/hyperlink" Id="rId335" Target="https://psycnet.apa.org/record/1964-03472-001" TargetMode="External" /><Relationship Type="http://schemas.openxmlformats.org/officeDocument/2006/relationships/hyperlink" Id="rId333" Target="https://psycnet.apa.org/record/2011-16966-001" TargetMode="External" /><Relationship Type="http://schemas.openxmlformats.org/officeDocument/2006/relationships/hyperlink" Id="rId292" Target="https://pubmed.ncbi.nlm.nih.gov/15321884/" TargetMode="External" /><Relationship Type="http://schemas.openxmlformats.org/officeDocument/2006/relationships/hyperlink" Id="rId289" Target="https://pubmed.ncbi.nlm.nih.gov/18503050/" TargetMode="External" /><Relationship Type="http://schemas.openxmlformats.org/officeDocument/2006/relationships/hyperlink" Id="rId288" Target="https://pubmed.ncbi.nlm.nih.gov/21110961/" TargetMode="External" /><Relationship Type="http://schemas.openxmlformats.org/officeDocument/2006/relationships/hyperlink" Id="rId231" Target="https://sja.ca/sites/default/files/2024-03/FARG_February%202024_EN_0.pdf" TargetMode="External" /><Relationship Type="http://schemas.openxmlformats.org/officeDocument/2006/relationships/hyperlink" Id="rId321" Target="https://standardebooks.org/ebooks/laozi/tao-te-ching/james-legge" TargetMode="External" /><Relationship Type="http://schemas.openxmlformats.org/officeDocument/2006/relationships/hyperlink" Id="rId322" Target="https://wesleyac.com/dao/refs/leguin1998.pdf" TargetMode="External" /><Relationship Type="http://schemas.openxmlformats.org/officeDocument/2006/relationships/hyperlink" Id="rId268" Target="https://www.aap.org/en/patient-care/early-childhood/milestone-timeline/" TargetMode="External" /><Relationship Type="http://schemas.openxmlformats.org/officeDocument/2006/relationships/hyperlink" Id="rId284" Target="https://www.acpjournals.org/doi/10.7326/0003-4819-146-5-200703060-00004" TargetMode="External" /><Relationship Type="http://schemas.openxmlformats.org/officeDocument/2006/relationships/hyperlink" Id="rId296" Target="https://www.ahajournals.org/doi/10.1161/01.CIR.93.5.1043" TargetMode="External" /><Relationship Type="http://schemas.openxmlformats.org/officeDocument/2006/relationships/hyperlink" Id="rId285" Target="https://www.apa.org/about/divisions/div12/research/gad-7" TargetMode="External" /><Relationship Type="http://schemas.openxmlformats.org/officeDocument/2006/relationships/hyperlink" Id="rId277" Target="https://www.apa.org/topics/mental-health" TargetMode="External" /><Relationship Type="http://schemas.openxmlformats.org/officeDocument/2006/relationships/hyperlink" Id="rId238" Target="https://www.bbk.bund.de/DE/Warnung-Vorsorge/Vorsorge/Ratgeber-Checkliste/ratgeber-checkliste_node.html" TargetMode="External" /><Relationship Type="http://schemas.openxmlformats.org/officeDocument/2006/relationships/hyperlink" Id="rId239" Target="https://www.bbk.bund.de/EN/Prepare-for-disasters/Personal-Preparedness/personal-preparedness_node.html" TargetMode="External" /><Relationship Type="http://schemas.openxmlformats.org/officeDocument/2006/relationships/hyperlink" Id="rId278" Target="https://www.bptk.de" TargetMode="External" /><Relationship Type="http://schemas.openxmlformats.org/officeDocument/2006/relationships/hyperlink" Id="rId269" Target="https://www.cdc.gov/act-early/milestones/index.html" TargetMode="External" /><Relationship Type="http://schemas.openxmlformats.org/officeDocument/2006/relationships/hyperlink" Id="rId263" Target="https://www.cdc.gov/healthywater/pdf/drinking/backcountry_water_treatment-508.pdf" TargetMode="External" /><Relationship Type="http://schemas.openxmlformats.org/officeDocument/2006/relationships/hyperlink" Id="rId259" Target="https://www.cdc.gov/water-emergency/about/index.html" TargetMode="External" /><Relationship Type="http://schemas.openxmlformats.org/officeDocument/2006/relationships/hyperlink" Id="rId260" Target="https://www.cdc.gov/water-emergency/media/pdfs/make-water-safe-during-emergency-p.pdf" TargetMode="External" /><Relationship Type="http://schemas.openxmlformats.org/officeDocument/2006/relationships/hyperlink" Id="rId299" Target="https://www.cell.com/cell-reports-medicine/fulltext/S2666-3791(22)00475-7" TargetMode="External" /><Relationship Type="http://schemas.openxmlformats.org/officeDocument/2006/relationships/hyperlink" Id="rId253" Target="https://www.dge.de/fileadmin/dok/english/10-guidelines/10-guidelines-wholesome-diet-dge.pdf" TargetMode="External" /><Relationship Type="http://schemas.openxmlformats.org/officeDocument/2006/relationships/hyperlink" Id="rId228" Target="https://www.drk.de/hilfe-in-deutschland/erste-hilfe" TargetMode="External" /><Relationship Type="http://schemas.openxmlformats.org/officeDocument/2006/relationships/hyperlink" Id="rId262" Target="https://www.epa.gov/ground-water-and-drinking-water/water-filtration" TargetMode="External" /><Relationship Type="http://schemas.openxmlformats.org/officeDocument/2006/relationships/hyperlink" Id="rId261" Target="https://www.epa.gov/sdwa/overview-drinking-water-treatment-technologies" TargetMode="External" /><Relationship Type="http://schemas.openxmlformats.org/officeDocument/2006/relationships/hyperlink" Id="rId230" Target="https://www.erc.edu/science-research/guidelines/guidelines-2025/guidelines-2025-english" TargetMode="External" /><Relationship Type="http://schemas.openxmlformats.org/officeDocument/2006/relationships/hyperlink" Id="rId237" Target="https://www.fema.gov/pdf/areyouready/basic_preparedness.pdf" TargetMode="External" /><Relationship Type="http://schemas.openxmlformats.org/officeDocument/2006/relationships/hyperlink" Id="rId329" Target="https://www.files.ethz.ch/isn/125518/1414_LeBon.pdf" TargetMode="External" /><Relationship Type="http://schemas.openxmlformats.org/officeDocument/2006/relationships/hyperlink" Id="rId295" Target="https://www.frontiersin.org/articles/10.3389/fpsyg.2017.00213" TargetMode="External" /><Relationship Type="http://schemas.openxmlformats.org/officeDocument/2006/relationships/hyperlink" Id="rId349" Target="https://www.gesetze-im-internet.de/englisch_bgb/englisch_bgb.html" TargetMode="External" /><Relationship Type="http://schemas.openxmlformats.org/officeDocument/2006/relationships/hyperlink" Id="rId347" Target="https://www.gesetze-im-internet.de/englisch_stgb/englisch_stgb.html" TargetMode="External" /><Relationship Type="http://schemas.openxmlformats.org/officeDocument/2006/relationships/hyperlink" Id="rId340" Target="https://www.holacracy.org/constitution/5-0" TargetMode="External" /><Relationship Type="http://schemas.openxmlformats.org/officeDocument/2006/relationships/hyperlink" Id="rId341" Target="https://www.holacracy.org/wp-content/uploads/2023/04/Holacracy-Constitution-5.0.pdf" TargetMode="External" /><Relationship Type="http://schemas.openxmlformats.org/officeDocument/2006/relationships/hyperlink" Id="rId244" Target="https://www.hse.gov.uk/electricity/introduction.htm" TargetMode="External" /><Relationship Type="http://schemas.openxmlformats.org/officeDocument/2006/relationships/hyperlink" Id="rId306" Target="https://www.icrc.org/sites/default/files/wysiwyg/Activities/icrc_institutional_strategy_2024-2027.pdf" TargetMode="External" /><Relationship Type="http://schemas.openxmlformats.org/officeDocument/2006/relationships/hyperlink" Id="rId229" Target="https://www.ifrc.org/our-work/health-and-care/first-aid" TargetMode="External" /><Relationship Type="http://schemas.openxmlformats.org/officeDocument/2006/relationships/hyperlink" Id="rId247" Target="https://www.ilo.org/topics-and-sectors/occupational-safety-and-health-guide-labour-inspectors-and-other/electrical-safety" TargetMode="External" /><Relationship Type="http://schemas.openxmlformats.org/officeDocument/2006/relationships/hyperlink" Id="rId279" Target="https://www.nami.org" TargetMode="External" /><Relationship Type="http://schemas.openxmlformats.org/officeDocument/2006/relationships/hyperlink" Id="rId293" Target="https://www.nature.com/articles/nrn2648" TargetMode="External" /><Relationship Type="http://schemas.openxmlformats.org/officeDocument/2006/relationships/hyperlink" Id="rId254" Target="https://www.ncbi.nlm.nih.gov/books/NBK220576" TargetMode="External" /><Relationship Type="http://schemas.openxmlformats.org/officeDocument/2006/relationships/hyperlink" Id="rId267" Target="https://www.ncbi.nlm.nih.gov/books/NBK555072" TargetMode="External" /><Relationship Type="http://schemas.openxmlformats.org/officeDocument/2006/relationships/hyperlink" Id="rId242" Target="https://www.osha.gov/electrical" TargetMode="External" /><Relationship Type="http://schemas.openxmlformats.org/officeDocument/2006/relationships/hyperlink" Id="rId243" Target="https://www.osha.gov/sites/default/files/publications/OSHA3075.pdf" TargetMode="External" /><Relationship Type="http://schemas.openxmlformats.org/officeDocument/2006/relationships/hyperlink" Id="rId336" Target="https://www.prisonexp.org" TargetMode="External" /><Relationship Type="http://schemas.openxmlformats.org/officeDocument/2006/relationships/hyperlink" Id="rId236" Target="https://www.ready.gov" TargetMode="External" /><Relationship Type="http://schemas.openxmlformats.org/officeDocument/2006/relationships/hyperlink" Id="rId227" Target="https://www.redcross.org/take-a-class/first-aid/performing-first-aid/first-aid-steps" TargetMode="External" /><Relationship Type="http://schemas.openxmlformats.org/officeDocument/2006/relationships/hyperlink" Id="rId334" Target="https://www.simplypsychology.org/asch-conformity.html" TargetMode="External" /><Relationship Type="http://schemas.openxmlformats.org/officeDocument/2006/relationships/hyperlink" Id="rId331" Target="https://www.simplypsychology.org/social-identity-theory.html" TargetMode="External" /><Relationship Type="http://schemas.openxmlformats.org/officeDocument/2006/relationships/hyperlink" Id="rId339" Target="https://www.sociocracyforall.org/sociocracy" TargetMode="External" /><Relationship Type="http://schemas.openxmlformats.org/officeDocument/2006/relationships/hyperlink" Id="rId232" Target="https://www.stjohnnsw.com.au/first-aid-guides" TargetMode="External" /><Relationship Type="http://schemas.openxmlformats.org/officeDocument/2006/relationships/hyperlink" Id="rId280" Target="https://www.ummhealth.org/services-treatments/center-mindfulness/mindfulness-programs/mbsr" TargetMode="External" /><Relationship Type="http://schemas.openxmlformats.org/officeDocument/2006/relationships/hyperlink" Id="rId245" Target="https://www.vde.com/en" TargetMode="External" /><Relationship Type="http://schemas.openxmlformats.org/officeDocument/2006/relationships/hyperlink" Id="rId246" Target="https://www.vde.com/standards-en" TargetMode="External" /><Relationship Type="http://schemas.openxmlformats.org/officeDocument/2006/relationships/hyperlink" Id="rId305" Target="https://www.who.int/activities/ensuring-a-coordinated-and-effective-mental-health-response-in-emergencies" TargetMode="External" /><Relationship Type="http://schemas.openxmlformats.org/officeDocument/2006/relationships/hyperlink" Id="rId273" Target="https://www.who.int/health-topics/mental-health" TargetMode="External" /><Relationship Type="http://schemas.openxmlformats.org/officeDocument/2006/relationships/hyperlink" Id="rId249" Target="https://www.who.int/health-topics/nutrition" TargetMode="External" /><Relationship Type="http://schemas.openxmlformats.org/officeDocument/2006/relationships/hyperlink" Id="rId312" Target="https://www.who.int/news-room/fact-sheets/detail/burns" TargetMode="External" /><Relationship Type="http://schemas.openxmlformats.org/officeDocument/2006/relationships/hyperlink" Id="rId275" Target="https://www.who.int/news-room/fact-sheets/detail/mental-health-in-emergencies" TargetMode="External" /><Relationship Type="http://schemas.openxmlformats.org/officeDocument/2006/relationships/hyperlink" Id="rId274" Target="https://www.who.int/news-room/fact-sheets/detail/mental-health-strengthening-our-response" TargetMode="External" /><Relationship Type="http://schemas.openxmlformats.org/officeDocument/2006/relationships/hyperlink" Id="rId276" Target="https://www.who.int/publications/i/item/9789240053052" TargetMode="External" /><Relationship Type="http://schemas.openxmlformats.org/officeDocument/2006/relationships/hyperlink" Id="rId257" Target="https://www.who.int/teams/environment-climate-change-and-health/water-sanitation-and-health/environmental-health-in-emergencies/humanitarian-emergencies" TargetMode="External" /><Relationship Type="http://schemas.openxmlformats.org/officeDocument/2006/relationships/hyperlink" Id="rId258" Target="https://www.who.int/teams/environment-climate-change-and-health/water-sanitation-and-health/environmental-health-in-emergencies/technical-notes-on-wash-in-emergencies" TargetMode="External" /><Relationship Type="http://schemas.openxmlformats.org/officeDocument/2006/relationships/hyperlink" Id="rId256" Target="https://www.who.int/teams/environment-climate-change-and-health/water-sanitation-and-health/water-safety-and-quality/drinking-water-quality-guidelines" TargetMode="External" /><Relationship Type="http://schemas.openxmlformats.org/officeDocument/2006/relationships/hyperlink" Id="rId265" Target="https://www.who.int/tools/child-growth-standards" TargetMode="External" /><Relationship Type="http://schemas.openxmlformats.org/officeDocument/2006/relationships/hyperlink" Id="rId266" Target="https://www.who.int/tools/child-growth-standards/standards/motor-development-milestones" TargetMode="External" /><Relationship Type="http://schemas.openxmlformats.org/officeDocument/2006/relationships/hyperlink" Id="rId271" Target="https://www.zerotothree.org/resources" TargetMode="External" /></Relationships>
</file>

<file path=word/_rels/footnotes.xml.rels><?xml version="1.0" encoding="UTF-8"?><Relationships xmlns="http://schemas.openxmlformats.org/package/2006/relationships"><Relationship Type="http://schemas.openxmlformats.org/officeDocument/2006/relationships/hyperlink" Id="rId251" Target="http://www.dge.de/english" TargetMode="External" /><Relationship Type="http://schemas.openxmlformats.org/officeDocument/2006/relationships/hyperlink" Id="rId252" Target="http://www.dge.de/english/fbdg" TargetMode="External" /><Relationship Type="http://schemas.openxmlformats.org/officeDocument/2006/relationships/hyperlink" Id="rId320" Target="http://www.gutenberg.org/ebooks/216" TargetMode="External" /><Relationship Type="http://schemas.openxmlformats.org/officeDocument/2006/relationships/hyperlink" Id="rId328" Target="http://www.gutenberg.org/ebooks/445" TargetMode="External" /><Relationship Type="http://schemas.openxmlformats.org/officeDocument/2006/relationships/hyperlink" Id="rId324" Target="http://www2.unipr.it/~deYoung/I_Ching_Wilhelm_Translation.html" TargetMode="External" /><Relationship Type="http://schemas.openxmlformats.org/officeDocument/2006/relationships/hyperlink" Id="rId291" Target="https://academic.oup.com/jcem/article/96/4/E628/2597716" TargetMode="External" /><Relationship Type="http://schemas.openxmlformats.org/officeDocument/2006/relationships/hyperlink" Id="rId316" Target="https://archive.org/details/AdLuciliumEpistulaeMoralesVolI" TargetMode="External" /><Relationship Type="http://schemas.openxmlformats.org/officeDocument/2006/relationships/hyperlink" Id="rId325" Target="https://archive.org/details/ichingorbookofch0000rich" TargetMode="External" /><Relationship Type="http://schemas.openxmlformats.org/officeDocument/2006/relationships/hyperlink" Id="rId235" Target="https://cdn.who.int/media/docs/default-source/wash-documents/who-tn-05-emergency-treatment-of-drinking-water-at-the-point-of-use.pdf" TargetMode="External" /><Relationship Type="http://schemas.openxmlformats.org/officeDocument/2006/relationships/hyperlink" Id="rId318" Target="https://dailystoic.com" TargetMode="External" /><Relationship Type="http://schemas.openxmlformats.org/officeDocument/2006/relationships/hyperlink" Id="rId240" Target="https://dn790002.ca.archive.org/0/items/Fm21-76SurvivalManual/FM21-76_SurvivalManual.pdf" TargetMode="External" /><Relationship Type="http://schemas.openxmlformats.org/officeDocument/2006/relationships/hyperlink" Id="rId344" Target="https://en.wikipedia.org/wiki/Crowds_and_Power" TargetMode="External" /><Relationship Type="http://schemas.openxmlformats.org/officeDocument/2006/relationships/hyperlink" Id="rId234" Target="https://en.wikipedia.org/wiki/The_SAS_Survival_Handbook" TargetMode="External" /><Relationship Type="http://schemas.openxmlformats.org/officeDocument/2006/relationships/hyperlink" Id="rId314" Target="https://en.wikisource.org/wiki/Moral_letters_to_Lucilius" TargetMode="External" /><Relationship Type="http://schemas.openxmlformats.org/officeDocument/2006/relationships/hyperlink" Id="rId315" Target="https://en.wikisource.org/wiki/On_the_shortness_of_life" TargetMode="External" /><Relationship Type="http://schemas.openxmlformats.org/officeDocument/2006/relationships/hyperlink" Id="rId337" Target="https://exhibits.stanford.edu/spe" TargetMode="External" /><Relationship Type="http://schemas.openxmlformats.org/officeDocument/2006/relationships/hyperlink" Id="rId304" Target="https://interagencystandingcommittee.org/sites/default/files/migrated/2020-11/IASC%20Guidelines%20on%20Mental%20Health%20and%20Psychosocial%20Support%20in%20Emergency%20Settings%20%28English%29.pdf" TargetMode="External" /><Relationship Type="http://schemas.openxmlformats.org/officeDocument/2006/relationships/hyperlink" Id="rId250" Target="https://iris.who.int/server/api/core/bitstreams/c6f336b9-0c36-4431-80fd-840c05344817/content" TargetMode="External" /><Relationship Type="http://schemas.openxmlformats.org/officeDocument/2006/relationships/hyperlink" Id="rId283" Target="https://jamanetwork.com/journals/jamainternalmedicine/fullarticle/410396" TargetMode="External" /><Relationship Type="http://schemas.openxmlformats.org/officeDocument/2006/relationships/hyperlink" Id="rId330" Target="https://journals.sagepub.com/doi/10.1177/053901847401300204" TargetMode="External" /><Relationship Type="http://schemas.openxmlformats.org/officeDocument/2006/relationships/hyperlink" Id="rId270" Target="https://kinderschutzbund.de" TargetMode="External" /><Relationship Type="http://schemas.openxmlformats.org/officeDocument/2006/relationships/hyperlink" Id="rId297" Target="https://link.springer.com/article/10.1007/s10484-014-9241-7" TargetMode="External" /><Relationship Type="http://schemas.openxmlformats.org/officeDocument/2006/relationships/hyperlink" Id="rId317" Target="https://modernstoicism.com/beginners-guide-to-stoicism" TargetMode="External" /><Relationship Type="http://schemas.openxmlformats.org/officeDocument/2006/relationships/hyperlink" Id="rId343" Target="https://monoskop.org/images/1/19/Goffman_Erving_The_Presentation_of_Self_in_Everyday_Life.pdf" TargetMode="External" /><Relationship Type="http://schemas.openxmlformats.org/officeDocument/2006/relationships/hyperlink" Id="rId348" Target="https://natlex.ilo.org/dyn/natlex2/natlex2/files/download/51220/DEU51220%20English.pdf" TargetMode="External" /><Relationship Type="http://schemas.openxmlformats.org/officeDocument/2006/relationships/hyperlink" Id="rId287" Target="https://onlinelibrary.wiley.com/doi/10.1111/j.1365-2702.2005.01121.x" TargetMode="External" /><Relationship Type="http://schemas.openxmlformats.org/officeDocument/2006/relationships/hyperlink" Id="rId281" Target="https://palousemindfulness.com/index.html" TargetMode="External" /><Relationship Type="http://schemas.openxmlformats.org/officeDocument/2006/relationships/hyperlink" Id="rId335" Target="https://psycnet.apa.org/record/1964-03472-001" TargetMode="External" /><Relationship Type="http://schemas.openxmlformats.org/officeDocument/2006/relationships/hyperlink" Id="rId333" Target="https://psycnet.apa.org/record/2011-16966-001" TargetMode="External" /><Relationship Type="http://schemas.openxmlformats.org/officeDocument/2006/relationships/hyperlink" Id="rId292" Target="https://pubmed.ncbi.nlm.nih.gov/15321884/" TargetMode="External" /><Relationship Type="http://schemas.openxmlformats.org/officeDocument/2006/relationships/hyperlink" Id="rId289" Target="https://pubmed.ncbi.nlm.nih.gov/18503050/" TargetMode="External" /><Relationship Type="http://schemas.openxmlformats.org/officeDocument/2006/relationships/hyperlink" Id="rId288" Target="https://pubmed.ncbi.nlm.nih.gov/21110961/" TargetMode="External" /><Relationship Type="http://schemas.openxmlformats.org/officeDocument/2006/relationships/hyperlink" Id="rId231" Target="https://sja.ca/sites/default/files/2024-03/FARG_February%202024_EN_0.pdf" TargetMode="External" /><Relationship Type="http://schemas.openxmlformats.org/officeDocument/2006/relationships/hyperlink" Id="rId321" Target="https://standardebooks.org/ebooks/laozi/tao-te-ching/james-legge" TargetMode="External" /><Relationship Type="http://schemas.openxmlformats.org/officeDocument/2006/relationships/hyperlink" Id="rId322" Target="https://wesleyac.com/dao/refs/leguin1998.pdf" TargetMode="External" /><Relationship Type="http://schemas.openxmlformats.org/officeDocument/2006/relationships/hyperlink" Id="rId268" Target="https://www.aap.org/en/patient-care/early-childhood/milestone-timeline/" TargetMode="External" /><Relationship Type="http://schemas.openxmlformats.org/officeDocument/2006/relationships/hyperlink" Id="rId284" Target="https://www.acpjournals.org/doi/10.7326/0003-4819-146-5-200703060-00004" TargetMode="External" /><Relationship Type="http://schemas.openxmlformats.org/officeDocument/2006/relationships/hyperlink" Id="rId296" Target="https://www.ahajournals.org/doi/10.1161/01.CIR.93.5.1043" TargetMode="External" /><Relationship Type="http://schemas.openxmlformats.org/officeDocument/2006/relationships/hyperlink" Id="rId285" Target="https://www.apa.org/about/divisions/div12/research/gad-7" TargetMode="External" /><Relationship Type="http://schemas.openxmlformats.org/officeDocument/2006/relationships/hyperlink" Id="rId277" Target="https://www.apa.org/topics/mental-health" TargetMode="External" /><Relationship Type="http://schemas.openxmlformats.org/officeDocument/2006/relationships/hyperlink" Id="rId238" Target="https://www.bbk.bund.de/DE/Warnung-Vorsorge/Vorsorge/Ratgeber-Checkliste/ratgeber-checkliste_node.html" TargetMode="External" /><Relationship Type="http://schemas.openxmlformats.org/officeDocument/2006/relationships/hyperlink" Id="rId239" Target="https://www.bbk.bund.de/EN/Prepare-for-disasters/Personal-Preparedness/personal-preparedness_node.html" TargetMode="External" /><Relationship Type="http://schemas.openxmlformats.org/officeDocument/2006/relationships/hyperlink" Id="rId278" Target="https://www.bptk.de" TargetMode="External" /><Relationship Type="http://schemas.openxmlformats.org/officeDocument/2006/relationships/hyperlink" Id="rId269" Target="https://www.cdc.gov/act-early/milestones/index.html" TargetMode="External" /><Relationship Type="http://schemas.openxmlformats.org/officeDocument/2006/relationships/hyperlink" Id="rId263" Target="https://www.cdc.gov/healthywater/pdf/drinking/backcountry_water_treatment-508.pdf" TargetMode="External" /><Relationship Type="http://schemas.openxmlformats.org/officeDocument/2006/relationships/hyperlink" Id="rId259" Target="https://www.cdc.gov/water-emergency/about/index.html" TargetMode="External" /><Relationship Type="http://schemas.openxmlformats.org/officeDocument/2006/relationships/hyperlink" Id="rId260" Target="https://www.cdc.gov/water-emergency/media/pdfs/make-water-safe-during-emergency-p.pdf" TargetMode="External" /><Relationship Type="http://schemas.openxmlformats.org/officeDocument/2006/relationships/hyperlink" Id="rId299" Target="https://www.cell.com/cell-reports-medicine/fulltext/S2666-3791(22)00475-7" TargetMode="External" /><Relationship Type="http://schemas.openxmlformats.org/officeDocument/2006/relationships/hyperlink" Id="rId253" Target="https://www.dge.de/fileadmin/dok/english/10-guidelines/10-guidelines-wholesome-diet-dge.pdf" TargetMode="External" /><Relationship Type="http://schemas.openxmlformats.org/officeDocument/2006/relationships/hyperlink" Id="rId228" Target="https://www.drk.de/hilfe-in-deutschland/erste-hilfe" TargetMode="External" /><Relationship Type="http://schemas.openxmlformats.org/officeDocument/2006/relationships/hyperlink" Id="rId262" Target="https://www.epa.gov/ground-water-and-drinking-water/water-filtration" TargetMode="External" /><Relationship Type="http://schemas.openxmlformats.org/officeDocument/2006/relationships/hyperlink" Id="rId261" Target="https://www.epa.gov/sdwa/overview-drinking-water-treatment-technologies" TargetMode="External" /><Relationship Type="http://schemas.openxmlformats.org/officeDocument/2006/relationships/hyperlink" Id="rId230" Target="https://www.erc.edu/science-research/guidelines/guidelines-2025/guidelines-2025-english" TargetMode="External" /><Relationship Type="http://schemas.openxmlformats.org/officeDocument/2006/relationships/hyperlink" Id="rId237" Target="https://www.fema.gov/pdf/areyouready/basic_preparedness.pdf" TargetMode="External" /><Relationship Type="http://schemas.openxmlformats.org/officeDocument/2006/relationships/hyperlink" Id="rId329" Target="https://www.files.ethz.ch/isn/125518/1414_LeBon.pdf" TargetMode="External" /><Relationship Type="http://schemas.openxmlformats.org/officeDocument/2006/relationships/hyperlink" Id="rId295" Target="https://www.frontiersin.org/articles/10.3389/fpsyg.2017.00213" TargetMode="External" /><Relationship Type="http://schemas.openxmlformats.org/officeDocument/2006/relationships/hyperlink" Id="rId349" Target="https://www.gesetze-im-internet.de/englisch_bgb/englisch_bgb.html" TargetMode="External" /><Relationship Type="http://schemas.openxmlformats.org/officeDocument/2006/relationships/hyperlink" Id="rId347" Target="https://www.gesetze-im-internet.de/englisch_stgb/englisch_stgb.html" TargetMode="External" /><Relationship Type="http://schemas.openxmlformats.org/officeDocument/2006/relationships/hyperlink" Id="rId340" Target="https://www.holacracy.org/constitution/5-0" TargetMode="External" /><Relationship Type="http://schemas.openxmlformats.org/officeDocument/2006/relationships/hyperlink" Id="rId341" Target="https://www.holacracy.org/wp-content/uploads/2023/04/Holacracy-Constitution-5.0.pdf" TargetMode="External" /><Relationship Type="http://schemas.openxmlformats.org/officeDocument/2006/relationships/hyperlink" Id="rId244" Target="https://www.hse.gov.uk/electricity/introduction.htm" TargetMode="External" /><Relationship Type="http://schemas.openxmlformats.org/officeDocument/2006/relationships/hyperlink" Id="rId306" Target="https://www.icrc.org/sites/default/files/wysiwyg/Activities/icrc_institutional_strategy_2024-2027.pdf" TargetMode="External" /><Relationship Type="http://schemas.openxmlformats.org/officeDocument/2006/relationships/hyperlink" Id="rId229" Target="https://www.ifrc.org/our-work/health-and-care/first-aid" TargetMode="External" /><Relationship Type="http://schemas.openxmlformats.org/officeDocument/2006/relationships/hyperlink" Id="rId247" Target="https://www.ilo.org/topics-and-sectors/occupational-safety-and-health-guide-labour-inspectors-and-other/electrical-safety" TargetMode="External" /><Relationship Type="http://schemas.openxmlformats.org/officeDocument/2006/relationships/hyperlink" Id="rId279" Target="https://www.nami.org" TargetMode="External" /><Relationship Type="http://schemas.openxmlformats.org/officeDocument/2006/relationships/hyperlink" Id="rId293" Target="https://www.nature.com/articles/nrn2648" TargetMode="External" /><Relationship Type="http://schemas.openxmlformats.org/officeDocument/2006/relationships/hyperlink" Id="rId254" Target="https://www.ncbi.nlm.nih.gov/books/NBK220576" TargetMode="External" /><Relationship Type="http://schemas.openxmlformats.org/officeDocument/2006/relationships/hyperlink" Id="rId267" Target="https://www.ncbi.nlm.nih.gov/books/NBK555072" TargetMode="External" /><Relationship Type="http://schemas.openxmlformats.org/officeDocument/2006/relationships/hyperlink" Id="rId242" Target="https://www.osha.gov/electrical" TargetMode="External" /><Relationship Type="http://schemas.openxmlformats.org/officeDocument/2006/relationships/hyperlink" Id="rId243" Target="https://www.osha.gov/sites/default/files/publications/OSHA3075.pdf" TargetMode="External" /><Relationship Type="http://schemas.openxmlformats.org/officeDocument/2006/relationships/hyperlink" Id="rId336" Target="https://www.prisonexp.org" TargetMode="External" /><Relationship Type="http://schemas.openxmlformats.org/officeDocument/2006/relationships/hyperlink" Id="rId236" Target="https://www.ready.gov" TargetMode="External" /><Relationship Type="http://schemas.openxmlformats.org/officeDocument/2006/relationships/hyperlink" Id="rId227" Target="https://www.redcross.org/take-a-class/first-aid/performing-first-aid/first-aid-steps" TargetMode="External" /><Relationship Type="http://schemas.openxmlformats.org/officeDocument/2006/relationships/hyperlink" Id="rId334" Target="https://www.simplypsychology.org/asch-conformity.html" TargetMode="External" /><Relationship Type="http://schemas.openxmlformats.org/officeDocument/2006/relationships/hyperlink" Id="rId331" Target="https://www.simplypsychology.org/social-identity-theory.html" TargetMode="External" /><Relationship Type="http://schemas.openxmlformats.org/officeDocument/2006/relationships/hyperlink" Id="rId339" Target="https://www.sociocracyforall.org/sociocracy" TargetMode="External" /><Relationship Type="http://schemas.openxmlformats.org/officeDocument/2006/relationships/hyperlink" Id="rId232" Target="https://www.stjohnnsw.com.au/first-aid-guides" TargetMode="External" /><Relationship Type="http://schemas.openxmlformats.org/officeDocument/2006/relationships/hyperlink" Id="rId280" Target="https://www.ummhealth.org/services-treatments/center-mindfulness/mindfulness-programs/mbsr" TargetMode="External" /><Relationship Type="http://schemas.openxmlformats.org/officeDocument/2006/relationships/hyperlink" Id="rId245" Target="https://www.vde.com/en" TargetMode="External" /><Relationship Type="http://schemas.openxmlformats.org/officeDocument/2006/relationships/hyperlink" Id="rId246" Target="https://www.vde.com/standards-en" TargetMode="External" /><Relationship Type="http://schemas.openxmlformats.org/officeDocument/2006/relationships/hyperlink" Id="rId305" Target="https://www.who.int/activities/ensuring-a-coordinated-and-effective-mental-health-response-in-emergencies" TargetMode="External" /><Relationship Type="http://schemas.openxmlformats.org/officeDocument/2006/relationships/hyperlink" Id="rId273" Target="https://www.who.int/health-topics/mental-health" TargetMode="External" /><Relationship Type="http://schemas.openxmlformats.org/officeDocument/2006/relationships/hyperlink" Id="rId249" Target="https://www.who.int/health-topics/nutrition" TargetMode="External" /><Relationship Type="http://schemas.openxmlformats.org/officeDocument/2006/relationships/hyperlink" Id="rId312" Target="https://www.who.int/news-room/fact-sheets/detail/burns" TargetMode="External" /><Relationship Type="http://schemas.openxmlformats.org/officeDocument/2006/relationships/hyperlink" Id="rId275" Target="https://www.who.int/news-room/fact-sheets/detail/mental-health-in-emergencies" TargetMode="External" /><Relationship Type="http://schemas.openxmlformats.org/officeDocument/2006/relationships/hyperlink" Id="rId274" Target="https://www.who.int/news-room/fact-sheets/detail/mental-health-strengthening-our-response" TargetMode="External" /><Relationship Type="http://schemas.openxmlformats.org/officeDocument/2006/relationships/hyperlink" Id="rId276" Target="https://www.who.int/publications/i/item/9789240053052" TargetMode="External" /><Relationship Type="http://schemas.openxmlformats.org/officeDocument/2006/relationships/hyperlink" Id="rId257" Target="https://www.who.int/teams/environment-climate-change-and-health/water-sanitation-and-health/environmental-health-in-emergencies/humanitarian-emergencies" TargetMode="External" /><Relationship Type="http://schemas.openxmlformats.org/officeDocument/2006/relationships/hyperlink" Id="rId258" Target="https://www.who.int/teams/environment-climate-change-and-health/water-sanitation-and-health/environmental-health-in-emergencies/technical-notes-on-wash-in-emergencies" TargetMode="External" /><Relationship Type="http://schemas.openxmlformats.org/officeDocument/2006/relationships/hyperlink" Id="rId256" Target="https://www.who.int/teams/environment-climate-change-and-health/water-sanitation-and-health/water-safety-and-quality/drinking-water-quality-guidelines" TargetMode="External" /><Relationship Type="http://schemas.openxmlformats.org/officeDocument/2006/relationships/hyperlink" Id="rId265" Target="https://www.who.int/tools/child-growth-standards" TargetMode="External" /><Relationship Type="http://schemas.openxmlformats.org/officeDocument/2006/relationships/hyperlink" Id="rId266" Target="https://www.who.int/tools/child-growth-standards/standards/motor-development-milestones" TargetMode="External" /><Relationship Type="http://schemas.openxmlformats.org/officeDocument/2006/relationships/hyperlink" Id="rId271" Target="https://www.zerotothree.org/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Bathroom Emergency Guide</dc:title>
  <dc:creator/>
  <cp:keywords/>
  <dcterms:created xsi:type="dcterms:W3CDTF">2026-05-03T13:32:46Z</dcterms:created>
  <dcterms:modified xsi:type="dcterms:W3CDTF">2026-05-03T13:32:46Z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
    <vt:lpwstr>0</vt:lpwstr>
  </property>
  <property fmtid="{D5CDD505-2E9C-101B-9397-08002B2CF9AE}" pid="3" name="dependencies">
    <vt:lpwstr/>
  </property>
  <property fmtid="{D5CDD505-2E9C-101B-9397-08002B2CF9AE}" pid="4" name="last_updated">
    <vt:lpwstr>2026-05-03</vt:lpwstr>
  </property>
  <property fmtid="{D5CDD505-2E9C-101B-9397-08002B2CF9AE}" pid="5" name="revision">
    <vt:lpwstr>3.2.0</vt:lpwstr>
  </property>
  <property fmtid="{D5CDD505-2E9C-101B-9397-08002B2CF9AE}" pid="6" name="type">
    <vt:lpwstr>cover</vt:lpwstr>
  </property>
</Properties>
</file>