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00"/>
        <w:jc w:val="center"/>
      </w:pPr>
      <w:r>
        <w:rPr>
          <w:rFonts w:ascii="Calibri" w:hAnsi="Calibri"/>
          <w:b/>
          <w:color w:val="1E3A8A"/>
          <w:sz w:val="36"/>
        </w:rPr>
        <w:t>Comprehensive Comparative Analysis of 6 Foundational Papers &amp; Research-Grade Formulation for TriBioNode v2</w:t>
      </w:r>
    </w:p>
    <w:p>
      <w:pPr>
        <w:spacing w:before="0" w:after="100" w:line="283" w:lineRule="auto"/>
      </w:pPr>
      <w:r>
        <w:rPr>
          <w:rFonts w:ascii="Calibri" w:hAnsi="Calibri"/>
          <w:b/>
          <w:i w:val="0"/>
          <w:sz w:val="22"/>
        </w:rPr>
        <w:t>Author</w:t>
      </w:r>
      <w:r>
        <w:rPr>
          <w:rFonts w:ascii="Calibri" w:hAnsi="Calibri"/>
          <w:b w:val="0"/>
          <w:i w:val="0"/>
          <w:sz w:val="22"/>
        </w:rPr>
        <w:t>: Farhan Kabir Sifat</w:t>
      </w:r>
    </w:p>
    <w:p>
      <w:pPr>
        <w:spacing w:before="0" w:after="100" w:line="283" w:lineRule="auto"/>
      </w:pPr>
      <w:r>
        <w:rPr>
          <w:rFonts w:ascii="Calibri" w:hAnsi="Calibri"/>
          <w:b/>
          <w:i w:val="0"/>
          <w:sz w:val="22"/>
        </w:rPr>
        <w:t>Affiliation</w:t>
      </w:r>
      <w:r>
        <w:rPr>
          <w:rFonts w:ascii="Calibri" w:hAnsi="Calibri"/>
          <w:b w:val="0"/>
          <w:i w:val="0"/>
          <w:sz w:val="22"/>
        </w:rPr>
        <w:t>: Department of Computer Science and Engineering / Computational Biology</w:t>
      </w:r>
    </w:p>
    <w:p>
      <w:pPr>
        <w:spacing w:before="0" w:after="100" w:line="283" w:lineRule="auto"/>
      </w:pPr>
      <w:r>
        <w:rPr>
          <w:rFonts w:ascii="Calibri" w:hAnsi="Calibri"/>
          <w:b/>
          <w:i w:val="0"/>
          <w:sz w:val="22"/>
        </w:rPr>
        <w:t>Document Type</w:t>
      </w:r>
      <w:r>
        <w:rPr>
          <w:rFonts w:ascii="Calibri" w:hAnsi="Calibri"/>
          <w:b w:val="0"/>
          <w:i w:val="0"/>
          <w:sz w:val="22"/>
        </w:rPr>
        <w:t>: Thesis Core Chapter &amp; Publication Manuscript Draft</w:t>
      </w:r>
    </w:p>
    <w:p>
      <w:pPr>
        <w:spacing w:before="0" w:after="100" w:line="283" w:lineRule="auto"/>
      </w:pPr>
      <w:r>
        <w:rPr>
          <w:rFonts w:ascii="Calibri" w:hAnsi="Calibri"/>
          <w:b/>
          <w:i w:val="0"/>
          <w:sz w:val="22"/>
        </w:rPr>
        <w:t>Target Venues</w:t>
      </w:r>
      <w:r>
        <w:rPr>
          <w:rFonts w:ascii="Calibri" w:hAnsi="Calibri"/>
          <w:b w:val="0"/>
          <w:i w:val="0"/>
          <w:sz w:val="22"/>
        </w:rPr>
        <w:t xml:space="preserve">: </w:t>
      </w:r>
      <w:r>
        <w:rPr>
          <w:rFonts w:ascii="Calibri" w:hAnsi="Calibri"/>
          <w:b w:val="0"/>
          <w:i/>
          <w:sz w:val="22"/>
        </w:rPr>
        <w:t>Briefings in Bioinformatics</w:t>
      </w:r>
      <w:r>
        <w:rPr>
          <w:rFonts w:ascii="Calibri" w:hAnsi="Calibri"/>
          <w:b w:val="0"/>
          <w:i w:val="0"/>
          <w:sz w:val="22"/>
        </w:rPr>
        <w:t xml:space="preserve"> / </w:t>
      </w:r>
      <w:r>
        <w:rPr>
          <w:rFonts w:ascii="Calibri" w:hAnsi="Calibri"/>
          <w:b w:val="0"/>
          <w:i/>
          <w:sz w:val="22"/>
        </w:rPr>
        <w:t>IEEE Transactions on Computational Biology and Bioinformatics (TCBB)</w:t>
      </w:r>
      <w:r>
        <w:rPr>
          <w:rFonts w:ascii="Calibri" w:hAnsi="Calibri"/>
          <w:b w:val="0"/>
          <w:i w:val="0"/>
          <w:sz w:val="22"/>
        </w:rPr>
        <w:t xml:space="preserve"> / </w:t>
      </w:r>
      <w:r>
        <w:rPr>
          <w:rFonts w:ascii="Calibri" w:hAnsi="Calibri"/>
          <w:b w:val="0"/>
          <w:i/>
          <w:sz w:val="22"/>
        </w:rPr>
        <w:t>Journal of Chemical Information and Modeling (JCIM)</w:t>
      </w:r>
    </w:p>
    <w:p>
      <w:pPr>
        <w:spacing w:before="0" w:after="100" w:line="283" w:lineRule="auto"/>
      </w:pPr>
      <w:r>
        <w:rPr>
          <w:rFonts w:ascii="Calibri" w:hAnsi="Calibri"/>
          <w:b/>
          <w:i w:val="0"/>
          <w:sz w:val="22"/>
        </w:rPr>
        <w:t>Date</w:t>
      </w:r>
      <w:r>
        <w:rPr>
          <w:rFonts w:ascii="Calibri" w:hAnsi="Calibri"/>
          <w:b w:val="0"/>
          <w:i w:val="0"/>
          <w:sz w:val="22"/>
        </w:rPr>
        <w:t>: October 2026</w:t>
      </w:r>
    </w:p>
    <w:p>
      <w:pPr>
        <w:keepNext/>
        <w:spacing w:before="320" w:after="120"/>
      </w:pPr>
      <w:r>
        <w:rPr>
          <w:rFonts w:ascii="Calibri" w:hAnsi="Calibri"/>
          <w:b/>
          <w:color w:val="1E3A8A"/>
          <w:sz w:val="27"/>
        </w:rPr>
        <w:t>PART I: Deep Comparative Analysis of 6 Foundational Literature Papers</w:t>
      </w:r>
    </w:p>
    <w:p>
      <w:pPr>
        <w:spacing w:before="0" w:after="100" w:line="283" w:lineRule="auto"/>
      </w:pPr>
      <w:r>
        <w:rPr>
          <w:rFonts w:ascii="Calibri" w:hAnsi="Calibri"/>
          <w:b w:val="0"/>
          <w:i w:val="0"/>
          <w:sz w:val="22"/>
        </w:rPr>
        <w:t xml:space="preserve">This section provides a rigorous, multi-dimensional analysis of the </w:t>
      </w:r>
      <w:r>
        <w:rPr>
          <w:rFonts w:ascii="Calibri" w:hAnsi="Calibri"/>
          <w:b/>
          <w:i w:val="0"/>
          <w:sz w:val="22"/>
        </w:rPr>
        <w:t>Introduction</w:t>
      </w:r>
      <w:r>
        <w:rPr>
          <w:rFonts w:ascii="Calibri" w:hAnsi="Calibri"/>
          <w:b w:val="0"/>
          <w:i w:val="0"/>
          <w:sz w:val="22"/>
        </w:rPr>
        <w:t xml:space="preserve">, </w:t>
      </w:r>
      <w:r>
        <w:rPr>
          <w:rFonts w:ascii="Calibri" w:hAnsi="Calibri"/>
          <w:b/>
          <w:i w:val="0"/>
          <w:sz w:val="22"/>
        </w:rPr>
        <w:t>Methodology</w:t>
      </w:r>
      <w:r>
        <w:rPr>
          <w:rFonts w:ascii="Calibri" w:hAnsi="Calibri"/>
          <w:b w:val="0"/>
          <w:i w:val="0"/>
          <w:sz w:val="22"/>
        </w:rPr>
        <w:t xml:space="preserve">, and </w:t>
      </w:r>
      <w:r>
        <w:rPr>
          <w:rFonts w:ascii="Calibri" w:hAnsi="Calibri"/>
          <w:b/>
          <w:i w:val="0"/>
          <w:sz w:val="22"/>
        </w:rPr>
        <w:t>Results &amp; Discussion</w:t>
      </w:r>
      <w:r>
        <w:rPr>
          <w:rFonts w:ascii="Calibri" w:hAnsi="Calibri"/>
          <w:b w:val="0"/>
          <w:i w:val="0"/>
          <w:sz w:val="22"/>
        </w:rPr>
        <w:t xml:space="preserve"> across the six foundational reference papers that establish the theoretical landscape for multi-modal molecular property prediction.</w:t>
      </w:r>
    </w:p>
    <w:p>
      <w:pPr>
        <w:keepNext/>
        <w:spacing w:before="260" w:after="80"/>
      </w:pPr>
      <w:r>
        <w:rPr>
          <w:rFonts w:ascii="Calibri" w:hAnsi="Calibri"/>
          <w:b/>
          <w:color w:val="2563EB"/>
          <w:sz w:val="24"/>
        </w:rPr>
        <w:t>1. Paper 1: AEGNN-M (IEEE JBHI 2025)</w:t>
      </w:r>
    </w:p>
    <w:p>
      <w:pPr>
        <w:spacing w:before="0" w:after="100" w:line="283" w:lineRule="auto"/>
      </w:pPr>
      <w:r>
        <w:rPr>
          <w:rFonts w:ascii="Calibri" w:hAnsi="Calibri"/>
          <w:b w:val="0"/>
          <w:i w:val="0"/>
          <w:sz w:val="22"/>
        </w:rPr>
        <w:t xml:space="preserve">&gt; </w:t>
      </w:r>
      <w:r>
        <w:rPr>
          <w:rFonts w:ascii="Calibri" w:hAnsi="Calibri"/>
          <w:b/>
          <w:i w:val="0"/>
          <w:sz w:val="22"/>
        </w:rPr>
        <w:t>Title</w:t>
      </w:r>
      <w:r>
        <w:rPr>
          <w:rFonts w:ascii="Calibri" w:hAnsi="Calibri"/>
          <w:b w:val="0"/>
          <w:i w:val="0"/>
          <w:sz w:val="22"/>
        </w:rPr>
        <w:t xml:space="preserve">: </w:t>
      </w:r>
      <w:r>
        <w:rPr>
          <w:rFonts w:ascii="Calibri" w:hAnsi="Calibri"/>
          <w:b w:val="0"/>
          <w:i/>
          <w:sz w:val="22"/>
        </w:rPr>
        <w:t>AEGNN-M: A 3D Graph-Spatial Co-Representation Model for Molecular Property Prediction</w:t>
      </w:r>
    </w:p>
    <w:p>
      <w:pPr>
        <w:spacing w:before="0" w:after="100" w:line="283" w:lineRule="auto"/>
      </w:pPr>
      <w:r>
        <w:rPr>
          <w:rFonts w:ascii="Calibri" w:hAnsi="Calibri"/>
          <w:b w:val="0"/>
          <w:i w:val="0"/>
          <w:sz w:val="22"/>
        </w:rPr>
        <w:t xml:space="preserve">&gt; </w:t>
      </w:r>
      <w:r>
        <w:rPr>
          <w:rFonts w:ascii="Calibri" w:hAnsi="Calibri"/>
          <w:b/>
          <w:i w:val="0"/>
          <w:sz w:val="22"/>
        </w:rPr>
        <w:t>Authors</w:t>
      </w:r>
      <w:r>
        <w:rPr>
          <w:rFonts w:ascii="Calibri" w:hAnsi="Calibri"/>
          <w:b w:val="0"/>
          <w:i w:val="0"/>
          <w:sz w:val="22"/>
        </w:rPr>
        <w:t>: Lijun Cai, Yuling He, Xiangzheng Fu, Linlin Zhuo, Quan Zou, Xiaojun Yao</w:t>
      </w:r>
    </w:p>
    <w:p>
      <w:pPr>
        <w:spacing w:before="0" w:after="100" w:line="283" w:lineRule="auto"/>
      </w:pPr>
      <w:r>
        <w:rPr>
          <w:rFonts w:ascii="Calibri" w:hAnsi="Calibri"/>
          <w:b w:val="0"/>
          <w:i w:val="0"/>
          <w:sz w:val="22"/>
        </w:rPr>
        <w:t xml:space="preserve">&gt; </w:t>
      </w:r>
      <w:r>
        <w:rPr>
          <w:rFonts w:ascii="Calibri" w:hAnsi="Calibri"/>
          <w:b/>
          <w:i w:val="0"/>
          <w:sz w:val="22"/>
        </w:rPr>
        <w:t>Venue</w:t>
      </w:r>
      <w:r>
        <w:rPr>
          <w:rFonts w:ascii="Calibri" w:hAnsi="Calibri"/>
          <w:b w:val="0"/>
          <w:i w:val="0"/>
          <w:sz w:val="22"/>
        </w:rPr>
        <w:t xml:space="preserve">: </w:t>
      </w:r>
      <w:r>
        <w:rPr>
          <w:rFonts w:ascii="Calibri" w:hAnsi="Calibri"/>
          <w:b w:val="0"/>
          <w:i/>
          <w:sz w:val="22"/>
        </w:rPr>
        <w:t>IEEE Journal of Biomedical and Health Informatics</w:t>
      </w:r>
      <w:r>
        <w:rPr>
          <w:rFonts w:ascii="Calibri" w:hAnsi="Calibri"/>
          <w:b w:val="0"/>
          <w:i w:val="0"/>
          <w:sz w:val="22"/>
        </w:rPr>
        <w:t>, Vol. 29, No. 3, March 2025.</w:t>
      </w:r>
    </w:p>
    <w:p>
      <w:pPr>
        <w:keepNext/>
        <w:spacing w:before="200" w:after="60"/>
      </w:pPr>
      <w:r>
        <w:rPr>
          <w:rFonts w:ascii="Calibri" w:hAnsi="Calibri"/>
          <w:b/>
          <w:color w:val="1E293B"/>
          <w:sz w:val="22"/>
        </w:rPr>
        <w:t>1.1 Introduction Analysis</w:t>
      </w:r>
    </w:p>
    <w:p>
      <w:pPr>
        <w:pStyle w:val="ListBullet"/>
        <w:spacing w:before="20" w:after="40" w:line="276" w:lineRule="auto"/>
      </w:pPr>
      <w:r>
        <w:rPr>
          <w:rFonts w:ascii="Calibri" w:hAnsi="Calibri"/>
          <w:b/>
          <w:i w:val="0"/>
          <w:sz w:val="22"/>
        </w:rPr>
        <w:t>Core Problem</w:t>
      </w:r>
      <w:r>
        <w:rPr>
          <w:rFonts w:ascii="Calibri" w:hAnsi="Calibri"/>
          <w:b w:val="0"/>
          <w:i w:val="0"/>
          <w:sz w:val="22"/>
        </w:rPr>
        <w:t xml:space="preserve">: Traditional 1D sequence models (SMILES) and 2D topological graph neural networks (GNNs) operate solely on covalent connectivity graphs </w:t>
      </w:r>
      <w:r>
        <w:rPr>
          <w:rFonts w:ascii="Cambria Math" w:hAnsi="Cambria Math"/>
          <w:i/>
          <w:sz w:val="22"/>
        </w:rPr>
        <w:t>G=(V, E)</w:t>
      </w:r>
      <w:r>
        <w:rPr>
          <w:rFonts w:ascii="Calibri" w:hAnsi="Calibri"/>
          <w:b w:val="0"/>
          <w:i w:val="0"/>
          <w:sz w:val="22"/>
        </w:rPr>
        <w:t>, discarding critical 3D spatial conformation coordinates (</w:t>
      </w:r>
      <w:r>
        <w:rPr>
          <w:rFonts w:ascii="Cambria Math" w:hAnsi="Cambria Math"/>
          <w:i/>
          <w:sz w:val="22"/>
        </w:rPr>
        <w:t>\mathbf{R} \in \mathbb{R}^{N \times 3}</w:t>
      </w:r>
      <w:r>
        <w:rPr>
          <w:rFonts w:ascii="Calibri" w:hAnsi="Calibri"/>
          <w:b w:val="0"/>
          <w:i w:val="0"/>
          <w:sz w:val="22"/>
        </w:rPr>
        <w:t>). Consequently, they fail to resolve stereoisomerism, chirality, non-covalent intramolecular steric clashes, and spatial pharmacophoric arrangements that dictate receptor-ligand binding kinetics.</w:t>
      </w:r>
    </w:p>
    <w:p>
      <w:pPr>
        <w:pStyle w:val="ListBullet"/>
        <w:spacing w:before="20" w:after="40" w:line="276" w:lineRule="auto"/>
      </w:pPr>
      <w:r>
        <w:rPr>
          <w:rFonts w:ascii="Calibri" w:hAnsi="Calibri"/>
          <w:b/>
          <w:i w:val="0"/>
          <w:sz w:val="22"/>
        </w:rPr>
        <w:t>Critique of Prior Art</w:t>
      </w:r>
      <w:r>
        <w:rPr>
          <w:rFonts w:ascii="Calibri" w:hAnsi="Calibri"/>
          <w:b w:val="0"/>
          <w:i w:val="0"/>
          <w:sz w:val="22"/>
        </w:rPr>
        <w:t xml:space="preserve">: Standard 3D networks (e.g., SchNet, DimeNet) either incur extreme computational complexity </w:t>
      </w:r>
      <w:r>
        <w:rPr>
          <w:rFonts w:ascii="Cambria Math" w:hAnsi="Cambria Math"/>
          <w:i/>
          <w:sz w:val="22"/>
        </w:rPr>
        <w:t>\mathcal{O}(N^3)</w:t>
      </w:r>
      <w:r>
        <w:rPr>
          <w:rFonts w:ascii="Calibri" w:hAnsi="Calibri"/>
          <w:b w:val="0"/>
          <w:i w:val="0"/>
          <w:sz w:val="22"/>
        </w:rPr>
        <w:t xml:space="preserve"> via angular triplet calculations or fail to preserve </w:t>
      </w:r>
      <w:r>
        <w:rPr>
          <w:rFonts w:ascii="Cambria Math" w:hAnsi="Cambria Math"/>
          <w:i/>
          <w:sz w:val="22"/>
        </w:rPr>
        <w:t>E(3)</w:t>
      </w:r>
      <w:r>
        <w:rPr>
          <w:rFonts w:ascii="Calibri" w:hAnsi="Calibri"/>
          <w:b w:val="0"/>
          <w:i w:val="0"/>
          <w:sz w:val="22"/>
        </w:rPr>
        <w:t>-equivariance (invariance to Euclidean rotations and translations), leading to orientation-dependent instability during virtual screening.</w:t>
      </w:r>
    </w:p>
    <w:p>
      <w:pPr>
        <w:pStyle w:val="ListBullet"/>
        <w:spacing w:before="20" w:after="40" w:line="276" w:lineRule="auto"/>
      </w:pPr>
      <w:r>
        <w:rPr>
          <w:rFonts w:ascii="Calibri" w:hAnsi="Calibri"/>
          <w:b/>
          <w:i w:val="0"/>
          <w:sz w:val="22"/>
        </w:rPr>
        <w:t>Stated Contribution</w:t>
      </w:r>
      <w:r>
        <w:rPr>
          <w:rFonts w:ascii="Calibri" w:hAnsi="Calibri"/>
          <w:b w:val="0"/>
          <w:i w:val="0"/>
          <w:sz w:val="22"/>
        </w:rPr>
        <w:t xml:space="preserve">: Proposes AEGNN-M, an end-to-end framework uniting a 2D topological graph encoder with an </w:t>
      </w:r>
      <w:r>
        <w:rPr>
          <w:rFonts w:ascii="Cambria Math" w:hAnsi="Cambria Math"/>
          <w:i/>
          <w:sz w:val="22"/>
        </w:rPr>
        <w:t>E(3)</w:t>
      </w:r>
      <w:r>
        <w:rPr>
          <w:rFonts w:ascii="Calibri" w:hAnsi="Calibri"/>
          <w:b w:val="0"/>
          <w:i w:val="0"/>
          <w:sz w:val="22"/>
        </w:rPr>
        <w:t>-Equivariant Graph Neural Network (EGNN) and Spatial Multi-Head Attention, bridging flat chemical topology with 3D coordinate geometry.</w:t>
      </w:r>
    </w:p>
    <w:p>
      <w:pPr>
        <w:keepNext/>
        <w:spacing w:before="200" w:after="60"/>
      </w:pPr>
      <w:r>
        <w:rPr>
          <w:rFonts w:ascii="Calibri" w:hAnsi="Calibri"/>
          <w:b/>
          <w:color w:val="1E293B"/>
          <w:sz w:val="22"/>
        </w:rPr>
        <w:t>1.2 Methodology Analysis</w:t>
      </w:r>
    </w:p>
    <w:p>
      <w:pPr>
        <w:pStyle w:val="ListBullet"/>
        <w:spacing w:before="20" w:after="40" w:line="276" w:lineRule="auto"/>
      </w:pPr>
      <w:r>
        <w:rPr>
          <w:rFonts w:ascii="Calibri" w:hAnsi="Calibri"/>
          <w:b/>
          <w:i w:val="0"/>
          <w:sz w:val="22"/>
        </w:rPr>
        <w:t>Representations</w:t>
      </w:r>
      <w:r>
        <w:rPr>
          <w:rFonts w:ascii="Calibri" w:hAnsi="Calibri"/>
          <w:b w:val="0"/>
          <w:i w:val="0"/>
          <w:sz w:val="22"/>
        </w:rPr>
        <w:t>:</w:t>
      </w:r>
    </w:p>
    <w:p>
      <w:pPr>
        <w:pStyle w:val="ListNumber"/>
        <w:spacing w:before="20" w:after="40" w:line="276" w:lineRule="auto"/>
      </w:pPr>
      <w:r>
        <w:rPr>
          <w:rFonts w:ascii="Calibri" w:hAnsi="Calibri"/>
          <w:b w:val="0"/>
          <w:i w:val="0"/>
          <w:sz w:val="22"/>
        </w:rPr>
        <w:t xml:space="preserve">2D Graph </w:t>
      </w:r>
      <w:r>
        <w:rPr>
          <w:rFonts w:ascii="Cambria Math" w:hAnsi="Cambria Math"/>
          <w:i/>
          <w:sz w:val="22"/>
        </w:rPr>
        <w:t>G=(V, E)</w:t>
      </w:r>
      <w:r>
        <w:rPr>
          <w:rFonts w:ascii="Calibri" w:hAnsi="Calibri"/>
          <w:b w:val="0"/>
          <w:i w:val="0"/>
          <w:sz w:val="22"/>
        </w:rPr>
        <w:t xml:space="preserve"> with atom feature vectors </w:t>
      </w:r>
      <w:r>
        <w:rPr>
          <w:rFonts w:ascii="Cambria Math" w:hAnsi="Cambria Math"/>
          <w:i/>
          <w:sz w:val="22"/>
        </w:rPr>
        <w:t>\mathbf{h}_i^{(0)} \in \mathbb{R}^{d}</w:t>
      </w:r>
      <w:r>
        <w:rPr>
          <w:rFonts w:ascii="Calibri" w:hAnsi="Calibri"/>
          <w:b w:val="0"/>
          <w:i w:val="0"/>
          <w:sz w:val="22"/>
        </w:rPr>
        <w:t xml:space="preserve"> and bond features </w:t>
      </w:r>
      <w:r>
        <w:rPr>
          <w:rFonts w:ascii="Cambria Math" w:hAnsi="Cambria Math"/>
          <w:i/>
          <w:sz w:val="22"/>
        </w:rPr>
        <w:t>\mathbf{e}_{ij} \in \mathbb{R}^{d_e}</w:t>
      </w:r>
      <w:r>
        <w:rPr>
          <w:rFonts w:ascii="Calibri" w:hAnsi="Calibri"/>
          <w:b w:val="0"/>
          <w:i w:val="0"/>
          <w:sz w:val="22"/>
        </w:rPr>
        <w:t>.</w:t>
      </w:r>
    </w:p>
    <w:p>
      <w:pPr>
        <w:pStyle w:val="ListNumber"/>
        <w:spacing w:before="20" w:after="40" w:line="276" w:lineRule="auto"/>
      </w:pPr>
      <w:r>
        <w:rPr>
          <w:rFonts w:ascii="Calibri" w:hAnsi="Calibri"/>
          <w:b w:val="0"/>
          <w:i w:val="0"/>
          <w:sz w:val="22"/>
        </w:rPr>
        <w:t xml:space="preserve">3D Conformation coordinates </w:t>
      </w:r>
      <w:r>
        <w:rPr>
          <w:rFonts w:ascii="Cambria Math" w:hAnsi="Cambria Math"/>
          <w:i/>
          <w:sz w:val="22"/>
        </w:rPr>
        <w:t>\mathbf{x}_i \in \mathbb{R}^3</w:t>
      </w:r>
      <w:r>
        <w:rPr>
          <w:rFonts w:ascii="Calibri" w:hAnsi="Calibri"/>
          <w:b w:val="0"/>
          <w:i w:val="0"/>
          <w:sz w:val="22"/>
        </w:rPr>
        <w:t xml:space="preserve"> optimized via RDKit MMFF94 force-field.</w:t>
      </w:r>
    </w:p>
    <w:p>
      <w:pPr>
        <w:pStyle w:val="ListBullet"/>
        <w:spacing w:before="20" w:after="40" w:line="276" w:lineRule="auto"/>
      </w:pPr>
      <w:r>
        <w:rPr>
          <w:rFonts w:ascii="Calibri" w:hAnsi="Calibri"/>
          <w:b/>
          <w:i w:val="0"/>
          <w:sz w:val="22"/>
        </w:rPr>
        <w:t>Equivariant Message Passing</w:t>
      </w:r>
      <w:r>
        <w:rPr>
          <w:rFonts w:ascii="Calibri" w:hAnsi="Calibri"/>
          <w:b w:val="0"/>
          <w:i w:val="0"/>
          <w:sz w:val="22"/>
        </w:rPr>
        <w:t>:</w:t>
      </w:r>
    </w:p>
    <w:p>
      <w:pPr>
        <w:spacing w:before="100" w:after="100"/>
        <w:jc w:val="center"/>
      </w:pPr>
      <w:r>
        <w:rPr>
          <w:rFonts w:ascii="Cambria Math" w:hAnsi="Cambria Math"/>
          <w:i/>
          <w:color w:val="0F172A"/>
          <w:sz w:val="21"/>
        </w:rPr>
        <w:t>\mathbf{m}_{ij} = \phi_e\left(\mathbf{h}_i^{(l)}, \mathbf{h}_j^{(l)}, \|\mathbf{x}_i^{(l)} - \mathbf{x}_j^{(l)}\|^2, \mathbf{e}_{ij}\right)</w:t>
      </w:r>
    </w:p>
    <w:p>
      <w:pPr>
        <w:spacing w:before="100" w:after="100"/>
        <w:jc w:val="center"/>
      </w:pPr>
      <w:r>
        <w:rPr>
          <w:rFonts w:ascii="Cambria Math" w:hAnsi="Cambria Math"/>
          <w:i/>
          <w:color w:val="0F172A"/>
          <w:sz w:val="21"/>
        </w:rPr>
        <w:t>\mathbf{x}_i^{(l+1)} = \mathbf{x}_i^{(l)} + \sum_{j \in \mathcal{N}(i)} \frac{\mathbf{x}_i^{(l)} - \mathbf{x}_j^{(l)}}{\|\mathbf{x}_i^{(l)} - \mathbf{x}_j^{(l)}\| + \epsilon} \phi_x\left(\mathbf{m}_{ij}\right)</w:t>
      </w:r>
    </w:p>
    <w:p>
      <w:pPr>
        <w:spacing w:before="100" w:after="100"/>
        <w:jc w:val="center"/>
      </w:pPr>
      <w:r>
        <w:rPr>
          <w:rFonts w:ascii="Cambria Math" w:hAnsi="Cambria Math"/>
          <w:i/>
          <w:color w:val="0F172A"/>
          <w:sz w:val="21"/>
        </w:rPr>
        <w:t>\mathbf{h}_i^{(l+1)} = \phi_h\left(\mathbf{h}_i^{(l)}, \sum_{j \in \mathcal{N}(i)} \mathbf{m}_{ij}\right)</w:t>
      </w:r>
    </w:p>
    <w:p>
      <w:pPr>
        <w:pStyle w:val="ListBullet"/>
        <w:spacing w:before="20" w:after="40" w:line="276" w:lineRule="auto"/>
      </w:pPr>
      <w:r>
        <w:rPr>
          <w:rFonts w:ascii="Calibri" w:hAnsi="Calibri"/>
          <w:b/>
          <w:i w:val="0"/>
          <w:sz w:val="22"/>
        </w:rPr>
        <w:t>Fusion Mechanism</w:t>
      </w:r>
      <w:r>
        <w:rPr>
          <w:rFonts w:ascii="Calibri" w:hAnsi="Calibri"/>
          <w:b w:val="0"/>
          <w:i w:val="0"/>
          <w:sz w:val="22"/>
        </w:rPr>
        <w:t>: Multi-head spatial attention merges node hidden states with 3D interatomic distance matrices before global pooling.</w:t>
      </w:r>
    </w:p>
    <w:p>
      <w:pPr>
        <w:pStyle w:val="ListBullet"/>
        <w:spacing w:before="20" w:after="40" w:line="276" w:lineRule="auto"/>
      </w:pPr>
      <w:r>
        <w:rPr>
          <w:rFonts w:ascii="Calibri" w:hAnsi="Calibri"/>
          <w:b/>
          <w:i w:val="0"/>
          <w:sz w:val="22"/>
        </w:rPr>
        <w:t>Loss Objective</w:t>
      </w:r>
      <w:r>
        <w:rPr>
          <w:rFonts w:ascii="Calibri" w:hAnsi="Calibri"/>
          <w:b w:val="0"/>
          <w:i w:val="0"/>
          <w:sz w:val="22"/>
        </w:rPr>
        <w:t xml:space="preserve">: Supervised cross-entropy / MSE loss: </w:t>
      </w:r>
      <w:r>
        <w:rPr>
          <w:rFonts w:ascii="Cambria Math" w:hAnsi="Cambria Math"/>
          <w:i/>
          <w:sz w:val="22"/>
        </w:rPr>
        <w:t>\mathcal{L}_{\text{task}} = \frac{1}{B}\sum_{b=1}^B \ell(y_b, \hat{y}_b)</w:t>
      </w:r>
      <w:r>
        <w:rPr>
          <w:rFonts w:ascii="Calibri" w:hAnsi="Calibri"/>
          <w:b w:val="0"/>
          <w:i w:val="0"/>
          <w:sz w:val="22"/>
        </w:rPr>
        <w:t>.</w:t>
      </w:r>
    </w:p>
    <w:p>
      <w:pPr>
        <w:keepNext/>
        <w:spacing w:before="200" w:after="60"/>
      </w:pPr>
      <w:r>
        <w:rPr>
          <w:rFonts w:ascii="Calibri" w:hAnsi="Calibri"/>
          <w:b/>
          <w:color w:val="1E293B"/>
          <w:sz w:val="22"/>
        </w:rPr>
        <w:t>1.3 Results &amp; Limitations</w:t>
      </w:r>
    </w:p>
    <w:p>
      <w:pPr>
        <w:pStyle w:val="ListBullet"/>
        <w:spacing w:before="20" w:after="40" w:line="276" w:lineRule="auto"/>
      </w:pPr>
      <w:r>
        <w:rPr>
          <w:rFonts w:ascii="Calibri" w:hAnsi="Calibri"/>
          <w:b/>
          <w:i w:val="0"/>
          <w:sz w:val="22"/>
        </w:rPr>
        <w:t>Empirical Performance</w:t>
      </w:r>
      <w:r>
        <w:rPr>
          <w:rFonts w:ascii="Calibri" w:hAnsi="Calibri"/>
          <w:b w:val="0"/>
          <w:i w:val="0"/>
          <w:sz w:val="22"/>
        </w:rPr>
        <w:t>:</w:t>
      </w:r>
    </w:p>
    <w:p>
      <w:pPr>
        <w:pStyle w:val="ListBullet"/>
        <w:spacing w:before="20" w:after="40" w:line="276" w:lineRule="auto"/>
      </w:pPr>
      <w:r>
        <w:rPr>
          <w:rFonts w:ascii="Calibri" w:hAnsi="Calibri"/>
          <w:b w:val="0"/>
          <w:i w:val="0"/>
          <w:sz w:val="22"/>
        </w:rPr>
        <w:t>MoleculeNet Classification: BBBP ROC-AUC = 91.8%, BACE = 85.9%, ClinTox = 91.2%, Tox21 = 82.4%.</w:t>
      </w:r>
    </w:p>
    <w:p>
      <w:pPr>
        <w:pStyle w:val="ListBullet"/>
        <w:spacing w:before="20" w:after="40" w:line="276" w:lineRule="auto"/>
      </w:pPr>
      <w:r>
        <w:rPr>
          <w:rFonts w:ascii="Calibri" w:hAnsi="Calibri"/>
          <w:b w:val="0"/>
          <w:i w:val="0"/>
          <w:sz w:val="22"/>
        </w:rPr>
        <w:t>Regression: Delaney ESOL RMSE = 0.612, FreeSolv RMSE = 0.984, Lipophilicity RMSE = 0.635.</w:t>
      </w:r>
    </w:p>
    <w:p>
      <w:pPr>
        <w:pStyle w:val="ListBullet"/>
        <w:spacing w:before="20" w:after="40" w:line="276" w:lineRule="auto"/>
      </w:pPr>
      <w:r>
        <w:rPr>
          <w:rFonts w:ascii="Calibri" w:hAnsi="Calibri"/>
          <w:b/>
          <w:i w:val="0"/>
          <w:sz w:val="22"/>
        </w:rPr>
        <w:t>Ablation Insights</w:t>
      </w:r>
      <w:r>
        <w:rPr>
          <w:rFonts w:ascii="Calibri" w:hAnsi="Calibri"/>
          <w:b w:val="0"/>
          <w:i w:val="0"/>
          <w:sz w:val="22"/>
        </w:rPr>
        <w:t>: Stripping 3D coordinates degraded regression accuracy significantly on ESOL and Lipophilicity, proving that steric volume and solvent-accessible surface area require continuous 3D coordinate modeling.</w:t>
      </w:r>
    </w:p>
    <w:p>
      <w:pPr>
        <w:pStyle w:val="ListBullet"/>
        <w:spacing w:before="20" w:after="40" w:line="276" w:lineRule="auto"/>
      </w:pPr>
      <w:r>
        <w:rPr>
          <w:rFonts w:ascii="Calibri" w:hAnsi="Calibri"/>
          <w:b/>
          <w:i w:val="0"/>
          <w:sz w:val="22"/>
        </w:rPr>
        <w:t>Unresolved Gaps</w:t>
      </w:r>
      <w:r>
        <w:rPr>
          <w:rFonts w:ascii="Calibri" w:hAnsi="Calibri"/>
          <w:b w:val="0"/>
          <w:i w:val="0"/>
          <w:sz w:val="22"/>
        </w:rPr>
        <w:t>:</w:t>
      </w:r>
    </w:p>
    <w:p>
      <w:pPr>
        <w:pStyle w:val="ListNumber"/>
        <w:spacing w:before="20" w:after="40" w:line="276" w:lineRule="auto"/>
      </w:pPr>
      <w:r>
        <w:rPr>
          <w:rFonts w:ascii="Calibri" w:hAnsi="Calibri"/>
          <w:b w:val="0"/>
          <w:i w:val="0"/>
          <w:sz w:val="22"/>
        </w:rPr>
        <w:t>No linguistic pre-trained context (ignores million-scale SMILES corpora like ChemBERTa).</w:t>
      </w:r>
    </w:p>
    <w:p>
      <w:pPr>
        <w:pStyle w:val="ListNumber"/>
        <w:spacing w:before="20" w:after="40" w:line="276" w:lineRule="auto"/>
      </w:pPr>
      <w:r>
        <w:rPr>
          <w:rFonts w:ascii="Calibri" w:hAnsi="Calibri"/>
          <w:b w:val="0"/>
          <w:i w:val="0"/>
          <w:sz w:val="22"/>
        </w:rPr>
        <w:t>Lacks meso-scale substructure / functional motif graph modeling.</w:t>
      </w:r>
    </w:p>
    <w:p>
      <w:pPr>
        <w:pStyle w:val="ListNumber"/>
        <w:spacing w:before="20" w:after="40" w:line="276" w:lineRule="auto"/>
      </w:pPr>
      <w:r>
        <w:rPr>
          <w:rFonts w:ascii="Calibri" w:hAnsi="Calibri"/>
          <w:b w:val="0"/>
          <w:i w:val="0"/>
          <w:sz w:val="22"/>
        </w:rPr>
        <w:t>Static concatenation fusion without dynamic adaptive weighting or uncertainty calibration.</w:t>
      </w:r>
    </w:p>
    <w:p>
      <w:pPr>
        <w:keepNext/>
        <w:spacing w:before="260" w:after="80"/>
      </w:pPr>
      <w:r>
        <w:rPr>
          <w:rFonts w:ascii="Calibri" w:hAnsi="Calibri"/>
          <w:b/>
          <w:color w:val="2563EB"/>
          <w:sz w:val="24"/>
        </w:rPr>
        <w:t>2. Paper 2: MvMRL (Briefings in Bioinformatics 2024)</w:t>
      </w:r>
    </w:p>
    <w:p>
      <w:pPr>
        <w:spacing w:before="0" w:after="100" w:line="283" w:lineRule="auto"/>
      </w:pPr>
      <w:r>
        <w:rPr>
          <w:rFonts w:ascii="Calibri" w:hAnsi="Calibri"/>
          <w:b w:val="0"/>
          <w:i w:val="0"/>
          <w:sz w:val="22"/>
        </w:rPr>
        <w:t xml:space="preserve">&gt; </w:t>
      </w:r>
      <w:r>
        <w:rPr>
          <w:rFonts w:ascii="Calibri" w:hAnsi="Calibri"/>
          <w:b/>
          <w:i w:val="0"/>
          <w:sz w:val="22"/>
        </w:rPr>
        <w:t>Title</w:t>
      </w:r>
      <w:r>
        <w:rPr>
          <w:rFonts w:ascii="Calibri" w:hAnsi="Calibri"/>
          <w:b w:val="0"/>
          <w:i w:val="0"/>
          <w:sz w:val="22"/>
        </w:rPr>
        <w:t xml:space="preserve">: </w:t>
      </w:r>
      <w:r>
        <w:rPr>
          <w:rFonts w:ascii="Calibri" w:hAnsi="Calibri"/>
          <w:b w:val="0"/>
          <w:i/>
          <w:sz w:val="22"/>
        </w:rPr>
        <w:t>MvMRL: A Multi-View Molecular Representation Learning Method for Molecular Property Prediction</w:t>
      </w:r>
    </w:p>
    <w:p>
      <w:pPr>
        <w:spacing w:before="0" w:after="100" w:line="283" w:lineRule="auto"/>
      </w:pPr>
      <w:r>
        <w:rPr>
          <w:rFonts w:ascii="Calibri" w:hAnsi="Calibri"/>
          <w:b w:val="0"/>
          <w:i w:val="0"/>
          <w:sz w:val="22"/>
        </w:rPr>
        <w:t xml:space="preserve">&gt; </w:t>
      </w:r>
      <w:r>
        <w:rPr>
          <w:rFonts w:ascii="Calibri" w:hAnsi="Calibri"/>
          <w:b/>
          <w:i w:val="0"/>
          <w:sz w:val="22"/>
        </w:rPr>
        <w:t>Authors</w:t>
      </w:r>
      <w:r>
        <w:rPr>
          <w:rFonts w:ascii="Calibri" w:hAnsi="Calibri"/>
          <w:b w:val="0"/>
          <w:i w:val="0"/>
          <w:sz w:val="22"/>
        </w:rPr>
        <w:t>: Ru Zhang, Yanmei Lin, Yijia Wu, Lei Deng, Hao Zhang, Mingzhi Liao, Yuzhong Peng</w:t>
      </w:r>
    </w:p>
    <w:p>
      <w:pPr>
        <w:spacing w:before="0" w:after="100" w:line="283" w:lineRule="auto"/>
      </w:pPr>
      <w:r>
        <w:rPr>
          <w:rFonts w:ascii="Calibri" w:hAnsi="Calibri"/>
          <w:b w:val="0"/>
          <w:i w:val="0"/>
          <w:sz w:val="22"/>
        </w:rPr>
        <w:t xml:space="preserve">&gt; </w:t>
      </w:r>
      <w:r>
        <w:rPr>
          <w:rFonts w:ascii="Calibri" w:hAnsi="Calibri"/>
          <w:b/>
          <w:i w:val="0"/>
          <w:sz w:val="22"/>
        </w:rPr>
        <w:t>Venue</w:t>
      </w:r>
      <w:r>
        <w:rPr>
          <w:rFonts w:ascii="Calibri" w:hAnsi="Calibri"/>
          <w:b w:val="0"/>
          <w:i w:val="0"/>
          <w:sz w:val="22"/>
        </w:rPr>
        <w:t xml:space="preserve">: </w:t>
      </w:r>
      <w:r>
        <w:rPr>
          <w:rFonts w:ascii="Calibri" w:hAnsi="Calibri"/>
          <w:b w:val="0"/>
          <w:i/>
          <w:sz w:val="22"/>
        </w:rPr>
        <w:t>Briefings in Bioinformatics</w:t>
      </w:r>
      <w:r>
        <w:rPr>
          <w:rFonts w:ascii="Calibri" w:hAnsi="Calibri"/>
          <w:b w:val="0"/>
          <w:i w:val="0"/>
          <w:sz w:val="22"/>
        </w:rPr>
        <w:t>, Vol. 25, No. 4, 2024 (</w:t>
      </w:r>
      <w:r>
        <w:rPr>
          <w:rFonts w:ascii="Consolas" w:hAnsi="Consolas"/>
          <w:color w:val="B4320A"/>
          <w:sz w:val="20"/>
        </w:rPr>
        <w:t>bbae298</w:t>
      </w:r>
      <w:r>
        <w:rPr>
          <w:rFonts w:ascii="Calibri" w:hAnsi="Calibri"/>
          <w:b w:val="0"/>
          <w:i w:val="0"/>
          <w:sz w:val="22"/>
        </w:rPr>
        <w:t>).</w:t>
      </w:r>
    </w:p>
    <w:p>
      <w:pPr>
        <w:keepNext/>
        <w:spacing w:before="200" w:after="60"/>
      </w:pPr>
      <w:r>
        <w:rPr>
          <w:rFonts w:ascii="Calibri" w:hAnsi="Calibri"/>
          <w:b/>
          <w:color w:val="1E293B"/>
          <w:sz w:val="22"/>
        </w:rPr>
        <w:t>2.1 Introduction Analysis</w:t>
      </w:r>
    </w:p>
    <w:p>
      <w:pPr>
        <w:pStyle w:val="ListBullet"/>
        <w:spacing w:before="20" w:after="40" w:line="276" w:lineRule="auto"/>
      </w:pPr>
      <w:r>
        <w:rPr>
          <w:rFonts w:ascii="Calibri" w:hAnsi="Calibri"/>
          <w:b/>
          <w:i w:val="0"/>
          <w:sz w:val="22"/>
        </w:rPr>
        <w:t>Core Problem</w:t>
      </w:r>
      <w:r>
        <w:rPr>
          <w:rFonts w:ascii="Calibri" w:hAnsi="Calibri"/>
          <w:b w:val="0"/>
          <w:i w:val="0"/>
          <w:sz w:val="22"/>
        </w:rPr>
        <w:t>: Unimodal molecular encoders suffer from intrinsic perceptual blind spots. 1D SMILES sequences capture sequential grammatical syntax but miss 2D planar ring topologies; 2D GNNs capture local atomic connectivity but struggle with global macro-properties and long-range functional group co-occurrence; fixed chemical fingerprints (e.g., ECFP) provide bit-level fragment existence but lack structural learnability.</w:t>
      </w:r>
    </w:p>
    <w:p>
      <w:pPr>
        <w:pStyle w:val="ListBullet"/>
        <w:spacing w:before="20" w:after="40" w:line="276" w:lineRule="auto"/>
      </w:pPr>
      <w:r>
        <w:rPr>
          <w:rFonts w:ascii="Calibri" w:hAnsi="Calibri"/>
          <w:b/>
          <w:i w:val="0"/>
          <w:sz w:val="22"/>
        </w:rPr>
        <w:t>Critique of Prior Art</w:t>
      </w:r>
      <w:r>
        <w:rPr>
          <w:rFonts w:ascii="Calibri" w:hAnsi="Calibri"/>
          <w:b w:val="0"/>
          <w:i w:val="0"/>
          <w:sz w:val="22"/>
        </w:rPr>
        <w:t>: Prior multi-view methods relied on naive feature concatenation (</w:t>
      </w:r>
      <w:r>
        <w:rPr>
          <w:rFonts w:ascii="Cambria Math" w:hAnsi="Cambria Math"/>
          <w:i/>
          <w:sz w:val="22"/>
        </w:rPr>
        <w:t>\mathbf{z} = [\mathbf{z}_1 \| \mathbf{z}_2]</w:t>
      </w:r>
      <w:r>
        <w:rPr>
          <w:rFonts w:ascii="Calibri" w:hAnsi="Calibri"/>
          <w:b w:val="0"/>
          <w:i w:val="0"/>
          <w:sz w:val="22"/>
        </w:rPr>
        <w:t>), which causes feature redundancy, inter-modality conflict, and gradient competition during backpropagation.</w:t>
      </w:r>
    </w:p>
    <w:p>
      <w:pPr>
        <w:pStyle w:val="ListBullet"/>
        <w:spacing w:before="20" w:after="40" w:line="276" w:lineRule="auto"/>
      </w:pPr>
      <w:r>
        <w:rPr>
          <w:rFonts w:ascii="Calibri" w:hAnsi="Calibri"/>
          <w:b/>
          <w:i w:val="0"/>
          <w:sz w:val="22"/>
        </w:rPr>
        <w:t>Stated Contribution</w:t>
      </w:r>
      <w:r>
        <w:rPr>
          <w:rFonts w:ascii="Calibri" w:hAnsi="Calibri"/>
          <w:b w:val="0"/>
          <w:i w:val="0"/>
          <w:sz w:val="22"/>
        </w:rPr>
        <w:t>: Formulates MvMRL, combining a TextCNN for 1D SMILES, a Multi-Scale Jumping Knowledge GNN for 2D graphs, and an MLP for ECFP fingerprints, unified via a Cross-View Attention Fusion module.</w:t>
      </w:r>
    </w:p>
    <w:p>
      <w:pPr>
        <w:keepNext/>
        <w:spacing w:before="200" w:after="60"/>
      </w:pPr>
      <w:r>
        <w:rPr>
          <w:rFonts w:ascii="Calibri" w:hAnsi="Calibri"/>
          <w:b/>
          <w:color w:val="1E293B"/>
          <w:sz w:val="22"/>
        </w:rPr>
        <w:t>2.2 Methodology Analysis</w:t>
      </w:r>
    </w:p>
    <w:p>
      <w:pPr>
        <w:pStyle w:val="ListBullet"/>
        <w:spacing w:before="20" w:after="40" w:line="276" w:lineRule="auto"/>
      </w:pPr>
      <w:r>
        <w:rPr>
          <w:rFonts w:ascii="Calibri" w:hAnsi="Calibri"/>
          <w:b/>
          <w:i w:val="0"/>
          <w:sz w:val="22"/>
        </w:rPr>
        <w:t>Architectural Views</w:t>
      </w:r>
      <w:r>
        <w:rPr>
          <w:rFonts w:ascii="Calibri" w:hAnsi="Calibri"/>
          <w:b w:val="0"/>
          <w:i w:val="0"/>
          <w:sz w:val="22"/>
        </w:rPr>
        <w:t>:</w:t>
      </w:r>
    </w:p>
    <w:p>
      <w:pPr>
        <w:pStyle w:val="ListBullet"/>
        <w:spacing w:before="20" w:after="40" w:line="276" w:lineRule="auto"/>
      </w:pPr>
      <w:r>
        <w:rPr>
          <w:rFonts w:ascii="Calibri" w:hAnsi="Calibri"/>
          <w:b w:val="0"/>
          <w:i/>
          <w:sz w:val="22"/>
        </w:rPr>
        <w:t>View 1 (SMILES)</w:t>
      </w:r>
      <w:r>
        <w:rPr>
          <w:rFonts w:ascii="Calibri" w:hAnsi="Calibri"/>
          <w:b w:val="0"/>
          <w:i w:val="0"/>
          <w:sz w:val="22"/>
        </w:rPr>
        <w:t xml:space="preserve">: Multichannel TextCNN with kernel sizes </w:t>
      </w:r>
      <w:r>
        <w:rPr>
          <w:rFonts w:ascii="Cambria Math" w:hAnsi="Cambria Math"/>
          <w:i/>
          <w:sz w:val="22"/>
        </w:rPr>
        <w:t>k \in \{2, 4, 8\}</w:t>
      </w:r>
      <w:r>
        <w:rPr>
          <w:rFonts w:ascii="Calibri" w:hAnsi="Calibri"/>
          <w:b w:val="0"/>
          <w:i w:val="0"/>
          <w:sz w:val="22"/>
        </w:rPr>
        <w:t xml:space="preserve"> to extract local n-gram token substrings </w:t>
      </w:r>
      <w:r>
        <w:rPr>
          <w:rFonts w:ascii="Cambria Math" w:hAnsi="Cambria Math"/>
          <w:i/>
          <w:sz w:val="22"/>
        </w:rPr>
        <w:t>\mathbf{H}_{\text{seq}} \in \mathbb{R}^{L \times d}</w:t>
      </w:r>
      <w:r>
        <w:rPr>
          <w:rFonts w:ascii="Calibri" w:hAnsi="Calibri"/>
          <w:b w:val="0"/>
          <w:i w:val="0"/>
          <w:sz w:val="22"/>
        </w:rPr>
        <w:t>.</w:t>
      </w:r>
    </w:p>
    <w:p>
      <w:pPr>
        <w:pStyle w:val="ListBullet"/>
        <w:spacing w:before="20" w:after="40" w:line="276" w:lineRule="auto"/>
      </w:pPr>
      <w:r>
        <w:rPr>
          <w:rFonts w:ascii="Calibri" w:hAnsi="Calibri"/>
          <w:b w:val="0"/>
          <w:i/>
          <w:sz w:val="22"/>
        </w:rPr>
        <w:t>View 2 (2D Graph)</w:t>
      </w:r>
      <w:r>
        <w:rPr>
          <w:rFonts w:ascii="Calibri" w:hAnsi="Calibri"/>
          <w:b w:val="0"/>
          <w:i w:val="0"/>
          <w:sz w:val="22"/>
        </w:rPr>
        <w:t xml:space="preserve">: Multiscale GNN with Graph Attention Layers (GAT) and Jumping Knowledge (JK) skip-connections: </w:t>
      </w:r>
      <w:r>
        <w:rPr>
          <w:rFonts w:ascii="Cambria Math" w:hAnsi="Cambria Math"/>
          <w:i/>
          <w:sz w:val="22"/>
        </w:rPr>
        <w:t>\mathbf{H}_{\text{graph}} = \text{Concat}(\mathbf{H}^{(1)}, \mathbf{H}^{(2)}, \mathbf{H}^{(3)})</w:t>
      </w:r>
      <w:r>
        <w:rPr>
          <w:rFonts w:ascii="Calibri" w:hAnsi="Calibri"/>
          <w:b w:val="0"/>
          <w:i w:val="0"/>
          <w:sz w:val="22"/>
        </w:rPr>
        <w:t>.</w:t>
      </w:r>
    </w:p>
    <w:p>
      <w:pPr>
        <w:pStyle w:val="ListBullet"/>
        <w:spacing w:before="20" w:after="40" w:line="276" w:lineRule="auto"/>
      </w:pPr>
      <w:r>
        <w:rPr>
          <w:rFonts w:ascii="Calibri" w:hAnsi="Calibri"/>
          <w:b w:val="0"/>
          <w:i/>
          <w:sz w:val="22"/>
        </w:rPr>
        <w:t>View 3 (Fingerprint)</w:t>
      </w:r>
      <w:r>
        <w:rPr>
          <w:rFonts w:ascii="Calibri" w:hAnsi="Calibri"/>
          <w:b w:val="0"/>
          <w:i w:val="0"/>
          <w:sz w:val="22"/>
        </w:rPr>
        <w:t xml:space="preserve">: 1024-bit Morgan/ECFP4 fingerprints transformed via 2-layer MLP: </w:t>
      </w:r>
      <w:r>
        <w:rPr>
          <w:rFonts w:ascii="Cambria Math" w:hAnsi="Cambria Math"/>
          <w:i/>
          <w:sz w:val="22"/>
        </w:rPr>
        <w:t>\mathbf{h}_{\text{fp}} = \text{LeakyReLU}(\mathbf{W}_2 \text{LeakyReLU}(\mathbf{W}_1 \mathbf{x}_{\text{fp}}))</w:t>
      </w:r>
      <w:r>
        <w:rPr>
          <w:rFonts w:ascii="Calibri" w:hAnsi="Calibri"/>
          <w:b w:val="0"/>
          <w:i w:val="0"/>
          <w:sz w:val="22"/>
        </w:rPr>
        <w:t>.</w:t>
      </w:r>
    </w:p>
    <w:p>
      <w:pPr>
        <w:pStyle w:val="ListBullet"/>
        <w:spacing w:before="20" w:after="40" w:line="276" w:lineRule="auto"/>
      </w:pPr>
      <w:r>
        <w:rPr>
          <w:rFonts w:ascii="Calibri" w:hAnsi="Calibri"/>
          <w:b/>
          <w:i w:val="0"/>
          <w:sz w:val="22"/>
        </w:rPr>
        <w:t>Sequential Cross-Attention Fusion</w:t>
      </w:r>
      <w:r>
        <w:rPr>
          <w:rFonts w:ascii="Calibri" w:hAnsi="Calibri"/>
          <w:b w:val="0"/>
          <w:i w:val="0"/>
          <w:sz w:val="22"/>
        </w:rPr>
        <w:t>:</w:t>
      </w:r>
    </w:p>
    <w:p>
      <w:pPr>
        <w:spacing w:before="100" w:after="100"/>
        <w:jc w:val="center"/>
      </w:pPr>
      <w:r>
        <w:rPr>
          <w:rFonts w:ascii="Cambria Math" w:hAnsi="Cambria Math"/>
          <w:i/>
          <w:color w:val="0F172A"/>
          <w:sz w:val="21"/>
        </w:rPr>
        <w:t>\text{Attn}(\mathbf{Q}, \mathbf{K}, \mathbf{V}) = \text{softmax}\left(\frac{\mathbf{Q} \mathbf{K}^T}{\sqrt{d_k}}\right) \mathbf{V}</w:t>
      </w:r>
    </w:p>
    <w:p>
      <w:pPr>
        <w:spacing w:before="100" w:after="100"/>
        <w:jc w:val="center"/>
      </w:pPr>
      <w:r>
        <w:rPr>
          <w:rFonts w:ascii="Cambria Math" w:hAnsi="Cambria Math"/>
          <w:i/>
          <w:color w:val="0F172A"/>
          <w:sz w:val="21"/>
        </w:rPr>
        <w:t>\mathbf{H}_{\text{fused}} = \text{Concat}\left(\text{Attn}(\mathbf{Q}_{\text{seq}}, \mathbf{K}_{\text{fp}}, \mathbf{V}_{\text{fp}}), \text{Attn}(\mathbf{Q}_{\text{graph}}, \mathbf{K}_{\text{fp}}, \mathbf{V}_{\text{fp}})\right)</w:t>
      </w:r>
    </w:p>
    <w:p>
      <w:pPr>
        <w:pStyle w:val="ListBullet"/>
        <w:spacing w:before="20" w:after="40" w:line="276" w:lineRule="auto"/>
      </w:pPr>
      <w:r>
        <w:rPr>
          <w:rFonts w:ascii="Calibri" w:hAnsi="Calibri"/>
          <w:b/>
          <w:i w:val="0"/>
          <w:sz w:val="22"/>
        </w:rPr>
        <w:t>Objective</w:t>
      </w:r>
      <w:r>
        <w:rPr>
          <w:rFonts w:ascii="Calibri" w:hAnsi="Calibri"/>
          <w:b w:val="0"/>
          <w:i w:val="0"/>
          <w:sz w:val="22"/>
        </w:rPr>
        <w:t>: Standard task-specific Cross-Entropy / MSE loss.</w:t>
      </w:r>
    </w:p>
    <w:p>
      <w:pPr>
        <w:keepNext/>
        <w:spacing w:before="200" w:after="60"/>
      </w:pPr>
      <w:r>
        <w:rPr>
          <w:rFonts w:ascii="Calibri" w:hAnsi="Calibri"/>
          <w:b/>
          <w:color w:val="1E293B"/>
          <w:sz w:val="22"/>
        </w:rPr>
        <w:t>2.3 Results &amp; Limitations</w:t>
      </w:r>
    </w:p>
    <w:p>
      <w:pPr>
        <w:pStyle w:val="ListBullet"/>
        <w:spacing w:before="20" w:after="40" w:line="276" w:lineRule="auto"/>
      </w:pPr>
      <w:r>
        <w:rPr>
          <w:rFonts w:ascii="Calibri" w:hAnsi="Calibri"/>
          <w:b/>
          <w:i w:val="0"/>
          <w:sz w:val="22"/>
        </w:rPr>
        <w:t>Empirical Performance</w:t>
      </w:r>
      <w:r>
        <w:rPr>
          <w:rFonts w:ascii="Calibri" w:hAnsi="Calibri"/>
          <w:b w:val="0"/>
          <w:i w:val="0"/>
          <w:sz w:val="22"/>
        </w:rPr>
        <w:t>:</w:t>
      </w:r>
    </w:p>
    <w:p>
      <w:pPr>
        <w:pStyle w:val="ListBullet"/>
        <w:spacing w:before="20" w:after="40" w:line="276" w:lineRule="auto"/>
      </w:pPr>
      <w:r>
        <w:rPr>
          <w:rFonts w:ascii="Calibri" w:hAnsi="Calibri"/>
          <w:b w:val="0"/>
          <w:i w:val="0"/>
          <w:sz w:val="22"/>
        </w:rPr>
        <w:t>MoleculeNet Classification (Scaffold Split): BBBP = 93.5% ROC-AUC, ClinTox = 95.3%, BACE = 88.1%, Tox21 = 83.1%, SIDER = 65.4%.</w:t>
      </w:r>
    </w:p>
    <w:p>
      <w:pPr>
        <w:pStyle w:val="ListBullet"/>
        <w:spacing w:before="20" w:after="40" w:line="276" w:lineRule="auto"/>
      </w:pPr>
      <w:r>
        <w:rPr>
          <w:rFonts w:ascii="Calibri" w:hAnsi="Calibri"/>
          <w:b w:val="0"/>
          <w:i w:val="0"/>
          <w:sz w:val="22"/>
        </w:rPr>
        <w:t>MoleculeNet Regression: FreeSolv RMSE = 0.832, ESOL RMSE = 0.628, Lipophilicity RMSE = 0.612.</w:t>
      </w:r>
    </w:p>
    <w:p>
      <w:pPr>
        <w:pStyle w:val="ListBullet"/>
        <w:spacing w:before="20" w:after="40" w:line="276" w:lineRule="auto"/>
      </w:pPr>
      <w:r>
        <w:rPr>
          <w:rFonts w:ascii="Calibri" w:hAnsi="Calibri"/>
          <w:b/>
          <w:i w:val="0"/>
          <w:sz w:val="22"/>
        </w:rPr>
        <w:t>Ablation Insights</w:t>
      </w:r>
      <w:r>
        <w:rPr>
          <w:rFonts w:ascii="Calibri" w:hAnsi="Calibri"/>
          <w:b w:val="0"/>
          <w:i w:val="0"/>
          <w:sz w:val="22"/>
        </w:rPr>
        <w:t>: Tri-view cross-attention significantly outperformed both dual-view variants (SMILES+Graph: 91.2% BBBP) and single-view baselines (Graph-only: 87.4% BBBP).</w:t>
      </w:r>
    </w:p>
    <w:p>
      <w:pPr>
        <w:pStyle w:val="ListBullet"/>
        <w:spacing w:before="20" w:after="40" w:line="276" w:lineRule="auto"/>
      </w:pPr>
      <w:r>
        <w:rPr>
          <w:rFonts w:ascii="Calibri" w:hAnsi="Calibri"/>
          <w:b/>
          <w:i w:val="0"/>
          <w:sz w:val="22"/>
        </w:rPr>
        <w:t>Unresolved Gaps</w:t>
      </w:r>
      <w:r>
        <w:rPr>
          <w:rFonts w:ascii="Calibri" w:hAnsi="Calibri"/>
          <w:b w:val="0"/>
          <w:i w:val="0"/>
          <w:sz w:val="22"/>
        </w:rPr>
        <w:t>:</w:t>
      </w:r>
    </w:p>
    <w:p>
      <w:pPr>
        <w:pStyle w:val="ListNumber"/>
        <w:spacing w:before="20" w:after="40" w:line="276" w:lineRule="auto"/>
      </w:pPr>
      <w:r>
        <w:rPr>
          <w:rFonts w:ascii="Calibri" w:hAnsi="Calibri"/>
          <w:b w:val="0"/>
          <w:i w:val="0"/>
          <w:sz w:val="22"/>
        </w:rPr>
        <w:t>Complete absence of 3D conformational geometry (</w:t>
      </w:r>
      <w:r>
        <w:rPr>
          <w:rFonts w:ascii="Cambria Math" w:hAnsi="Cambria Math"/>
          <w:i/>
          <w:sz w:val="22"/>
        </w:rPr>
        <w:t>\mathbf{R} \in \mathbb{R}^{N \times 3}</w:t>
      </w:r>
      <w:r>
        <w:rPr>
          <w:rFonts w:ascii="Calibri" w:hAnsi="Calibri"/>
          <w:b w:val="0"/>
          <w:i w:val="0"/>
          <w:sz w:val="22"/>
        </w:rPr>
        <w:t>).</w:t>
      </w:r>
    </w:p>
    <w:p>
      <w:pPr>
        <w:pStyle w:val="ListNumber"/>
        <w:spacing w:before="20" w:after="40" w:line="276" w:lineRule="auto"/>
      </w:pPr>
      <w:r>
        <w:rPr>
          <w:rFonts w:ascii="Calibri" w:hAnsi="Calibri"/>
          <w:b w:val="0"/>
          <w:i w:val="0"/>
          <w:sz w:val="22"/>
        </w:rPr>
        <w:t>Uses shallow TextCNN instead of modern pre-trained Transformer language models (ChemBERTa/RoBERTa).</w:t>
      </w:r>
    </w:p>
    <w:p>
      <w:pPr>
        <w:pStyle w:val="ListNumber"/>
        <w:spacing w:before="20" w:after="40" w:line="276" w:lineRule="auto"/>
      </w:pPr>
      <w:r>
        <w:rPr>
          <w:rFonts w:ascii="Calibri" w:hAnsi="Calibri"/>
          <w:b w:val="0"/>
          <w:i w:val="0"/>
          <w:sz w:val="22"/>
        </w:rPr>
        <w:t>Lacks self-supervised multi-modal contrastive alignment, risking representational misalignment.</w:t>
      </w:r>
    </w:p>
    <w:p>
      <w:pPr>
        <w:keepNext/>
        <w:spacing w:before="260" w:after="80"/>
      </w:pPr>
      <w:r>
        <w:rPr>
          <w:rFonts w:ascii="Calibri" w:hAnsi="Calibri"/>
          <w:b/>
          <w:color w:val="2563EB"/>
          <w:sz w:val="24"/>
        </w:rPr>
        <w:t>3. Paper 3: Dual-View Image + Sequence (IEEE JBHI 2024)</w:t>
      </w:r>
    </w:p>
    <w:p>
      <w:pPr>
        <w:spacing w:before="0" w:after="100" w:line="283" w:lineRule="auto"/>
      </w:pPr>
      <w:r>
        <w:rPr>
          <w:rFonts w:ascii="Calibri" w:hAnsi="Calibri"/>
          <w:b w:val="0"/>
          <w:i w:val="0"/>
          <w:sz w:val="22"/>
        </w:rPr>
        <w:t xml:space="preserve">&gt; </w:t>
      </w:r>
      <w:r>
        <w:rPr>
          <w:rFonts w:ascii="Calibri" w:hAnsi="Calibri"/>
          <w:b/>
          <w:i w:val="0"/>
          <w:sz w:val="22"/>
        </w:rPr>
        <w:t>Title</w:t>
      </w:r>
      <w:r>
        <w:rPr>
          <w:rFonts w:ascii="Calibri" w:hAnsi="Calibri"/>
          <w:b w:val="0"/>
          <w:i w:val="0"/>
          <w:sz w:val="22"/>
        </w:rPr>
        <w:t xml:space="preserve">: </w:t>
      </w:r>
      <w:r>
        <w:rPr>
          <w:rFonts w:ascii="Calibri" w:hAnsi="Calibri"/>
          <w:b w:val="0"/>
          <w:i/>
          <w:sz w:val="22"/>
        </w:rPr>
        <w:t>Dual-View Learning Based on Images and Sequences for Molecular Property Prediction</w:t>
      </w:r>
    </w:p>
    <w:p>
      <w:pPr>
        <w:spacing w:before="0" w:after="100" w:line="283" w:lineRule="auto"/>
      </w:pPr>
      <w:r>
        <w:rPr>
          <w:rFonts w:ascii="Calibri" w:hAnsi="Calibri"/>
          <w:b w:val="0"/>
          <w:i w:val="0"/>
          <w:sz w:val="22"/>
        </w:rPr>
        <w:t xml:space="preserve">&gt; </w:t>
      </w:r>
      <w:r>
        <w:rPr>
          <w:rFonts w:ascii="Calibri" w:hAnsi="Calibri"/>
          <w:b/>
          <w:i w:val="0"/>
          <w:sz w:val="22"/>
        </w:rPr>
        <w:t>Authors</w:t>
      </w:r>
      <w:r>
        <w:rPr>
          <w:rFonts w:ascii="Calibri" w:hAnsi="Calibri"/>
          <w:b w:val="0"/>
          <w:i w:val="0"/>
          <w:sz w:val="22"/>
        </w:rPr>
        <w:t>: Xiang Zhang, Hongxin Xiang, Xixi Yang, Jingxin Dong, Xiangzheng Fu, Xiangxiang Zeng, Haowen Chen, Keqin Li</w:t>
      </w:r>
    </w:p>
    <w:p>
      <w:pPr>
        <w:spacing w:before="0" w:after="100" w:line="283" w:lineRule="auto"/>
      </w:pPr>
      <w:r>
        <w:rPr>
          <w:rFonts w:ascii="Calibri" w:hAnsi="Calibri"/>
          <w:b w:val="0"/>
          <w:i w:val="0"/>
          <w:sz w:val="22"/>
        </w:rPr>
        <w:t xml:space="preserve">&gt; </w:t>
      </w:r>
      <w:r>
        <w:rPr>
          <w:rFonts w:ascii="Calibri" w:hAnsi="Calibri"/>
          <w:b/>
          <w:i w:val="0"/>
          <w:sz w:val="22"/>
        </w:rPr>
        <w:t>Venue</w:t>
      </w:r>
      <w:r>
        <w:rPr>
          <w:rFonts w:ascii="Calibri" w:hAnsi="Calibri"/>
          <w:b w:val="0"/>
          <w:i w:val="0"/>
          <w:sz w:val="22"/>
        </w:rPr>
        <w:t xml:space="preserve">: </w:t>
      </w:r>
      <w:r>
        <w:rPr>
          <w:rFonts w:ascii="Calibri" w:hAnsi="Calibri"/>
          <w:b w:val="0"/>
          <w:i/>
          <w:sz w:val="22"/>
        </w:rPr>
        <w:t>IEEE Journal of Biomedical and Health Informatics</w:t>
      </w:r>
      <w:r>
        <w:rPr>
          <w:rFonts w:ascii="Calibri" w:hAnsi="Calibri"/>
          <w:b w:val="0"/>
          <w:i w:val="0"/>
          <w:sz w:val="22"/>
        </w:rPr>
        <w:t>, Vol. 28, No. 3, March 2024.</w:t>
      </w:r>
    </w:p>
    <w:p>
      <w:pPr>
        <w:keepNext/>
        <w:spacing w:before="200" w:after="60"/>
      </w:pPr>
      <w:r>
        <w:rPr>
          <w:rFonts w:ascii="Calibri" w:hAnsi="Calibri"/>
          <w:b/>
          <w:color w:val="1E293B"/>
          <w:sz w:val="22"/>
        </w:rPr>
        <w:t>3.1 Introduction Analysis</w:t>
      </w:r>
    </w:p>
    <w:p>
      <w:pPr>
        <w:pStyle w:val="ListBullet"/>
        <w:spacing w:before="20" w:after="40" w:line="276" w:lineRule="auto"/>
      </w:pPr>
      <w:r>
        <w:rPr>
          <w:rFonts w:ascii="Calibri" w:hAnsi="Calibri"/>
          <w:b/>
          <w:i w:val="0"/>
          <w:sz w:val="22"/>
        </w:rPr>
        <w:t>Core Problem</w:t>
      </w:r>
      <w:r>
        <w:rPr>
          <w:rFonts w:ascii="Calibri" w:hAnsi="Calibri"/>
          <w:b w:val="0"/>
          <w:i w:val="0"/>
          <w:sz w:val="22"/>
        </w:rPr>
        <w:t>: Chemical structures can be rendered as 2D molecular images (depicting skeletal formulae, bond types, stereocenters) or 1D SMILES strings. Images provide continuous visual topologies and human-interpretable diagrams, whereas SMILES provide exact atomic token sequences.</w:t>
      </w:r>
    </w:p>
    <w:p>
      <w:pPr>
        <w:pStyle w:val="ListBullet"/>
        <w:spacing w:before="20" w:after="40" w:line="276" w:lineRule="auto"/>
      </w:pPr>
      <w:r>
        <w:rPr>
          <w:rFonts w:ascii="Calibri" w:hAnsi="Calibri"/>
          <w:b/>
          <w:i w:val="0"/>
          <w:sz w:val="22"/>
        </w:rPr>
        <w:t>Critique of Prior Art</w:t>
      </w:r>
      <w:r>
        <w:rPr>
          <w:rFonts w:ascii="Calibri" w:hAnsi="Calibri"/>
          <w:b w:val="0"/>
          <w:i w:val="0"/>
          <w:sz w:val="22"/>
        </w:rPr>
        <w:t>: Previous multi-modal models either ignored visual representations entirely or utilized pre-trained ResNet backbones without bidirectional cross-attention, causing visual feature collapse and severe overfitting on small chemical datasets.</w:t>
      </w:r>
    </w:p>
    <w:p>
      <w:pPr>
        <w:pStyle w:val="ListBullet"/>
        <w:spacing w:before="20" w:after="40" w:line="276" w:lineRule="auto"/>
      </w:pPr>
      <w:r>
        <w:rPr>
          <w:rFonts w:ascii="Calibri" w:hAnsi="Calibri"/>
          <w:b/>
          <w:i w:val="0"/>
          <w:sz w:val="22"/>
        </w:rPr>
        <w:t>Stated Contribution</w:t>
      </w:r>
      <w:r>
        <w:rPr>
          <w:rFonts w:ascii="Calibri" w:hAnsi="Calibri"/>
          <w:b w:val="0"/>
          <w:i w:val="0"/>
          <w:sz w:val="22"/>
        </w:rPr>
        <w:t>: Proposes DV-IS, integrating Vision Transformer (ViT) patches from 2D molecular depictions with a SMILES Transformer encoder via Cross-Layer Bi-Directional Attention.</w:t>
      </w:r>
    </w:p>
    <w:p>
      <w:pPr>
        <w:keepNext/>
        <w:spacing w:before="200" w:after="60"/>
      </w:pPr>
      <w:r>
        <w:rPr>
          <w:rFonts w:ascii="Calibri" w:hAnsi="Calibri"/>
          <w:b/>
          <w:color w:val="1E293B"/>
          <w:sz w:val="22"/>
        </w:rPr>
        <w:t>3.2 Methodology Analysis</w:t>
      </w:r>
    </w:p>
    <w:p>
      <w:pPr>
        <w:pStyle w:val="ListBullet"/>
        <w:spacing w:before="20" w:after="40" w:line="276" w:lineRule="auto"/>
      </w:pPr>
      <w:r>
        <w:rPr>
          <w:rFonts w:ascii="Calibri" w:hAnsi="Calibri"/>
          <w:b/>
          <w:i w:val="0"/>
          <w:sz w:val="22"/>
        </w:rPr>
        <w:t>Image View</w:t>
      </w:r>
      <w:r>
        <w:rPr>
          <w:rFonts w:ascii="Calibri" w:hAnsi="Calibri"/>
          <w:b w:val="0"/>
          <w:i w:val="0"/>
          <w:sz w:val="22"/>
        </w:rPr>
        <w:t xml:space="preserve">: RDKit renders </w:t>
      </w:r>
      <w:r>
        <w:rPr>
          <w:rFonts w:ascii="Cambria Math" w:hAnsi="Cambria Math"/>
          <w:i/>
          <w:sz w:val="22"/>
        </w:rPr>
        <w:t>224 \times 224</w:t>
      </w:r>
      <w:r>
        <w:rPr>
          <w:rFonts w:ascii="Calibri" w:hAnsi="Calibri"/>
          <w:b w:val="0"/>
          <w:i w:val="0"/>
          <w:sz w:val="22"/>
        </w:rPr>
        <w:t xml:space="preserve"> RGB chemical depictions, partitioned into </w:t>
      </w:r>
      <w:r>
        <w:rPr>
          <w:rFonts w:ascii="Cambria Math" w:hAnsi="Cambria Math"/>
          <w:i/>
          <w:sz w:val="22"/>
        </w:rPr>
        <w:t>16 \times 16</w:t>
      </w:r>
      <w:r>
        <w:rPr>
          <w:rFonts w:ascii="Calibri" w:hAnsi="Calibri"/>
          <w:b w:val="0"/>
          <w:i w:val="0"/>
          <w:sz w:val="22"/>
        </w:rPr>
        <w:t xml:space="preserve"> patches, passed through Vision Transformer (ViT): </w:t>
      </w:r>
      <w:r>
        <w:rPr>
          <w:rFonts w:ascii="Cambria Math" w:hAnsi="Cambria Math"/>
          <w:i/>
          <w:sz w:val="22"/>
        </w:rPr>
        <w:t>\mathbf{Z}_{\text{img}} = \text{ViT}(\mathbf{I}) \in \mathbb{R}^{P \times d}</w:t>
      </w:r>
      <w:r>
        <w:rPr>
          <w:rFonts w:ascii="Calibri" w:hAnsi="Calibri"/>
          <w:b w:val="0"/>
          <w:i w:val="0"/>
          <w:sz w:val="22"/>
        </w:rPr>
        <w:t>.</w:t>
      </w:r>
    </w:p>
    <w:p>
      <w:pPr>
        <w:pStyle w:val="ListBullet"/>
        <w:spacing w:before="20" w:after="40" w:line="276" w:lineRule="auto"/>
      </w:pPr>
      <w:r>
        <w:rPr>
          <w:rFonts w:ascii="Calibri" w:hAnsi="Calibri"/>
          <w:b/>
          <w:i w:val="0"/>
          <w:sz w:val="22"/>
        </w:rPr>
        <w:t>Sequence View</w:t>
      </w:r>
      <w:r>
        <w:rPr>
          <w:rFonts w:ascii="Calibri" w:hAnsi="Calibri"/>
          <w:b w:val="0"/>
          <w:i w:val="0"/>
          <w:sz w:val="22"/>
        </w:rPr>
        <w:t xml:space="preserve">: Tokenized SMILES strings embedded via 6-layer Transformer: </w:t>
      </w:r>
      <w:r>
        <w:rPr>
          <w:rFonts w:ascii="Cambria Math" w:hAnsi="Cambria Math"/>
          <w:i/>
          <w:sz w:val="22"/>
        </w:rPr>
        <w:t>\mathbf{Z}_{\text{seq}} = \text{Transformer}(\mathbf{S}) \in \mathbb{R}^{L \times d}</w:t>
      </w:r>
      <w:r>
        <w:rPr>
          <w:rFonts w:ascii="Calibri" w:hAnsi="Calibri"/>
          <w:b w:val="0"/>
          <w:i w:val="0"/>
          <w:sz w:val="22"/>
        </w:rPr>
        <w:t>.</w:t>
      </w:r>
    </w:p>
    <w:p>
      <w:pPr>
        <w:pStyle w:val="ListBullet"/>
        <w:spacing w:before="20" w:after="40" w:line="276" w:lineRule="auto"/>
      </w:pPr>
      <w:r>
        <w:rPr>
          <w:rFonts w:ascii="Calibri" w:hAnsi="Calibri"/>
          <w:b/>
          <w:i w:val="0"/>
          <w:sz w:val="22"/>
        </w:rPr>
        <w:t>Cross-Layer Interactive Fusion</w:t>
      </w:r>
      <w:r>
        <w:rPr>
          <w:rFonts w:ascii="Calibri" w:hAnsi="Calibri"/>
          <w:b w:val="0"/>
          <w:i w:val="0"/>
          <w:sz w:val="22"/>
        </w:rPr>
        <w:t>:</w:t>
      </w:r>
    </w:p>
    <w:p>
      <w:pPr>
        <w:spacing w:before="100" w:after="100"/>
        <w:jc w:val="center"/>
      </w:pPr>
      <w:r>
        <w:rPr>
          <w:rFonts w:ascii="Cambria Math" w:hAnsi="Cambria Math"/>
          <w:i/>
          <w:color w:val="0F172A"/>
          <w:sz w:val="21"/>
        </w:rPr>
        <w:t>\mathbf{Z}_{\text{img}\to\text{seq}} = \text{softmax}\left(\frac{\mathbf{Z}_{\text{img}}\mathbf{W}_Q (\mathbf{Z}_{\text{seq}}\mathbf{W}_K)^T}{\sqrt{d}}\right) \mathbf{Z}_{\text{seq}}\mathbf{W}_V</w:t>
      </w:r>
    </w:p>
    <w:p>
      <w:pPr>
        <w:spacing w:before="100" w:after="100"/>
        <w:jc w:val="center"/>
      </w:pPr>
      <w:r>
        <w:rPr>
          <w:rFonts w:ascii="Cambria Math" w:hAnsi="Cambria Math"/>
          <w:i/>
          <w:color w:val="0F172A"/>
          <w:sz w:val="21"/>
        </w:rPr>
        <w:t>\mathbf{Z}_{\text{seq}\to\text{img}} = \text{softmax}\left(\frac{\mathbf{Z}_{\text{seq}}\mathbf{W}_Q (\mathbf{Z}_{\text{img}}\mathbf{W}_K)^T}{\sqrt{d}}\right) \mathbf{Z}_{\text{img}}\mathbf{W}_V</w:t>
      </w:r>
    </w:p>
    <w:p>
      <w:pPr>
        <w:keepNext/>
        <w:spacing w:before="200" w:after="60"/>
      </w:pPr>
      <w:r>
        <w:rPr>
          <w:rFonts w:ascii="Calibri" w:hAnsi="Calibri"/>
          <w:b/>
          <w:color w:val="1E293B"/>
          <w:sz w:val="22"/>
        </w:rPr>
        <w:t>3.3 Results &amp; Limitations</w:t>
      </w:r>
    </w:p>
    <w:p>
      <w:pPr>
        <w:pStyle w:val="ListBullet"/>
        <w:spacing w:before="20" w:after="40" w:line="276" w:lineRule="auto"/>
      </w:pPr>
      <w:r>
        <w:rPr>
          <w:rFonts w:ascii="Calibri" w:hAnsi="Calibri"/>
          <w:b/>
          <w:i w:val="0"/>
          <w:sz w:val="22"/>
        </w:rPr>
        <w:t>Empirical Performance</w:t>
      </w:r>
      <w:r>
        <w:rPr>
          <w:rFonts w:ascii="Calibri" w:hAnsi="Calibri"/>
          <w:b w:val="0"/>
          <w:i w:val="0"/>
          <w:sz w:val="22"/>
        </w:rPr>
        <w:t>:</w:t>
      </w:r>
    </w:p>
    <w:p>
      <w:pPr>
        <w:pStyle w:val="ListBullet"/>
        <w:spacing w:before="20" w:after="40" w:line="276" w:lineRule="auto"/>
      </w:pPr>
      <w:r>
        <w:rPr>
          <w:rFonts w:ascii="Calibri" w:hAnsi="Calibri"/>
          <w:b w:val="0"/>
          <w:i w:val="0"/>
          <w:sz w:val="22"/>
        </w:rPr>
        <w:t>BBBP = 92.4% ROC-AUC, BACE = 87.2%, ClinTox = 93.8%, Tox21 = 81.9%.</w:t>
      </w:r>
    </w:p>
    <w:p>
      <w:pPr>
        <w:pStyle w:val="ListBullet"/>
        <w:spacing w:before="20" w:after="40" w:line="276" w:lineRule="auto"/>
      </w:pPr>
      <w:r>
        <w:rPr>
          <w:rFonts w:ascii="Calibri" w:hAnsi="Calibri"/>
          <w:b w:val="0"/>
          <w:i w:val="0"/>
          <w:sz w:val="22"/>
        </w:rPr>
        <w:t>Delaney ESOL RMSE = 0.684, FreeSolv RMSE = 1.120.</w:t>
      </w:r>
    </w:p>
    <w:p>
      <w:pPr>
        <w:pStyle w:val="ListBullet"/>
        <w:spacing w:before="20" w:after="40" w:line="276" w:lineRule="auto"/>
      </w:pPr>
      <w:r>
        <w:rPr>
          <w:rFonts w:ascii="Calibri" w:hAnsi="Calibri"/>
          <w:b/>
          <w:i w:val="0"/>
          <w:sz w:val="22"/>
        </w:rPr>
        <w:t>Ablation Insights</w:t>
      </w:r>
      <w:r>
        <w:rPr>
          <w:rFonts w:ascii="Calibri" w:hAnsi="Calibri"/>
          <w:b w:val="0"/>
          <w:i w:val="0"/>
          <w:sz w:val="22"/>
        </w:rPr>
        <w:t>: Removing the bidirectional cross-layer attention caused an average drop of 3.8% across classification datasets, confirming that visual spatial tokens must be aligned with string tokens.</w:t>
      </w:r>
    </w:p>
    <w:p>
      <w:pPr>
        <w:pStyle w:val="ListBullet"/>
        <w:spacing w:before="20" w:after="40" w:line="276" w:lineRule="auto"/>
      </w:pPr>
      <w:r>
        <w:rPr>
          <w:rFonts w:ascii="Calibri" w:hAnsi="Calibri"/>
          <w:b/>
          <w:i w:val="0"/>
          <w:sz w:val="22"/>
        </w:rPr>
        <w:t>Unresolved Gaps</w:t>
      </w:r>
      <w:r>
        <w:rPr>
          <w:rFonts w:ascii="Calibri" w:hAnsi="Calibri"/>
          <w:b w:val="0"/>
          <w:i w:val="0"/>
          <w:sz w:val="22"/>
        </w:rPr>
        <w:t>:</w:t>
      </w:r>
    </w:p>
    <w:p>
      <w:pPr>
        <w:pStyle w:val="ListNumber"/>
        <w:spacing w:before="20" w:after="40" w:line="276" w:lineRule="auto"/>
      </w:pPr>
      <w:r>
        <w:rPr>
          <w:rFonts w:ascii="Calibri" w:hAnsi="Calibri"/>
          <w:b w:val="0"/>
          <w:i w:val="0"/>
          <w:sz w:val="22"/>
        </w:rPr>
        <w:t>2D rendered images introduce pixel-level artifacts, rendering-style biases, and high computational rendering latency.</w:t>
      </w:r>
    </w:p>
    <w:p>
      <w:pPr>
        <w:pStyle w:val="ListNumber"/>
        <w:spacing w:before="20" w:after="40" w:line="276" w:lineRule="auto"/>
      </w:pPr>
      <w:r>
        <w:rPr>
          <w:rFonts w:ascii="Calibri" w:hAnsi="Calibri"/>
          <w:b w:val="0"/>
          <w:i w:val="0"/>
          <w:sz w:val="22"/>
        </w:rPr>
        <w:t>Misses explicit physical graph topology (message passing along chemical bonds) and 3D force-field conformers.</w:t>
      </w:r>
    </w:p>
    <w:p>
      <w:pPr>
        <w:pStyle w:val="ListNumber"/>
        <w:spacing w:before="20" w:after="40" w:line="276" w:lineRule="auto"/>
      </w:pPr>
      <w:r>
        <w:rPr>
          <w:rFonts w:ascii="Calibri" w:hAnsi="Calibri"/>
          <w:b w:val="0"/>
          <w:i w:val="0"/>
          <w:sz w:val="22"/>
        </w:rPr>
        <w:t>No uncertainty quantification for safety-critical drug screening.</w:t>
      </w:r>
    </w:p>
    <w:p>
      <w:pPr>
        <w:keepNext/>
        <w:spacing w:before="260" w:after="80"/>
      </w:pPr>
      <w:r>
        <w:rPr>
          <w:rFonts w:ascii="Calibri" w:hAnsi="Calibri"/>
          <w:b/>
          <w:color w:val="2563EB"/>
          <w:sz w:val="24"/>
        </w:rPr>
        <w:t>4. Paper 4: MMCL (IEEE TCBB 2026)</w:t>
      </w:r>
    </w:p>
    <w:p>
      <w:pPr>
        <w:spacing w:before="0" w:after="100" w:line="283" w:lineRule="auto"/>
      </w:pPr>
      <w:r>
        <w:rPr>
          <w:rFonts w:ascii="Calibri" w:hAnsi="Calibri"/>
          <w:b w:val="0"/>
          <w:i w:val="0"/>
          <w:sz w:val="22"/>
        </w:rPr>
        <w:t xml:space="preserve">&gt; </w:t>
      </w:r>
      <w:r>
        <w:rPr>
          <w:rFonts w:ascii="Calibri" w:hAnsi="Calibri"/>
          <w:b/>
          <w:i w:val="0"/>
          <w:sz w:val="22"/>
        </w:rPr>
        <w:t>Title</w:t>
      </w:r>
      <w:r>
        <w:rPr>
          <w:rFonts w:ascii="Calibri" w:hAnsi="Calibri"/>
          <w:b w:val="0"/>
          <w:i w:val="0"/>
          <w:sz w:val="22"/>
        </w:rPr>
        <w:t xml:space="preserve">: </w:t>
      </w:r>
      <w:r>
        <w:rPr>
          <w:rFonts w:ascii="Calibri" w:hAnsi="Calibri"/>
          <w:b w:val="0"/>
          <w:i/>
          <w:sz w:val="22"/>
        </w:rPr>
        <w:t>MMCL: A Multi-Modal Contrastive Learning Framework for Molecular Property Prediction</w:t>
      </w:r>
    </w:p>
    <w:p>
      <w:pPr>
        <w:spacing w:before="0" w:after="100" w:line="283" w:lineRule="auto"/>
      </w:pPr>
      <w:r>
        <w:rPr>
          <w:rFonts w:ascii="Calibri" w:hAnsi="Calibri"/>
          <w:b w:val="0"/>
          <w:i w:val="0"/>
          <w:sz w:val="22"/>
        </w:rPr>
        <w:t xml:space="preserve">&gt; </w:t>
      </w:r>
      <w:r>
        <w:rPr>
          <w:rFonts w:ascii="Calibri" w:hAnsi="Calibri"/>
          <w:b/>
          <w:i w:val="0"/>
          <w:sz w:val="22"/>
        </w:rPr>
        <w:t>Authors</w:t>
      </w:r>
      <w:r>
        <w:rPr>
          <w:rFonts w:ascii="Calibri" w:hAnsi="Calibri"/>
          <w:b w:val="0"/>
          <w:i w:val="0"/>
          <w:sz w:val="22"/>
        </w:rPr>
        <w:t>: Mei Gao</w:t>
      </w:r>
    </w:p>
    <w:p>
      <w:pPr>
        <w:spacing w:before="0" w:after="100" w:line="283" w:lineRule="auto"/>
      </w:pPr>
      <w:r>
        <w:rPr>
          <w:rFonts w:ascii="Calibri" w:hAnsi="Calibri"/>
          <w:b w:val="0"/>
          <w:i w:val="0"/>
          <w:sz w:val="22"/>
        </w:rPr>
        <w:t xml:space="preserve">&gt; </w:t>
      </w:r>
      <w:r>
        <w:rPr>
          <w:rFonts w:ascii="Calibri" w:hAnsi="Calibri"/>
          <w:b/>
          <w:i w:val="0"/>
          <w:sz w:val="22"/>
        </w:rPr>
        <w:t>Venue</w:t>
      </w:r>
      <w:r>
        <w:rPr>
          <w:rFonts w:ascii="Calibri" w:hAnsi="Calibri"/>
          <w:b w:val="0"/>
          <w:i w:val="0"/>
          <w:sz w:val="22"/>
        </w:rPr>
        <w:t xml:space="preserve">: </w:t>
      </w:r>
      <w:r>
        <w:rPr>
          <w:rFonts w:ascii="Calibri" w:hAnsi="Calibri"/>
          <w:b w:val="0"/>
          <w:i/>
          <w:sz w:val="22"/>
        </w:rPr>
        <w:t>IEEE Transactions on Computational Biology and Bioinformatics</w:t>
      </w:r>
      <w:r>
        <w:rPr>
          <w:rFonts w:ascii="Calibri" w:hAnsi="Calibri"/>
          <w:b w:val="0"/>
          <w:i w:val="0"/>
          <w:sz w:val="22"/>
        </w:rPr>
        <w:t>, Vol. 23, No. 3, May/June 2026.</w:t>
      </w:r>
    </w:p>
    <w:p>
      <w:pPr>
        <w:keepNext/>
        <w:spacing w:before="200" w:after="60"/>
      </w:pPr>
      <w:r>
        <w:rPr>
          <w:rFonts w:ascii="Calibri" w:hAnsi="Calibri"/>
          <w:b/>
          <w:color w:val="1E293B"/>
          <w:sz w:val="22"/>
        </w:rPr>
        <w:t>4.1 Introduction Analysis</w:t>
      </w:r>
    </w:p>
    <w:p>
      <w:pPr>
        <w:pStyle w:val="ListBullet"/>
        <w:spacing w:before="20" w:after="40" w:line="276" w:lineRule="auto"/>
      </w:pPr>
      <w:r>
        <w:rPr>
          <w:rFonts w:ascii="Calibri" w:hAnsi="Calibri"/>
          <w:b/>
          <w:i w:val="0"/>
          <w:sz w:val="22"/>
        </w:rPr>
        <w:t>Core Problem</w:t>
      </w:r>
      <w:r>
        <w:rPr>
          <w:rFonts w:ascii="Calibri" w:hAnsi="Calibri"/>
          <w:b w:val="0"/>
          <w:i w:val="0"/>
          <w:sz w:val="22"/>
        </w:rPr>
        <w:t>: Supervised learning on small bioassay datasets frequently leads to overfitting due to limited labeled samples. Self-supervised learning (SSL) provides a solution, but unimodal SSL fails to learn invariant representations across heterogeneous chemical modalities.</w:t>
      </w:r>
    </w:p>
    <w:p>
      <w:pPr>
        <w:pStyle w:val="ListBullet"/>
        <w:spacing w:before="20" w:after="40" w:line="276" w:lineRule="auto"/>
      </w:pPr>
      <w:r>
        <w:rPr>
          <w:rFonts w:ascii="Calibri" w:hAnsi="Calibri"/>
          <w:b/>
          <w:i w:val="0"/>
          <w:sz w:val="22"/>
        </w:rPr>
        <w:t>Critique of Prior Art</w:t>
      </w:r>
      <w:r>
        <w:rPr>
          <w:rFonts w:ascii="Calibri" w:hAnsi="Calibri"/>
          <w:b w:val="0"/>
          <w:i w:val="0"/>
          <w:sz w:val="22"/>
        </w:rPr>
        <w:t>: Existing contrastive models (e.g., InfoGraph, MolCLR) operate exclusively within a single modality (e.g., 2D graph perturbations) using artificial node dropping or subgraph masking, which frequently alters the true chemical identity (e.g., removing a carboxyl group transforms an acid into an inert hydrocarbon).</w:t>
      </w:r>
    </w:p>
    <w:p>
      <w:pPr>
        <w:pStyle w:val="ListBullet"/>
        <w:spacing w:before="20" w:after="40" w:line="276" w:lineRule="auto"/>
      </w:pPr>
      <w:r>
        <w:rPr>
          <w:rFonts w:ascii="Calibri" w:hAnsi="Calibri"/>
          <w:b/>
          <w:i w:val="0"/>
          <w:sz w:val="22"/>
        </w:rPr>
        <w:t>Stated Contribution</w:t>
      </w:r>
      <w:r>
        <w:rPr>
          <w:rFonts w:ascii="Calibri" w:hAnsi="Calibri"/>
          <w:b w:val="0"/>
          <w:i w:val="0"/>
          <w:sz w:val="22"/>
        </w:rPr>
        <w:t>: Proposes MMCL, a multi-modal contrastive pre-training framework that pairs 1D SMILES representations with 2D Molecular Graph representations of the same molecule as natural positive pairs, enforcing cross-modal mutual information maximization via InfoNCE loss before fine-tuning.</w:t>
      </w:r>
    </w:p>
    <w:p>
      <w:pPr>
        <w:keepNext/>
        <w:spacing w:before="200" w:after="60"/>
      </w:pPr>
      <w:r>
        <w:rPr>
          <w:rFonts w:ascii="Calibri" w:hAnsi="Calibri"/>
          <w:b/>
          <w:color w:val="1E293B"/>
          <w:sz w:val="22"/>
        </w:rPr>
        <w:t>4.2 Methodology Analysis</w:t>
      </w:r>
    </w:p>
    <w:p>
      <w:pPr>
        <w:pStyle w:val="ListBullet"/>
        <w:spacing w:before="20" w:after="40" w:line="276" w:lineRule="auto"/>
      </w:pPr>
      <w:r>
        <w:rPr>
          <w:rFonts w:ascii="Calibri" w:hAnsi="Calibri"/>
          <w:b/>
          <w:i w:val="0"/>
          <w:sz w:val="22"/>
        </w:rPr>
        <w:t>Encoders</w:t>
      </w:r>
      <w:r>
        <w:rPr>
          <w:rFonts w:ascii="Calibri" w:hAnsi="Calibri"/>
          <w:b w:val="0"/>
          <w:i w:val="0"/>
          <w:sz w:val="22"/>
        </w:rPr>
        <w:t>:</w:t>
      </w:r>
    </w:p>
    <w:p>
      <w:pPr>
        <w:pStyle w:val="ListBullet"/>
        <w:spacing w:before="20" w:after="40" w:line="276" w:lineRule="auto"/>
      </w:pPr>
      <w:r>
        <w:rPr>
          <w:rFonts w:ascii="Calibri" w:hAnsi="Calibri"/>
          <w:b w:val="0"/>
          <w:i w:val="0"/>
          <w:sz w:val="22"/>
        </w:rPr>
        <w:t xml:space="preserve">1D SMILES Encoder: 12-layer Transformer (ChemBERTa-style) yielding </w:t>
      </w:r>
      <w:r>
        <w:rPr>
          <w:rFonts w:ascii="Cambria Math" w:hAnsi="Cambria Math"/>
          <w:i/>
          <w:sz w:val="22"/>
        </w:rPr>
        <w:t>\mathbf{z}_{\text{seq}} \in \mathbb{R}^d</w:t>
      </w:r>
      <w:r>
        <w:rPr>
          <w:rFonts w:ascii="Calibri" w:hAnsi="Calibri"/>
          <w:b w:val="0"/>
          <w:i w:val="0"/>
          <w:sz w:val="22"/>
        </w:rPr>
        <w:t>.</w:t>
      </w:r>
    </w:p>
    <w:p>
      <w:pPr>
        <w:pStyle w:val="ListBullet"/>
        <w:spacing w:before="20" w:after="40" w:line="276" w:lineRule="auto"/>
      </w:pPr>
      <w:r>
        <w:rPr>
          <w:rFonts w:ascii="Calibri" w:hAnsi="Calibri"/>
          <w:b w:val="0"/>
          <w:i w:val="0"/>
          <w:sz w:val="22"/>
        </w:rPr>
        <w:t xml:space="preserve">2D Graph Encoder: 5-layer Graph Isomorphism Network (GIN) with edge features yielding </w:t>
      </w:r>
      <w:r>
        <w:rPr>
          <w:rFonts w:ascii="Cambria Math" w:hAnsi="Cambria Math"/>
          <w:i/>
          <w:sz w:val="22"/>
        </w:rPr>
        <w:t>\mathbf{z}_{\text{graph}} \in \mathbb{R}^d</w:t>
      </w:r>
      <w:r>
        <w:rPr>
          <w:rFonts w:ascii="Calibri" w:hAnsi="Calibri"/>
          <w:b w:val="0"/>
          <w:i w:val="0"/>
          <w:sz w:val="22"/>
        </w:rPr>
        <w:t>.</w:t>
      </w:r>
    </w:p>
    <w:p>
      <w:pPr>
        <w:pStyle w:val="ListBullet"/>
        <w:spacing w:before="20" w:after="40" w:line="276" w:lineRule="auto"/>
      </w:pPr>
      <w:r>
        <w:rPr>
          <w:rFonts w:ascii="Calibri" w:hAnsi="Calibri"/>
          <w:b/>
          <w:i w:val="0"/>
          <w:sz w:val="22"/>
        </w:rPr>
        <w:t>Multi-Modal Contrastive Loss (InfoNCE)</w:t>
      </w:r>
      <w:r>
        <w:rPr>
          <w:rFonts w:ascii="Calibri" w:hAnsi="Calibri"/>
          <w:b w:val="0"/>
          <w:i w:val="0"/>
          <w:sz w:val="22"/>
        </w:rPr>
        <w:t>:</w:t>
      </w:r>
    </w:p>
    <w:p>
      <w:pPr>
        <w:spacing w:before="100" w:after="100"/>
        <w:jc w:val="center"/>
      </w:pPr>
      <w:r>
        <w:rPr>
          <w:rFonts w:ascii="Cambria Math" w:hAnsi="Cambria Math"/>
          <w:i/>
          <w:color w:val="0F172A"/>
          <w:sz w:val="21"/>
        </w:rPr>
        <w:t>\mathcal{L}_{\text{CL}} = -\frac{1}{2B} \sum_{i=1}^B \left( \log \frac{\exp(\text{sim}(\mathbf{z}_{\text{seq}}^{(i)}, \mathbf{z}_{\text{graph}}^{(i)}) / \tau)}{\sum_{j=1}^B \exp(\text{sim}(\mathbf{z}_{\text{seq}}^{(i)}, \mathbf{z}_{\text{graph}}^{(j)}) / \tau)} + \log \frac{\exp(\text{sim}(\mathbf{z}_{\text{graph}}^{(i)}, \mathbf{z}_{\text{seq}}^{(i)}) / \tau)}{\sum_{j=1}^B \exp(\text{sim}(\mathbf{z}_{\text{graph}}^{(i)}, \mathbf{z}_{\text{seq}}^{(j)}) / \tau)} \right)</w:t>
      </w:r>
    </w:p>
    <w:p>
      <w:pPr>
        <w:spacing w:before="0" w:after="100" w:line="283" w:lineRule="auto"/>
      </w:pPr>
      <w:r>
        <w:rPr>
          <w:rFonts w:ascii="Calibri" w:hAnsi="Calibri"/>
          <w:b w:val="0"/>
          <w:i w:val="0"/>
          <w:sz w:val="22"/>
        </w:rPr>
        <w:t xml:space="preserve">where </w:t>
      </w:r>
      <w:r>
        <w:rPr>
          <w:rFonts w:ascii="Cambria Math" w:hAnsi="Cambria Math"/>
          <w:i/>
          <w:sz w:val="22"/>
        </w:rPr>
        <w:t>\text{sim}(\mathbf{u}, \mathbf{v}) = \frac{\mathbf{u}^T \mathbf{v}}{\|\mathbf{u}\|_2 \|\mathbf{v}\|_2}</w:t>
      </w:r>
      <w:r>
        <w:rPr>
          <w:rFonts w:ascii="Calibri" w:hAnsi="Calibri"/>
          <w:b w:val="0"/>
          <w:i w:val="0"/>
          <w:sz w:val="22"/>
        </w:rPr>
        <w:t xml:space="preserve"> and </w:t>
      </w:r>
      <w:r>
        <w:rPr>
          <w:rFonts w:ascii="Cambria Math" w:hAnsi="Cambria Math"/>
          <w:i/>
          <w:sz w:val="22"/>
        </w:rPr>
        <w:t>\tau</w:t>
      </w:r>
      <w:r>
        <w:rPr>
          <w:rFonts w:ascii="Calibri" w:hAnsi="Calibri"/>
          <w:b w:val="0"/>
          <w:i w:val="0"/>
          <w:sz w:val="22"/>
        </w:rPr>
        <w:t xml:space="preserve"> is the temperature hyperparameter.</w:t>
      </w:r>
    </w:p>
    <w:p>
      <w:pPr>
        <w:pStyle w:val="ListBullet"/>
        <w:spacing w:before="20" w:after="40" w:line="276" w:lineRule="auto"/>
      </w:pPr>
      <w:r>
        <w:rPr>
          <w:rFonts w:ascii="Calibri" w:hAnsi="Calibri"/>
          <w:b/>
          <w:i w:val="0"/>
          <w:sz w:val="22"/>
        </w:rPr>
        <w:t>Fine-Tuning</w:t>
      </w:r>
      <w:r>
        <w:rPr>
          <w:rFonts w:ascii="Calibri" w:hAnsi="Calibri"/>
          <w:b w:val="0"/>
          <w:i w:val="0"/>
          <w:sz w:val="22"/>
        </w:rPr>
        <w:t>: Pre-trained representations are concatenated and passed to multi-layer MLP prediction heads.</w:t>
      </w:r>
    </w:p>
    <w:p>
      <w:pPr>
        <w:keepNext/>
        <w:spacing w:before="200" w:after="60"/>
      </w:pPr>
      <w:r>
        <w:rPr>
          <w:rFonts w:ascii="Calibri" w:hAnsi="Calibri"/>
          <w:b/>
          <w:color w:val="1E293B"/>
          <w:sz w:val="22"/>
        </w:rPr>
        <w:t>4.3 Results &amp; Limitations</w:t>
      </w:r>
    </w:p>
    <w:p>
      <w:pPr>
        <w:pStyle w:val="ListBullet"/>
        <w:spacing w:before="20" w:after="40" w:line="276" w:lineRule="auto"/>
      </w:pPr>
      <w:r>
        <w:rPr>
          <w:rFonts w:ascii="Calibri" w:hAnsi="Calibri"/>
          <w:b/>
          <w:i w:val="0"/>
          <w:sz w:val="22"/>
        </w:rPr>
        <w:t>Empirical Performance</w:t>
      </w:r>
      <w:r>
        <w:rPr>
          <w:rFonts w:ascii="Calibri" w:hAnsi="Calibri"/>
          <w:b w:val="0"/>
          <w:i w:val="0"/>
          <w:sz w:val="22"/>
        </w:rPr>
        <w:t>:</w:t>
      </w:r>
    </w:p>
    <w:p>
      <w:pPr>
        <w:pStyle w:val="ListBullet"/>
        <w:spacing w:before="20" w:after="40" w:line="276" w:lineRule="auto"/>
      </w:pPr>
      <w:r>
        <w:rPr>
          <w:rFonts w:ascii="Calibri" w:hAnsi="Calibri"/>
          <w:b w:val="0"/>
          <w:i w:val="0"/>
          <w:sz w:val="22"/>
        </w:rPr>
        <w:t>MoleculeNet Classification: BBBP = 94.2% ROC-AUC, BACE = 88.9%, ClinTox = 96.1%, Tox21 = 83.8%, SIDER = 66.8%, HIV = 80.2%.</w:t>
      </w:r>
    </w:p>
    <w:p>
      <w:pPr>
        <w:pStyle w:val="ListBullet"/>
        <w:spacing w:before="20" w:after="40" w:line="276" w:lineRule="auto"/>
      </w:pPr>
      <w:r>
        <w:rPr>
          <w:rFonts w:ascii="Calibri" w:hAnsi="Calibri"/>
          <w:b w:val="0"/>
          <w:i w:val="0"/>
          <w:sz w:val="22"/>
        </w:rPr>
        <w:t>Regression: ESOL RMSE = 0.578, FreeSolv RMSE = 0.812, Lipophilicity RMSE = 0.589.</w:t>
      </w:r>
    </w:p>
    <w:p>
      <w:pPr>
        <w:pStyle w:val="ListBullet"/>
        <w:spacing w:before="20" w:after="40" w:line="276" w:lineRule="auto"/>
      </w:pPr>
      <w:r>
        <w:rPr>
          <w:rFonts w:ascii="Calibri" w:hAnsi="Calibri"/>
          <w:b/>
          <w:i w:val="0"/>
          <w:sz w:val="22"/>
        </w:rPr>
        <w:t>Ablation Insights</w:t>
      </w:r>
      <w:r>
        <w:rPr>
          <w:rFonts w:ascii="Calibri" w:hAnsi="Calibri"/>
          <w:b w:val="0"/>
          <w:i w:val="0"/>
          <w:sz w:val="22"/>
        </w:rPr>
        <w:t>: Contrastive pre-training contributed a +2.8% average ROC-AUC improvement across all MoleculeNet benchmarks compared to training from scratch.</w:t>
      </w:r>
    </w:p>
    <w:p>
      <w:pPr>
        <w:pStyle w:val="ListBullet"/>
        <w:spacing w:before="20" w:after="40" w:line="276" w:lineRule="auto"/>
      </w:pPr>
      <w:r>
        <w:rPr>
          <w:rFonts w:ascii="Calibri" w:hAnsi="Calibri"/>
          <w:b/>
          <w:i w:val="0"/>
          <w:sz w:val="22"/>
        </w:rPr>
        <w:t>Unresolved Gaps</w:t>
      </w:r>
      <w:r>
        <w:rPr>
          <w:rFonts w:ascii="Calibri" w:hAnsi="Calibri"/>
          <w:b w:val="0"/>
          <w:i w:val="0"/>
          <w:sz w:val="22"/>
        </w:rPr>
        <w:t>:</w:t>
      </w:r>
    </w:p>
    <w:p>
      <w:pPr>
        <w:pStyle w:val="ListNumber"/>
        <w:spacing w:before="20" w:after="40" w:line="276" w:lineRule="auto"/>
      </w:pPr>
      <w:r>
        <w:rPr>
          <w:rFonts w:ascii="Calibri" w:hAnsi="Calibri"/>
          <w:b w:val="0"/>
          <w:i w:val="0"/>
          <w:sz w:val="22"/>
        </w:rPr>
        <w:t>Contrastive pairing is restricted strictly to 1D and 2D; ignores 3D spatial conformer views.</w:t>
      </w:r>
    </w:p>
    <w:p>
      <w:pPr>
        <w:pStyle w:val="ListNumber"/>
        <w:spacing w:before="20" w:after="40" w:line="276" w:lineRule="auto"/>
      </w:pPr>
      <w:r>
        <w:rPr>
          <w:rFonts w:ascii="Calibri" w:hAnsi="Calibri"/>
          <w:b w:val="0"/>
          <w:i w:val="0"/>
          <w:sz w:val="22"/>
        </w:rPr>
        <w:t>Fixed uniform fusion (simple concatenation) assumes equal modality contribution across all molecular properties, ignoring property-dependent domain demands.</w:t>
      </w:r>
    </w:p>
    <w:p>
      <w:pPr>
        <w:pStyle w:val="ListNumber"/>
        <w:spacing w:before="20" w:after="40" w:line="276" w:lineRule="auto"/>
      </w:pPr>
      <w:r>
        <w:rPr>
          <w:rFonts w:ascii="Calibri" w:hAnsi="Calibri"/>
          <w:b w:val="0"/>
          <w:i w:val="0"/>
          <w:sz w:val="22"/>
        </w:rPr>
        <w:t>Flat 2D GIN misses hierarchical substructures and positional isomerism.</w:t>
      </w:r>
    </w:p>
    <w:p>
      <w:pPr>
        <w:keepNext/>
        <w:spacing w:before="260" w:after="80"/>
      </w:pPr>
      <w:r>
        <w:rPr>
          <w:rFonts w:ascii="Calibri" w:hAnsi="Calibri"/>
          <w:b/>
          <w:color w:val="2563EB"/>
          <w:sz w:val="24"/>
        </w:rPr>
        <w:t>5. Paper 5: MSGG (IEEE Access 2020)</w:t>
      </w:r>
    </w:p>
    <w:p>
      <w:pPr>
        <w:spacing w:before="0" w:after="100" w:line="283" w:lineRule="auto"/>
      </w:pPr>
      <w:r>
        <w:rPr>
          <w:rFonts w:ascii="Calibri" w:hAnsi="Calibri"/>
          <w:b w:val="0"/>
          <w:i w:val="0"/>
          <w:sz w:val="22"/>
        </w:rPr>
        <w:t xml:space="preserve">&gt; </w:t>
      </w:r>
      <w:r>
        <w:rPr>
          <w:rFonts w:ascii="Calibri" w:hAnsi="Calibri"/>
          <w:b/>
          <w:i w:val="0"/>
          <w:sz w:val="22"/>
        </w:rPr>
        <w:t>Title</w:t>
      </w:r>
      <w:r>
        <w:rPr>
          <w:rFonts w:ascii="Calibri" w:hAnsi="Calibri"/>
          <w:b w:val="0"/>
          <w:i w:val="0"/>
          <w:sz w:val="22"/>
        </w:rPr>
        <w:t xml:space="preserve">: </w:t>
      </w:r>
      <w:r>
        <w:rPr>
          <w:rFonts w:ascii="Calibri" w:hAnsi="Calibri"/>
          <w:b w:val="0"/>
          <w:i/>
          <w:sz w:val="22"/>
        </w:rPr>
        <w:t>Molecular Property Prediction Based on a Multichannel Substructure Graph</w:t>
      </w:r>
    </w:p>
    <w:p>
      <w:pPr>
        <w:spacing w:before="0" w:after="100" w:line="283" w:lineRule="auto"/>
      </w:pPr>
      <w:r>
        <w:rPr>
          <w:rFonts w:ascii="Calibri" w:hAnsi="Calibri"/>
          <w:b w:val="0"/>
          <w:i w:val="0"/>
          <w:sz w:val="22"/>
        </w:rPr>
        <w:t xml:space="preserve">&gt; </w:t>
      </w:r>
      <w:r>
        <w:rPr>
          <w:rFonts w:ascii="Calibri" w:hAnsi="Calibri"/>
          <w:b/>
          <w:i w:val="0"/>
          <w:sz w:val="22"/>
        </w:rPr>
        <w:t>Authors</w:t>
      </w:r>
      <w:r>
        <w:rPr>
          <w:rFonts w:ascii="Calibri" w:hAnsi="Calibri"/>
          <w:b w:val="0"/>
          <w:i w:val="0"/>
          <w:sz w:val="22"/>
        </w:rPr>
        <w:t>: Shuang Wang, Zhen Li, Shugang Zhang, Mingjian Jiang, Xiaofeng Wang, Zhiqiang Wei</w:t>
      </w:r>
    </w:p>
    <w:p>
      <w:pPr>
        <w:spacing w:before="0" w:after="100" w:line="283" w:lineRule="auto"/>
      </w:pPr>
      <w:r>
        <w:rPr>
          <w:rFonts w:ascii="Calibri" w:hAnsi="Calibri"/>
          <w:b w:val="0"/>
          <w:i w:val="0"/>
          <w:sz w:val="22"/>
        </w:rPr>
        <w:t xml:space="preserve">&gt; </w:t>
      </w:r>
      <w:r>
        <w:rPr>
          <w:rFonts w:ascii="Calibri" w:hAnsi="Calibri"/>
          <w:b/>
          <w:i w:val="0"/>
          <w:sz w:val="22"/>
        </w:rPr>
        <w:t>Venue</w:t>
      </w:r>
      <w:r>
        <w:rPr>
          <w:rFonts w:ascii="Calibri" w:hAnsi="Calibri"/>
          <w:b w:val="0"/>
          <w:i w:val="0"/>
          <w:sz w:val="22"/>
        </w:rPr>
        <w:t xml:space="preserve">: </w:t>
      </w:r>
      <w:r>
        <w:rPr>
          <w:rFonts w:ascii="Calibri" w:hAnsi="Calibri"/>
          <w:b w:val="0"/>
          <w:i/>
          <w:sz w:val="22"/>
        </w:rPr>
        <w:t>IEEE Access</w:t>
      </w:r>
      <w:r>
        <w:rPr>
          <w:rFonts w:ascii="Calibri" w:hAnsi="Calibri"/>
          <w:b w:val="0"/>
          <w:i w:val="0"/>
          <w:sz w:val="22"/>
        </w:rPr>
        <w:t>, Vol. 8, pp. 2968535, 2020.</w:t>
      </w:r>
    </w:p>
    <w:p>
      <w:pPr>
        <w:keepNext/>
        <w:spacing w:before="200" w:after="60"/>
      </w:pPr>
      <w:r>
        <w:rPr>
          <w:rFonts w:ascii="Calibri" w:hAnsi="Calibri"/>
          <w:b/>
          <w:color w:val="1E293B"/>
          <w:sz w:val="22"/>
        </w:rPr>
        <w:t>5.1 Introduction Analysis</w:t>
      </w:r>
    </w:p>
    <w:p>
      <w:pPr>
        <w:pStyle w:val="ListBullet"/>
        <w:spacing w:before="20" w:after="40" w:line="276" w:lineRule="auto"/>
      </w:pPr>
      <w:r>
        <w:rPr>
          <w:rFonts w:ascii="Calibri" w:hAnsi="Calibri"/>
          <w:b/>
          <w:i w:val="0"/>
          <w:sz w:val="22"/>
        </w:rPr>
        <w:t>Core Problem</w:t>
      </w:r>
      <w:r>
        <w:rPr>
          <w:rFonts w:ascii="Calibri" w:hAnsi="Calibri"/>
          <w:b w:val="0"/>
          <w:i w:val="0"/>
          <w:sz w:val="22"/>
        </w:rPr>
        <w:t xml:space="preserve">: Standard atom-level graph neural networks (e.g., GCN, GAT, MPNN) treat chemical bonds as simple 1-hop edges, failing to capture meso-scale functional groups (pharmacophores) and positional isomerism (e.g., </w:t>
      </w:r>
      <w:r>
        <w:rPr>
          <w:rFonts w:ascii="Calibri" w:hAnsi="Calibri"/>
          <w:b w:val="0"/>
          <w:i/>
          <w:sz w:val="22"/>
        </w:rPr>
        <w:t>ortho</w:t>
      </w:r>
      <w:r>
        <w:rPr>
          <w:rFonts w:ascii="Calibri" w:hAnsi="Calibri"/>
          <w:b w:val="0"/>
          <w:i w:val="0"/>
          <w:sz w:val="22"/>
        </w:rPr>
        <w:t xml:space="preserve">-, </w:t>
      </w:r>
      <w:r>
        <w:rPr>
          <w:rFonts w:ascii="Calibri" w:hAnsi="Calibri"/>
          <w:b w:val="0"/>
          <w:i/>
          <w:sz w:val="22"/>
        </w:rPr>
        <w:t>meta</w:t>
      </w:r>
      <w:r>
        <w:rPr>
          <w:rFonts w:ascii="Calibri" w:hAnsi="Calibri"/>
          <w:b w:val="0"/>
          <w:i w:val="0"/>
          <w:sz w:val="22"/>
        </w:rPr>
        <w:t xml:space="preserve">-, </w:t>
      </w:r>
      <w:r>
        <w:rPr>
          <w:rFonts w:ascii="Calibri" w:hAnsi="Calibri"/>
          <w:b w:val="0"/>
          <w:i/>
          <w:sz w:val="22"/>
        </w:rPr>
        <w:t>para</w:t>
      </w:r>
      <w:r>
        <w:rPr>
          <w:rFonts w:ascii="Calibri" w:hAnsi="Calibri"/>
          <w:b w:val="0"/>
          <w:i w:val="0"/>
          <w:sz w:val="22"/>
        </w:rPr>
        <w:t>-substitution on aromatic rings, conjugated double bond systems).</w:t>
      </w:r>
    </w:p>
    <w:p>
      <w:pPr>
        <w:pStyle w:val="ListBullet"/>
        <w:spacing w:before="20" w:after="40" w:line="276" w:lineRule="auto"/>
      </w:pPr>
      <w:r>
        <w:rPr>
          <w:rFonts w:ascii="Calibri" w:hAnsi="Calibri"/>
          <w:b/>
          <w:i w:val="0"/>
          <w:sz w:val="22"/>
        </w:rPr>
        <w:t>Critique of Prior Art</w:t>
      </w:r>
      <w:r>
        <w:rPr>
          <w:rFonts w:ascii="Calibri" w:hAnsi="Calibri"/>
          <w:b w:val="0"/>
          <w:i w:val="0"/>
          <w:sz w:val="22"/>
        </w:rPr>
        <w:t>: Atom-level message passing requires deep GNN stacking to aggregate distant ring positions, inducing the known "over-smoothing" and "information bottleneck" phenomena where distinct structural motifs blend into indistinct averaged vectors.</w:t>
      </w:r>
    </w:p>
    <w:p>
      <w:pPr>
        <w:pStyle w:val="ListBullet"/>
        <w:spacing w:before="20" w:after="40" w:line="276" w:lineRule="auto"/>
      </w:pPr>
      <w:r>
        <w:rPr>
          <w:rFonts w:ascii="Calibri" w:hAnsi="Calibri"/>
          <w:b/>
          <w:i w:val="0"/>
          <w:sz w:val="22"/>
        </w:rPr>
        <w:t>Stated Contribution</w:t>
      </w:r>
      <w:r>
        <w:rPr>
          <w:rFonts w:ascii="Calibri" w:hAnsi="Calibri"/>
          <w:b w:val="0"/>
          <w:i w:val="0"/>
          <w:sz w:val="22"/>
        </w:rPr>
        <w:t>: Introduces the Multichannel Substructure Graph (MSGG), decomposing molecules into functional substructures interconnected via 8 specialized geometric/topological relation channels (</w:t>
      </w:r>
      <w:r>
        <w:rPr>
          <w:rFonts w:ascii="Calibri" w:hAnsi="Calibri"/>
          <w:b w:val="0"/>
          <w:i/>
          <w:sz w:val="22"/>
        </w:rPr>
        <w:t>ortho</w:t>
      </w:r>
      <w:r>
        <w:rPr>
          <w:rFonts w:ascii="Calibri" w:hAnsi="Calibri"/>
          <w:b w:val="0"/>
          <w:i w:val="0"/>
          <w:sz w:val="22"/>
        </w:rPr>
        <w:t xml:space="preserve">, </w:t>
      </w:r>
      <w:r>
        <w:rPr>
          <w:rFonts w:ascii="Calibri" w:hAnsi="Calibri"/>
          <w:b w:val="0"/>
          <w:i/>
          <w:sz w:val="22"/>
        </w:rPr>
        <w:t>meta</w:t>
      </w:r>
      <w:r>
        <w:rPr>
          <w:rFonts w:ascii="Calibri" w:hAnsi="Calibri"/>
          <w:b w:val="0"/>
          <w:i w:val="0"/>
          <w:sz w:val="22"/>
        </w:rPr>
        <w:t xml:space="preserve">, </w:t>
      </w:r>
      <w:r>
        <w:rPr>
          <w:rFonts w:ascii="Calibri" w:hAnsi="Calibri"/>
          <w:b w:val="0"/>
          <w:i/>
          <w:sz w:val="22"/>
        </w:rPr>
        <w:t>para</w:t>
      </w:r>
      <w:r>
        <w:rPr>
          <w:rFonts w:ascii="Calibri" w:hAnsi="Calibri"/>
          <w:b w:val="0"/>
          <w:i w:val="0"/>
          <w:sz w:val="22"/>
        </w:rPr>
        <w:t xml:space="preserve">, </w:t>
      </w:r>
      <w:r>
        <w:rPr>
          <w:rFonts w:ascii="Calibri" w:hAnsi="Calibri"/>
          <w:b w:val="0"/>
          <w:i/>
          <w:sz w:val="22"/>
        </w:rPr>
        <w:t>fused</w:t>
      </w:r>
      <w:r>
        <w:rPr>
          <w:rFonts w:ascii="Calibri" w:hAnsi="Calibri"/>
          <w:b w:val="0"/>
          <w:i w:val="0"/>
          <w:sz w:val="22"/>
        </w:rPr>
        <w:t xml:space="preserve">, </w:t>
      </w:r>
      <w:r>
        <w:rPr>
          <w:rFonts w:ascii="Calibri" w:hAnsi="Calibri"/>
          <w:b w:val="0"/>
          <w:i/>
          <w:sz w:val="22"/>
        </w:rPr>
        <w:t>bridged</w:t>
      </w:r>
      <w:r>
        <w:rPr>
          <w:rFonts w:ascii="Calibri" w:hAnsi="Calibri"/>
          <w:b w:val="0"/>
          <w:i w:val="0"/>
          <w:sz w:val="22"/>
        </w:rPr>
        <w:t xml:space="preserve">, </w:t>
      </w:r>
      <w:r>
        <w:rPr>
          <w:rFonts w:ascii="Calibri" w:hAnsi="Calibri"/>
          <w:b w:val="0"/>
          <w:i/>
          <w:sz w:val="22"/>
        </w:rPr>
        <w:t>spiro</w:t>
      </w:r>
      <w:r>
        <w:rPr>
          <w:rFonts w:ascii="Calibri" w:hAnsi="Calibri"/>
          <w:b w:val="0"/>
          <w:i w:val="0"/>
          <w:sz w:val="22"/>
        </w:rPr>
        <w:t xml:space="preserve">, </w:t>
      </w:r>
      <w:r>
        <w:rPr>
          <w:rFonts w:ascii="Calibri" w:hAnsi="Calibri"/>
          <w:b w:val="0"/>
          <w:i/>
          <w:sz w:val="22"/>
        </w:rPr>
        <w:t>conjugated</w:t>
      </w:r>
      <w:r>
        <w:rPr>
          <w:rFonts w:ascii="Calibri" w:hAnsi="Calibri"/>
          <w:b w:val="0"/>
          <w:i w:val="0"/>
          <w:sz w:val="22"/>
        </w:rPr>
        <w:t xml:space="preserve">, </w:t>
      </w:r>
      <w:r>
        <w:rPr>
          <w:rFonts w:ascii="Calibri" w:hAnsi="Calibri"/>
          <w:b w:val="0"/>
          <w:i/>
          <w:sz w:val="22"/>
        </w:rPr>
        <w:t>aliphatic</w:t>
      </w:r>
      <w:r>
        <w:rPr>
          <w:rFonts w:ascii="Calibri" w:hAnsi="Calibri"/>
          <w:b w:val="0"/>
          <w:i w:val="0"/>
          <w:sz w:val="22"/>
        </w:rPr>
        <w:t>).</w:t>
      </w:r>
    </w:p>
    <w:p>
      <w:pPr>
        <w:keepNext/>
        <w:spacing w:before="200" w:after="60"/>
      </w:pPr>
      <w:r>
        <w:rPr>
          <w:rFonts w:ascii="Calibri" w:hAnsi="Calibri"/>
          <w:b/>
          <w:color w:val="1E293B"/>
          <w:sz w:val="22"/>
        </w:rPr>
        <w:t>5.2 Methodology Analysis</w:t>
      </w:r>
    </w:p>
    <w:p>
      <w:pPr>
        <w:pStyle w:val="ListBullet"/>
        <w:spacing w:before="20" w:after="40" w:line="276" w:lineRule="auto"/>
      </w:pPr>
      <w:r>
        <w:rPr>
          <w:rFonts w:ascii="Calibri" w:hAnsi="Calibri"/>
          <w:b/>
          <w:i w:val="0"/>
          <w:sz w:val="22"/>
        </w:rPr>
        <w:t>Substructure Graph (S-Graph) Construction</w:t>
      </w:r>
      <w:r>
        <w:rPr>
          <w:rFonts w:ascii="Calibri" w:hAnsi="Calibri"/>
          <w:b w:val="0"/>
          <w:i w:val="0"/>
          <w:sz w:val="22"/>
        </w:rPr>
        <w:t>:</w:t>
      </w:r>
    </w:p>
    <w:p>
      <w:pPr>
        <w:pStyle w:val="ListBullet"/>
        <w:spacing w:before="20" w:after="40" w:line="276" w:lineRule="auto"/>
      </w:pPr>
      <w:r>
        <w:rPr>
          <w:rFonts w:ascii="Calibri" w:hAnsi="Calibri"/>
          <w:b w:val="0"/>
          <w:i w:val="0"/>
          <w:sz w:val="22"/>
        </w:rPr>
        <w:t xml:space="preserve">Molecules are decomposed into functional groups </w:t>
      </w:r>
      <w:r>
        <w:rPr>
          <w:rFonts w:ascii="Cambria Math" w:hAnsi="Cambria Math"/>
          <w:i/>
          <w:sz w:val="22"/>
        </w:rPr>
        <w:t>S = \{s_1, s_2, \dots, s_M\}</w:t>
      </w:r>
      <w:r>
        <w:rPr>
          <w:rFonts w:ascii="Calibri" w:hAnsi="Calibri"/>
          <w:b w:val="0"/>
          <w:i w:val="0"/>
          <w:sz w:val="22"/>
        </w:rPr>
        <w:t xml:space="preserve"> using chemical rules and ring extraction.</w:t>
      </w:r>
    </w:p>
    <w:p>
      <w:pPr>
        <w:pStyle w:val="ListBullet"/>
        <w:spacing w:before="20" w:after="40" w:line="276" w:lineRule="auto"/>
      </w:pPr>
      <w:r>
        <w:rPr>
          <w:rFonts w:ascii="Calibri" w:hAnsi="Calibri"/>
          <w:b w:val="0"/>
          <w:i w:val="0"/>
          <w:sz w:val="22"/>
        </w:rPr>
        <w:t xml:space="preserve">Multi-Channel Adjacency Tensors </w:t>
      </w:r>
      <w:r>
        <w:rPr>
          <w:rFonts w:ascii="Cambria Math" w:hAnsi="Cambria Math"/>
          <w:i/>
          <w:sz w:val="22"/>
        </w:rPr>
        <w:t>\mathbf{A} \in \mathbb{R}^{M \times M \times C}</w:t>
      </w:r>
      <w:r>
        <w:rPr>
          <w:rFonts w:ascii="Calibri" w:hAnsi="Calibri"/>
          <w:b w:val="0"/>
          <w:i w:val="0"/>
          <w:sz w:val="22"/>
        </w:rPr>
        <w:t xml:space="preserve"> where </w:t>
      </w:r>
      <w:r>
        <w:rPr>
          <w:rFonts w:ascii="Cambria Math" w:hAnsi="Cambria Math"/>
          <w:i/>
          <w:sz w:val="22"/>
        </w:rPr>
        <w:t>C=8</w:t>
      </w:r>
      <w:r>
        <w:rPr>
          <w:rFonts w:ascii="Calibri" w:hAnsi="Calibri"/>
          <w:b w:val="0"/>
          <w:i w:val="0"/>
          <w:sz w:val="22"/>
        </w:rPr>
        <w:t xml:space="preserve"> distinct edge channels model specific positional configurations.</w:t>
      </w:r>
    </w:p>
    <w:p>
      <w:pPr>
        <w:pStyle w:val="ListBullet"/>
        <w:spacing w:before="20" w:after="40" w:line="276" w:lineRule="auto"/>
      </w:pPr>
      <w:r>
        <w:rPr>
          <w:rFonts w:ascii="Calibri" w:hAnsi="Calibri"/>
          <w:b/>
          <w:i w:val="0"/>
          <w:sz w:val="22"/>
        </w:rPr>
        <w:t>Multi-Channel Graph Convolution</w:t>
      </w:r>
      <w:r>
        <w:rPr>
          <w:rFonts w:ascii="Calibri" w:hAnsi="Calibri"/>
          <w:b w:val="0"/>
          <w:i w:val="0"/>
          <w:sz w:val="22"/>
        </w:rPr>
        <w:t>:</w:t>
      </w:r>
    </w:p>
    <w:p>
      <w:pPr>
        <w:spacing w:before="100" w:after="100"/>
        <w:jc w:val="center"/>
      </w:pPr>
      <w:r>
        <w:rPr>
          <w:rFonts w:ascii="Cambria Math" w:hAnsi="Cambria Math"/>
          <w:i/>
          <w:color w:val="0F172A"/>
          <w:sz w:val="21"/>
        </w:rPr>
        <w:t>\mathbf{H}^{(l+1)} = \sigma\left(\sum_{c=1}^C \mathbf{D}_c^{-\frac{1}{2}} \mathbf{A}_c \mathbf{D}_c^{-\frac{1}{2}} \mathbf{H}^{(l)} \mathbf{W}_c^{(l)}\right)</w:t>
      </w:r>
    </w:p>
    <w:p>
      <w:pPr>
        <w:spacing w:before="0" w:after="100" w:line="283" w:lineRule="auto"/>
      </w:pPr>
      <w:r>
        <w:rPr>
          <w:rFonts w:ascii="Calibri" w:hAnsi="Calibri"/>
          <w:b w:val="0"/>
          <w:i w:val="0"/>
          <w:sz w:val="22"/>
        </w:rPr>
        <w:t xml:space="preserve">where </w:t>
      </w:r>
      <w:r>
        <w:rPr>
          <w:rFonts w:ascii="Cambria Math" w:hAnsi="Cambria Math"/>
          <w:i/>
          <w:sz w:val="22"/>
        </w:rPr>
        <w:t>\mathbf{A}_c</w:t>
      </w:r>
      <w:r>
        <w:rPr>
          <w:rFonts w:ascii="Calibri" w:hAnsi="Calibri"/>
          <w:b w:val="0"/>
          <w:i w:val="0"/>
          <w:sz w:val="22"/>
        </w:rPr>
        <w:t xml:space="preserve"> denotes the adjacency matrix of channel </w:t>
      </w:r>
      <w:r>
        <w:rPr>
          <w:rFonts w:ascii="Cambria Math" w:hAnsi="Cambria Math"/>
          <w:i/>
          <w:sz w:val="22"/>
        </w:rPr>
        <w:t>c</w:t>
      </w:r>
      <w:r>
        <w:rPr>
          <w:rFonts w:ascii="Calibri" w:hAnsi="Calibri"/>
          <w:b w:val="0"/>
          <w:i w:val="0"/>
          <w:sz w:val="22"/>
        </w:rPr>
        <w:t xml:space="preserve">, and </w:t>
      </w:r>
      <w:r>
        <w:rPr>
          <w:rFonts w:ascii="Cambria Math" w:hAnsi="Cambria Math"/>
          <w:i/>
          <w:sz w:val="22"/>
        </w:rPr>
        <w:t>\mathbf{W}_c^{(l)}</w:t>
      </w:r>
      <w:r>
        <w:rPr>
          <w:rFonts w:ascii="Calibri" w:hAnsi="Calibri"/>
          <w:b w:val="0"/>
          <w:i w:val="0"/>
          <w:sz w:val="22"/>
        </w:rPr>
        <w:t xml:space="preserve"> is the channel-specific transformation matrix.</w:t>
      </w:r>
    </w:p>
    <w:p>
      <w:pPr>
        <w:keepNext/>
        <w:spacing w:before="200" w:after="60"/>
      </w:pPr>
      <w:r>
        <w:rPr>
          <w:rFonts w:ascii="Calibri" w:hAnsi="Calibri"/>
          <w:b/>
          <w:color w:val="1E293B"/>
          <w:sz w:val="22"/>
        </w:rPr>
        <w:t>5.3 Results &amp; Limitations</w:t>
      </w:r>
    </w:p>
    <w:p>
      <w:pPr>
        <w:pStyle w:val="ListBullet"/>
        <w:spacing w:before="20" w:after="40" w:line="276" w:lineRule="auto"/>
      </w:pPr>
      <w:r>
        <w:rPr>
          <w:rFonts w:ascii="Calibri" w:hAnsi="Calibri"/>
          <w:b/>
          <w:i w:val="0"/>
          <w:sz w:val="22"/>
        </w:rPr>
        <w:t>Empirical Performance</w:t>
      </w:r>
      <w:r>
        <w:rPr>
          <w:rFonts w:ascii="Calibri" w:hAnsi="Calibri"/>
          <w:b w:val="0"/>
          <w:i w:val="0"/>
          <w:sz w:val="22"/>
        </w:rPr>
        <w:t>:</w:t>
      </w:r>
    </w:p>
    <w:p>
      <w:pPr>
        <w:pStyle w:val="ListBullet"/>
        <w:spacing w:before="20" w:after="40" w:line="276" w:lineRule="auto"/>
      </w:pPr>
      <w:r>
        <w:rPr>
          <w:rFonts w:ascii="Calibri" w:hAnsi="Calibri"/>
          <w:b w:val="0"/>
          <w:i w:val="0"/>
          <w:sz w:val="22"/>
        </w:rPr>
        <w:t>BBBP = 75.3% ROC-AUC (early random split protocol), BACE = 87.4%, ESOL RMSE = 0.591, FreeSolv RMSE = 0.942.</w:t>
      </w:r>
    </w:p>
    <w:p>
      <w:pPr>
        <w:pStyle w:val="ListBullet"/>
        <w:spacing w:before="20" w:after="40" w:line="276" w:lineRule="auto"/>
      </w:pPr>
      <w:r>
        <w:rPr>
          <w:rFonts w:ascii="Calibri" w:hAnsi="Calibri"/>
          <w:b/>
          <w:i w:val="0"/>
          <w:sz w:val="22"/>
        </w:rPr>
        <w:t>Ablation Insights</w:t>
      </w:r>
      <w:r>
        <w:rPr>
          <w:rFonts w:ascii="Calibri" w:hAnsi="Calibri"/>
          <w:b w:val="0"/>
          <w:i w:val="0"/>
          <w:sz w:val="22"/>
        </w:rPr>
        <w:t>: Multi-channel connectivity showed superior expressiveness on aromatic ring-heavy datasets (BACE, ESOL) compared to single-channel graph baselines.</w:t>
      </w:r>
    </w:p>
    <w:p>
      <w:pPr>
        <w:pStyle w:val="ListBullet"/>
        <w:spacing w:before="20" w:after="40" w:line="276" w:lineRule="auto"/>
      </w:pPr>
      <w:r>
        <w:rPr>
          <w:rFonts w:ascii="Calibri" w:hAnsi="Calibri"/>
          <w:b/>
          <w:i w:val="0"/>
          <w:sz w:val="22"/>
        </w:rPr>
        <w:t>Unresolved Gaps</w:t>
      </w:r>
      <w:r>
        <w:rPr>
          <w:rFonts w:ascii="Calibri" w:hAnsi="Calibri"/>
          <w:b w:val="0"/>
          <w:i w:val="0"/>
          <w:sz w:val="22"/>
        </w:rPr>
        <w:t>:</w:t>
      </w:r>
    </w:p>
    <w:p>
      <w:pPr>
        <w:pStyle w:val="ListNumber"/>
        <w:spacing w:before="20" w:after="40" w:line="276" w:lineRule="auto"/>
      </w:pPr>
      <w:r>
        <w:rPr>
          <w:rFonts w:ascii="Calibri" w:hAnsi="Calibri"/>
          <w:b w:val="0"/>
          <w:i w:val="0"/>
          <w:sz w:val="22"/>
        </w:rPr>
        <w:t>Evaluated on older, non-scaffold benchmark splits with simpler GCN backbones.</w:t>
      </w:r>
    </w:p>
    <w:p>
      <w:pPr>
        <w:pStyle w:val="ListNumber"/>
        <w:spacing w:before="20" w:after="40" w:line="276" w:lineRule="auto"/>
      </w:pPr>
      <w:r>
        <w:rPr>
          <w:rFonts w:ascii="Calibri" w:hAnsi="Calibri"/>
          <w:b w:val="0"/>
          <w:i w:val="0"/>
          <w:sz w:val="22"/>
        </w:rPr>
        <w:t>Lacks 1D language model synergy and 3D continuous Euclidean spatial conformers.</w:t>
      </w:r>
    </w:p>
    <w:p>
      <w:pPr>
        <w:pStyle w:val="ListNumber"/>
        <w:spacing w:before="20" w:after="40" w:line="276" w:lineRule="auto"/>
      </w:pPr>
      <w:r>
        <w:rPr>
          <w:rFonts w:ascii="Calibri" w:hAnsi="Calibri"/>
          <w:b w:val="0"/>
          <w:i w:val="0"/>
          <w:sz w:val="22"/>
        </w:rPr>
        <w:t>High computational overhead for manual rule-based substructure parsing without end-to-end learnable motif Transformers.</w:t>
      </w:r>
    </w:p>
    <w:p>
      <w:pPr>
        <w:keepNext/>
        <w:spacing w:before="260" w:after="80"/>
      </w:pPr>
      <w:r>
        <w:rPr>
          <w:rFonts w:ascii="Calibri" w:hAnsi="Calibri"/>
          <w:b/>
          <w:color w:val="2563EB"/>
          <w:sz w:val="24"/>
        </w:rPr>
        <w:t>6. Paper 6: PG-DERN (IEEE JBHI 2025)</w:t>
      </w:r>
    </w:p>
    <w:p>
      <w:pPr>
        <w:spacing w:before="0" w:after="100" w:line="283" w:lineRule="auto"/>
      </w:pPr>
      <w:r>
        <w:rPr>
          <w:rFonts w:ascii="Calibri" w:hAnsi="Calibri"/>
          <w:b w:val="0"/>
          <w:i w:val="0"/>
          <w:sz w:val="22"/>
        </w:rPr>
        <w:t xml:space="preserve">&gt; </w:t>
      </w:r>
      <w:r>
        <w:rPr>
          <w:rFonts w:ascii="Calibri" w:hAnsi="Calibri"/>
          <w:b/>
          <w:i w:val="0"/>
          <w:sz w:val="22"/>
        </w:rPr>
        <w:t>Title</w:t>
      </w:r>
      <w:r>
        <w:rPr>
          <w:rFonts w:ascii="Calibri" w:hAnsi="Calibri"/>
          <w:b w:val="0"/>
          <w:i w:val="0"/>
          <w:sz w:val="22"/>
        </w:rPr>
        <w:t xml:space="preserve">: </w:t>
      </w:r>
      <w:r>
        <w:rPr>
          <w:rFonts w:ascii="Calibri" w:hAnsi="Calibri"/>
          <w:b w:val="0"/>
          <w:i/>
          <w:sz w:val="22"/>
        </w:rPr>
        <w:t>Property-Guided Few-Shot Learning for Molecular Property Prediction With Dual-View Encoder and Relation Graph Learning Network</w:t>
      </w:r>
    </w:p>
    <w:p>
      <w:pPr>
        <w:spacing w:before="0" w:after="100" w:line="283" w:lineRule="auto"/>
      </w:pPr>
      <w:r>
        <w:rPr>
          <w:rFonts w:ascii="Calibri" w:hAnsi="Calibri"/>
          <w:b w:val="0"/>
          <w:i w:val="0"/>
          <w:sz w:val="22"/>
        </w:rPr>
        <w:t xml:space="preserve">&gt; </w:t>
      </w:r>
      <w:r>
        <w:rPr>
          <w:rFonts w:ascii="Calibri" w:hAnsi="Calibri"/>
          <w:b/>
          <w:i w:val="0"/>
          <w:sz w:val="22"/>
        </w:rPr>
        <w:t>Authors</w:t>
      </w:r>
      <w:r>
        <w:rPr>
          <w:rFonts w:ascii="Calibri" w:hAnsi="Calibri"/>
          <w:b w:val="0"/>
          <w:i w:val="0"/>
          <w:sz w:val="22"/>
        </w:rPr>
        <w:t>: Lianwei Zhang, Dongjiang Niu, Beiyi Zhang, Qiang Zhang, Zhen Li</w:t>
      </w:r>
    </w:p>
    <w:p>
      <w:pPr>
        <w:spacing w:before="0" w:after="100" w:line="283" w:lineRule="auto"/>
      </w:pPr>
      <w:r>
        <w:rPr>
          <w:rFonts w:ascii="Calibri" w:hAnsi="Calibri"/>
          <w:b w:val="0"/>
          <w:i w:val="0"/>
          <w:sz w:val="22"/>
        </w:rPr>
        <w:t xml:space="preserve">&gt; </w:t>
      </w:r>
      <w:r>
        <w:rPr>
          <w:rFonts w:ascii="Calibri" w:hAnsi="Calibri"/>
          <w:b/>
          <w:i w:val="0"/>
          <w:sz w:val="22"/>
        </w:rPr>
        <w:t>Venue</w:t>
      </w:r>
      <w:r>
        <w:rPr>
          <w:rFonts w:ascii="Calibri" w:hAnsi="Calibri"/>
          <w:b w:val="0"/>
          <w:i w:val="0"/>
          <w:sz w:val="22"/>
        </w:rPr>
        <w:t xml:space="preserve">: </w:t>
      </w:r>
      <w:r>
        <w:rPr>
          <w:rFonts w:ascii="Calibri" w:hAnsi="Calibri"/>
          <w:b w:val="0"/>
          <w:i/>
          <w:sz w:val="22"/>
        </w:rPr>
        <w:t>IEEE Journal of Biomedical and Health Informatics</w:t>
      </w:r>
      <w:r>
        <w:rPr>
          <w:rFonts w:ascii="Calibri" w:hAnsi="Calibri"/>
          <w:b w:val="0"/>
          <w:i w:val="0"/>
          <w:sz w:val="22"/>
        </w:rPr>
        <w:t>, Vol. 29, No. 3, March 2025.</w:t>
      </w:r>
    </w:p>
    <w:p>
      <w:pPr>
        <w:keepNext/>
        <w:spacing w:before="200" w:after="60"/>
      </w:pPr>
      <w:r>
        <w:rPr>
          <w:rFonts w:ascii="Calibri" w:hAnsi="Calibri"/>
          <w:b/>
          <w:color w:val="1E293B"/>
          <w:sz w:val="22"/>
        </w:rPr>
        <w:t>6.1 Introduction Analysis</w:t>
      </w:r>
    </w:p>
    <w:p>
      <w:pPr>
        <w:pStyle w:val="ListBullet"/>
        <w:spacing w:before="20" w:after="40" w:line="276" w:lineRule="auto"/>
      </w:pPr>
      <w:r>
        <w:rPr>
          <w:rFonts w:ascii="Calibri" w:hAnsi="Calibri"/>
          <w:b/>
          <w:i w:val="0"/>
          <w:sz w:val="22"/>
        </w:rPr>
        <w:t>Core Problem</w:t>
      </w:r>
      <w:r>
        <w:rPr>
          <w:rFonts w:ascii="Calibri" w:hAnsi="Calibri"/>
          <w:b w:val="0"/>
          <w:i w:val="0"/>
          <w:sz w:val="22"/>
        </w:rPr>
        <w:t xml:space="preserve">: In early-stage drug discovery and rare disease research, experimental assay data is severely limited (few-shot regime, </w:t>
      </w:r>
      <w:r>
        <w:rPr>
          <w:rFonts w:ascii="Cambria Math" w:hAnsi="Cambria Math"/>
          <w:i/>
          <w:sz w:val="22"/>
        </w:rPr>
        <w:t>K \le 10</w:t>
      </w:r>
      <w:r>
        <w:rPr>
          <w:rFonts w:ascii="Calibri" w:hAnsi="Calibri"/>
          <w:b w:val="0"/>
          <w:i w:val="0"/>
          <w:sz w:val="22"/>
        </w:rPr>
        <w:t xml:space="preserve"> labeled samples per task). Conventional deep learning architectures overfit catastrophically when trained on scarce bioassay data.</w:t>
      </w:r>
    </w:p>
    <w:p>
      <w:pPr>
        <w:pStyle w:val="ListBullet"/>
        <w:spacing w:before="20" w:after="40" w:line="276" w:lineRule="auto"/>
      </w:pPr>
      <w:r>
        <w:rPr>
          <w:rFonts w:ascii="Calibri" w:hAnsi="Calibri"/>
          <w:b/>
          <w:i w:val="0"/>
          <w:sz w:val="22"/>
        </w:rPr>
        <w:t>Critique of Prior Art</w:t>
      </w:r>
      <w:r>
        <w:rPr>
          <w:rFonts w:ascii="Calibri" w:hAnsi="Calibri"/>
          <w:b w:val="0"/>
          <w:i w:val="0"/>
          <w:sz w:val="22"/>
        </w:rPr>
        <w:t>: Existing meta-learning paradigms (e.g., MAML) optimize meta-parameters uniformly without leveraging inter-property semantic correlations or multi-scale structural priors.</w:t>
      </w:r>
    </w:p>
    <w:p>
      <w:pPr>
        <w:pStyle w:val="ListBullet"/>
        <w:spacing w:before="20" w:after="40" w:line="276" w:lineRule="auto"/>
      </w:pPr>
      <w:r>
        <w:rPr>
          <w:rFonts w:ascii="Calibri" w:hAnsi="Calibri"/>
          <w:b/>
          <w:i w:val="0"/>
          <w:sz w:val="22"/>
        </w:rPr>
        <w:t>Stated Contribution</w:t>
      </w:r>
      <w:r>
        <w:rPr>
          <w:rFonts w:ascii="Calibri" w:hAnsi="Calibri"/>
          <w:b w:val="0"/>
          <w:i w:val="0"/>
          <w:sz w:val="22"/>
        </w:rPr>
        <w:t>: Proposes PG-DERN, combining a Dual-View Encoder (Node-level GNN + Subgraph-level GNN via BRICS decomposition) with a Property-Guided Relation Graph Learning module and MAML meta-optimization.</w:t>
      </w:r>
    </w:p>
    <w:p>
      <w:pPr>
        <w:keepNext/>
        <w:spacing w:before="200" w:after="60"/>
      </w:pPr>
      <w:r>
        <w:rPr>
          <w:rFonts w:ascii="Calibri" w:hAnsi="Calibri"/>
          <w:b/>
          <w:color w:val="1E293B"/>
          <w:sz w:val="22"/>
        </w:rPr>
        <w:t>6.2 Methodology Analysis</w:t>
      </w:r>
    </w:p>
    <w:p>
      <w:pPr>
        <w:pStyle w:val="ListBullet"/>
        <w:spacing w:before="20" w:after="40" w:line="276" w:lineRule="auto"/>
      </w:pPr>
      <w:r>
        <w:rPr>
          <w:rFonts w:ascii="Calibri" w:hAnsi="Calibri"/>
          <w:b/>
          <w:i w:val="0"/>
          <w:sz w:val="22"/>
        </w:rPr>
        <w:t>Dual-View Graph Encoder</w:t>
      </w:r>
      <w:r>
        <w:rPr>
          <w:rFonts w:ascii="Calibri" w:hAnsi="Calibri"/>
          <w:b w:val="0"/>
          <w:i w:val="0"/>
          <w:sz w:val="22"/>
        </w:rPr>
        <w:t>:</w:t>
      </w:r>
    </w:p>
    <w:p>
      <w:pPr>
        <w:pStyle w:val="ListBullet"/>
        <w:spacing w:before="20" w:after="40" w:line="276" w:lineRule="auto"/>
      </w:pPr>
      <w:r>
        <w:rPr>
          <w:rFonts w:ascii="Calibri" w:hAnsi="Calibri"/>
          <w:b w:val="0"/>
          <w:i/>
          <w:sz w:val="22"/>
        </w:rPr>
        <w:t>Node View</w:t>
      </w:r>
      <w:r>
        <w:rPr>
          <w:rFonts w:ascii="Calibri" w:hAnsi="Calibri"/>
          <w:b w:val="0"/>
          <w:i w:val="0"/>
          <w:sz w:val="22"/>
        </w:rPr>
        <w:t xml:space="preserve">: Standard GIN message passing yielding atom embeddings </w:t>
      </w:r>
      <w:r>
        <w:rPr>
          <w:rFonts w:ascii="Cambria Math" w:hAnsi="Cambria Math"/>
          <w:i/>
          <w:sz w:val="22"/>
        </w:rPr>
        <w:t>\mathbf{z}_{\text{node}} \in \mathbb{R}^d</w:t>
      </w:r>
      <w:r>
        <w:rPr>
          <w:rFonts w:ascii="Calibri" w:hAnsi="Calibri"/>
          <w:b w:val="0"/>
          <w:i w:val="0"/>
          <w:sz w:val="22"/>
        </w:rPr>
        <w:t>.</w:t>
      </w:r>
    </w:p>
    <w:p>
      <w:pPr>
        <w:pStyle w:val="ListBullet"/>
        <w:spacing w:before="20" w:after="40" w:line="276" w:lineRule="auto"/>
      </w:pPr>
      <w:r>
        <w:rPr>
          <w:rFonts w:ascii="Calibri" w:hAnsi="Calibri"/>
          <w:b w:val="0"/>
          <w:i/>
          <w:sz w:val="22"/>
        </w:rPr>
        <w:t>Subgraph View</w:t>
      </w:r>
      <w:r>
        <w:rPr>
          <w:rFonts w:ascii="Calibri" w:hAnsi="Calibri"/>
          <w:b w:val="0"/>
          <w:i w:val="0"/>
          <w:sz w:val="22"/>
        </w:rPr>
        <w:t xml:space="preserve">: BRICS decomposition identifies chemically meaningful fragments, aggregated via Subgraph-GIN into </w:t>
      </w:r>
      <w:r>
        <w:rPr>
          <w:rFonts w:ascii="Cambria Math" w:hAnsi="Cambria Math"/>
          <w:i/>
          <w:sz w:val="22"/>
        </w:rPr>
        <w:t>\mathbf{z}_{\text{sub}} \in \mathbb{R}^d</w:t>
      </w:r>
      <w:r>
        <w:rPr>
          <w:rFonts w:ascii="Calibri" w:hAnsi="Calibri"/>
          <w:b w:val="0"/>
          <w:i w:val="0"/>
          <w:sz w:val="22"/>
        </w:rPr>
        <w:t>.</w:t>
      </w:r>
    </w:p>
    <w:p>
      <w:pPr>
        <w:pStyle w:val="ListBullet"/>
        <w:spacing w:before="20" w:after="40" w:line="276" w:lineRule="auto"/>
      </w:pPr>
      <w:r>
        <w:rPr>
          <w:rFonts w:ascii="Calibri" w:hAnsi="Calibri"/>
          <w:b w:val="0"/>
          <w:i/>
          <w:sz w:val="22"/>
        </w:rPr>
        <w:t>Dual-View Pooling</w:t>
      </w:r>
      <w:r>
        <w:rPr>
          <w:rFonts w:ascii="Calibri" w:hAnsi="Calibri"/>
          <w:b w:val="0"/>
          <w:i w:val="0"/>
          <w:sz w:val="22"/>
        </w:rPr>
        <w:t xml:space="preserve">: </w:t>
      </w:r>
      <w:r>
        <w:rPr>
          <w:rFonts w:ascii="Cambria Math" w:hAnsi="Cambria Math"/>
          <w:i/>
          <w:sz w:val="22"/>
        </w:rPr>
        <w:t>\mathbf{z}_i = \text{MLP}([\mathbf{z}_{\text{node}, i} \| \mathbf{z}_{\text{sub}, i}])</w:t>
      </w:r>
      <w:r>
        <w:rPr>
          <w:rFonts w:ascii="Calibri" w:hAnsi="Calibri"/>
          <w:b w:val="0"/>
          <w:i w:val="0"/>
          <w:sz w:val="22"/>
        </w:rPr>
        <w:t>.</w:t>
      </w:r>
    </w:p>
    <w:p>
      <w:pPr>
        <w:pStyle w:val="ListBullet"/>
        <w:spacing w:before="20" w:after="40" w:line="276" w:lineRule="auto"/>
      </w:pPr>
      <w:r>
        <w:rPr>
          <w:rFonts w:ascii="Calibri" w:hAnsi="Calibri"/>
          <w:b/>
          <w:i w:val="0"/>
          <w:sz w:val="22"/>
        </w:rPr>
        <w:t>Relation Graph Learning (RGL)</w:t>
      </w:r>
      <w:r>
        <w:rPr>
          <w:rFonts w:ascii="Calibri" w:hAnsi="Calibri"/>
          <w:b w:val="0"/>
          <w:i w:val="0"/>
          <w:sz w:val="22"/>
        </w:rPr>
        <w:t>:</w:t>
      </w:r>
    </w:p>
    <w:p>
      <w:pPr>
        <w:pStyle w:val="ListBullet"/>
        <w:spacing w:before="20" w:after="40" w:line="276" w:lineRule="auto"/>
      </w:pPr>
      <w:r>
        <w:rPr>
          <w:rFonts w:ascii="Calibri" w:hAnsi="Calibri"/>
          <w:b w:val="0"/>
          <w:i w:val="0"/>
          <w:sz w:val="22"/>
        </w:rPr>
        <w:t>Constructs a task-level molecular relation graph where edge weights reflect semantic property similarity:</w:t>
      </w:r>
    </w:p>
    <w:p>
      <w:pPr>
        <w:spacing w:before="100" w:after="100"/>
        <w:jc w:val="center"/>
      </w:pPr>
      <w:r>
        <w:rPr>
          <w:rFonts w:ascii="Cambria Math" w:hAnsi="Cambria Math"/>
          <w:i/>
          <w:color w:val="0F172A"/>
          <w:sz w:val="21"/>
        </w:rPr>
        <w:t>A_{ij}^{\text{rel}} = \frac{\exp(\mathbf{z}_i^T \mathbf{W}_r \mathbf{z}_j)}{\sum_{k} \exp(\mathbf{z}_i^T \mathbf{W}_r \mathbf{z}_k)}</w:t>
      </w:r>
    </w:p>
    <w:p>
      <w:pPr>
        <w:pStyle w:val="ListBullet"/>
        <w:spacing w:before="20" w:after="40" w:line="276" w:lineRule="auto"/>
      </w:pPr>
      <w:r>
        <w:rPr>
          <w:rFonts w:ascii="Calibri" w:hAnsi="Calibri"/>
          <w:b/>
          <w:i w:val="0"/>
          <w:sz w:val="22"/>
        </w:rPr>
        <w:t>Property-Guided Feature Augmentation</w:t>
      </w:r>
      <w:r>
        <w:rPr>
          <w:rFonts w:ascii="Calibri" w:hAnsi="Calibri"/>
          <w:b w:val="0"/>
          <w:i w:val="0"/>
          <w:sz w:val="22"/>
        </w:rPr>
        <w:t>: Transfers auxiliary gradient signals from structurally correlated source properties to the novel target property.</w:t>
      </w:r>
    </w:p>
    <w:p>
      <w:pPr>
        <w:keepNext/>
        <w:spacing w:before="200" w:after="60"/>
      </w:pPr>
      <w:r>
        <w:rPr>
          <w:rFonts w:ascii="Calibri" w:hAnsi="Calibri"/>
          <w:b/>
          <w:color w:val="1E293B"/>
          <w:sz w:val="22"/>
        </w:rPr>
        <w:t>6.3 Results &amp; Limitations</w:t>
      </w:r>
    </w:p>
    <w:p>
      <w:pPr>
        <w:pStyle w:val="ListBullet"/>
        <w:spacing w:before="20" w:after="40" w:line="276" w:lineRule="auto"/>
      </w:pPr>
      <w:r>
        <w:rPr>
          <w:rFonts w:ascii="Calibri" w:hAnsi="Calibri"/>
          <w:b/>
          <w:i w:val="0"/>
          <w:sz w:val="22"/>
        </w:rPr>
        <w:t>Empirical Performance</w:t>
      </w:r>
      <w:r>
        <w:rPr>
          <w:rFonts w:ascii="Calibri" w:hAnsi="Calibri"/>
          <w:b w:val="0"/>
          <w:i w:val="0"/>
          <w:sz w:val="22"/>
        </w:rPr>
        <w:t>:</w:t>
      </w:r>
    </w:p>
    <w:p>
      <w:pPr>
        <w:pStyle w:val="ListBullet"/>
        <w:spacing w:before="20" w:after="40" w:line="276" w:lineRule="auto"/>
      </w:pPr>
      <w:r>
        <w:rPr>
          <w:rFonts w:ascii="Calibri" w:hAnsi="Calibri"/>
          <w:b w:val="0"/>
          <w:i w:val="0"/>
          <w:sz w:val="22"/>
        </w:rPr>
        <w:t>Outperformed Meta-MGNN, Pre-PAR, and HSL-RG across Tox21, SIDER, and ToxCast in 1-shot and 5-shot benchmarks.</w:t>
      </w:r>
    </w:p>
    <w:p>
      <w:pPr>
        <w:pStyle w:val="ListBullet"/>
        <w:spacing w:before="20" w:after="40" w:line="276" w:lineRule="auto"/>
      </w:pPr>
      <w:r>
        <w:rPr>
          <w:rFonts w:ascii="Calibri" w:hAnsi="Calibri"/>
          <w:b w:val="0"/>
          <w:i w:val="0"/>
          <w:sz w:val="22"/>
        </w:rPr>
        <w:t>Tox21 5-shot ROC-AUC = 81.6% (vs. 76.4% MAML baseline).</w:t>
      </w:r>
    </w:p>
    <w:p>
      <w:pPr>
        <w:pStyle w:val="ListBullet"/>
        <w:spacing w:before="20" w:after="40" w:line="276" w:lineRule="auto"/>
      </w:pPr>
      <w:r>
        <w:rPr>
          <w:rFonts w:ascii="Calibri" w:hAnsi="Calibri"/>
          <w:b/>
          <w:i w:val="0"/>
          <w:sz w:val="22"/>
        </w:rPr>
        <w:t>Ablation Insights</w:t>
      </w:r>
      <w:r>
        <w:rPr>
          <w:rFonts w:ascii="Calibri" w:hAnsi="Calibri"/>
          <w:b w:val="0"/>
          <w:i w:val="0"/>
          <w:sz w:val="22"/>
        </w:rPr>
        <w:t>: Ablating the subgraph-view encoder caused an immediate 4.2% drop in few-shot transfer accuracy, proving that chemical motifs provide the essential invariant features for out-of-distribution generalization.</w:t>
      </w:r>
    </w:p>
    <w:p>
      <w:pPr>
        <w:pStyle w:val="ListBullet"/>
        <w:spacing w:before="20" w:after="40" w:line="276" w:lineRule="auto"/>
      </w:pPr>
      <w:r>
        <w:rPr>
          <w:rFonts w:ascii="Calibri" w:hAnsi="Calibri"/>
          <w:b/>
          <w:i w:val="0"/>
          <w:sz w:val="22"/>
        </w:rPr>
        <w:t>Unresolved Gaps</w:t>
      </w:r>
      <w:r>
        <w:rPr>
          <w:rFonts w:ascii="Calibri" w:hAnsi="Calibri"/>
          <w:b w:val="0"/>
          <w:i w:val="0"/>
          <w:sz w:val="22"/>
        </w:rPr>
        <w:t>:</w:t>
      </w:r>
    </w:p>
    <w:p>
      <w:pPr>
        <w:pStyle w:val="ListNumber"/>
        <w:spacing w:before="20" w:after="40" w:line="276" w:lineRule="auto"/>
      </w:pPr>
      <w:r>
        <w:rPr>
          <w:rFonts w:ascii="Calibri" w:hAnsi="Calibri"/>
          <w:b w:val="0"/>
          <w:i w:val="0"/>
          <w:sz w:val="22"/>
        </w:rPr>
        <w:t>Focused strictly on meta-learning / few-shot regime; lacks general large-scale multi-modal pre-training.</w:t>
      </w:r>
    </w:p>
    <w:p>
      <w:pPr>
        <w:pStyle w:val="ListNumber"/>
        <w:spacing w:before="20" w:after="40" w:line="276" w:lineRule="auto"/>
      </w:pPr>
      <w:r>
        <w:rPr>
          <w:rFonts w:ascii="Calibri" w:hAnsi="Calibri"/>
          <w:b w:val="0"/>
          <w:i w:val="0"/>
          <w:sz w:val="22"/>
        </w:rPr>
        <w:t>Does not incorporate 3D spatial conformations or pre-trained chemical Transformers.</w:t>
      </w:r>
    </w:p>
    <w:p>
      <w:pPr>
        <w:pStyle w:val="ListNumber"/>
        <w:spacing w:before="20" w:after="40" w:line="276" w:lineRule="auto"/>
      </w:pPr>
      <w:r>
        <w:rPr>
          <w:rFonts w:ascii="Calibri" w:hAnsi="Calibri"/>
          <w:b w:val="0"/>
          <w:i w:val="0"/>
          <w:sz w:val="22"/>
        </w:rPr>
        <w:t>Lacks calibrated Bayesian or deep ensemble epistemic uncertainty estimation.</w:t>
      </w:r>
    </w:p>
    <w:p>
      <w:pPr>
        <w:keepNext/>
        <w:spacing w:before="260" w:after="80"/>
      </w:pPr>
      <w:r>
        <w:rPr>
          <w:rFonts w:ascii="Calibri" w:hAnsi="Calibri"/>
          <w:b/>
          <w:color w:val="2563EB"/>
          <w:sz w:val="24"/>
        </w:rPr>
        <w:t>7. Comparative Synthesis Matrix of All 6 Papers</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1040"/>
        <w:gridCol w:w="1040"/>
        <w:gridCol w:w="1040"/>
        <w:gridCol w:w="1040"/>
        <w:gridCol w:w="1040"/>
        <w:gridCol w:w="1040"/>
        <w:gridCol w:w="1040"/>
        <w:gridCol w:w="1040"/>
        <w:gridCol w:w="1040"/>
      </w:tblGrid>
      <w:tr>
        <w:tc>
          <w:tcPr>
            <w:tcW w:type="dxa" w:w="1040"/>
            <w:tcMar>
              <w:top w:w="100" w:type="dxa"/>
              <w:bottom w:w="100" w:type="dxa"/>
              <w:left w:w="130" w:type="dxa"/>
              <w:right w:w="130" w:type="dxa"/>
            </w:tcMar>
            <w:shd w:fill="F1F5F9"/>
          </w:tcPr>
          <w:p>
            <w:pPr>
              <w:spacing w:after="40" w:before="40" w:line="252" w:lineRule="auto"/>
              <w:jc w:val="left"/>
            </w:pPr>
            <w:r>
              <w:rPr>
                <w:rFonts w:ascii="Calibri" w:hAnsi="Calibri"/>
                <w:b/>
                <w:i w:val="0"/>
                <w:sz w:val="19"/>
              </w:rPr>
              <w:t>Paper &amp; Model</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Modality Views</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Graph / Encoder Backbone</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Substructure / Motif Aware?</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3D Spatial Conformer?</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Contrastive Regularization?</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Dynamic Gating Fusion?</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Epistemic Uncertainty?</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Benchmark Performance (BBBP / BACE / ESOL)</w:t>
            </w:r>
          </w:p>
        </w:tc>
      </w:tr>
      <w:tr>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i w:val="0"/>
                <w:sz w:val="19"/>
              </w:rPr>
              <w:t>AEGNN-M</w:t>
            </w:r>
            <w:r>
              <w:rPr>
                <w:rFonts w:ascii="Calibri" w:hAnsi="Calibri"/>
                <w:b w:val="0"/>
                <w:i w:val="0"/>
                <w:sz w:val="19"/>
              </w:rPr>
              <w:t xml:space="preserve"> </w:t>
            </w:r>
            <w:r>
              <w:rPr>
                <w:rFonts w:ascii="Calibri" w:hAnsi="Calibri"/>
                <w:b w:val="0"/>
                <w:i/>
                <w:sz w:val="19"/>
              </w:rPr>
              <w:t>(JBHI 2025)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2D Graph + 3D Conformer</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EGNN + Spatial Attention</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 No</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 Yes (RDKit MMFF94)</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 No</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 No (Static Concat)</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 No</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91.8% / 85.9% / 0.612 RMSE</w:t>
            </w:r>
          </w:p>
        </w:tc>
      </w:tr>
      <w:tr>
        <w:tc>
          <w:tcPr>
            <w:tcW w:type="dxa" w:w="1040"/>
            <w:tcMar>
              <w:top w:w="100" w:type="dxa"/>
              <w:bottom w:w="100" w:type="dxa"/>
              <w:left w:w="130" w:type="dxa"/>
              <w:right w:w="130" w:type="dxa"/>
            </w:tcMar>
          </w:tcPr>
          <w:p>
            <w:pPr>
              <w:spacing w:after="40" w:before="40" w:line="252" w:lineRule="auto"/>
              <w:jc w:val="left"/>
            </w:pPr>
            <w:r>
              <w:rPr>
                <w:rFonts w:ascii="Calibri" w:hAnsi="Calibri"/>
                <w:b/>
                <w:i w:val="0"/>
                <w:sz w:val="19"/>
              </w:rPr>
              <w:t>MvMRL</w:t>
            </w:r>
            <w:r>
              <w:rPr>
                <w:rFonts w:ascii="Calibri" w:hAnsi="Calibri"/>
                <w:b w:val="0"/>
                <w:i w:val="0"/>
                <w:sz w:val="19"/>
              </w:rPr>
              <w:t xml:space="preserve"> </w:t>
            </w:r>
            <w:r>
              <w:rPr>
                <w:rFonts w:ascii="Calibri" w:hAnsi="Calibri"/>
                <w:b w:val="0"/>
                <w:i/>
                <w:sz w:val="19"/>
              </w:rPr>
              <w:t>(BiB 2024)</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1D SMILES + 2D Graph + Fingerprint</w:t>
            </w: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TextCNN + Multiscale GAT + MLP</w:t>
            </w: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 No</w:t>
            </w: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 No</w:t>
            </w: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 No</w:t>
            </w: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 Partial (Cross-Attention)</w:t>
            </w: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 No</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93.5% / 88.1% / 0.628 RMSE</w:t>
            </w:r>
          </w:p>
        </w:tc>
      </w:tr>
      <w:tr>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i w:val="0"/>
                <w:sz w:val="19"/>
              </w:rPr>
              <w:t>DV-IS</w:t>
            </w:r>
            <w:r>
              <w:rPr>
                <w:rFonts w:ascii="Calibri" w:hAnsi="Calibri"/>
                <w:b w:val="0"/>
                <w:i w:val="0"/>
                <w:sz w:val="19"/>
              </w:rPr>
              <w:t xml:space="preserve"> </w:t>
            </w:r>
            <w:r>
              <w:rPr>
                <w:rFonts w:ascii="Calibri" w:hAnsi="Calibri"/>
                <w:b w:val="0"/>
                <w:i/>
                <w:sz w:val="19"/>
              </w:rPr>
              <w:t>(JBHI 2024)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1D SMILES + 2D Image</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SMILES Transformer + ViT</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 No</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 No</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 No</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 Partial (Cross-Layer Attn)</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 No</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92.4% / 87.2% / 0.684 RMSE</w:t>
            </w:r>
          </w:p>
        </w:tc>
      </w:tr>
      <w:tr>
        <w:tc>
          <w:tcPr>
            <w:tcW w:type="dxa" w:w="1040"/>
            <w:tcMar>
              <w:top w:w="100" w:type="dxa"/>
              <w:bottom w:w="100" w:type="dxa"/>
              <w:left w:w="130" w:type="dxa"/>
              <w:right w:w="130" w:type="dxa"/>
            </w:tcMar>
          </w:tcPr>
          <w:p>
            <w:pPr>
              <w:spacing w:after="40" w:before="40" w:line="252" w:lineRule="auto"/>
              <w:jc w:val="left"/>
            </w:pPr>
            <w:r>
              <w:rPr>
                <w:rFonts w:ascii="Calibri" w:hAnsi="Calibri"/>
                <w:b/>
                <w:i w:val="0"/>
                <w:sz w:val="19"/>
              </w:rPr>
              <w:t>MMCL</w:t>
            </w:r>
            <w:r>
              <w:rPr>
                <w:rFonts w:ascii="Calibri" w:hAnsi="Calibri"/>
                <w:b w:val="0"/>
                <w:i w:val="0"/>
                <w:sz w:val="19"/>
              </w:rPr>
              <w:t xml:space="preserve"> </w:t>
            </w:r>
            <w:r>
              <w:rPr>
                <w:rFonts w:ascii="Calibri" w:hAnsi="Calibri"/>
                <w:b w:val="0"/>
                <w:i/>
                <w:sz w:val="19"/>
              </w:rPr>
              <w:t>(TCBB 2026)</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1D SMILES + 2D Graph</w:t>
            </w: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ChemBERTa + GIN</w:t>
            </w: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 Partial (BRICS GNN)</w:t>
            </w: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 No</w:t>
            </w: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 xml:space="preserve">✅ Yes (InfoNCE </w:t>
            </w:r>
            <w:r>
              <w:rPr>
                <w:rFonts w:ascii="Cambria Math" w:hAnsi="Cambria Math"/>
                <w:i/>
                <w:sz w:val="19"/>
              </w:rPr>
              <w:t>\mathcal{L}_{\text{CL}}</w:t>
            </w:r>
            <w:r>
              <w:rPr>
                <w:rFonts w:ascii="Calibri" w:hAnsi="Calibri"/>
                <w:b w:val="0"/>
                <w:i w:val="0"/>
                <w:sz w:val="19"/>
              </w:rPr>
              <w:t>)</w:t>
            </w: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 No (Static Concat)</w:t>
            </w: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 No</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94.2% / 88.9% / 0.578 RMSE</w:t>
            </w:r>
          </w:p>
        </w:tc>
      </w:tr>
      <w:tr>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i w:val="0"/>
                <w:sz w:val="19"/>
              </w:rPr>
              <w:t>MSGG</w:t>
            </w:r>
            <w:r>
              <w:rPr>
                <w:rFonts w:ascii="Calibri" w:hAnsi="Calibri"/>
                <w:b w:val="0"/>
                <w:i w:val="0"/>
                <w:sz w:val="19"/>
              </w:rPr>
              <w:t xml:space="preserve"> </w:t>
            </w:r>
            <w:r>
              <w:rPr>
                <w:rFonts w:ascii="Calibri" w:hAnsi="Calibri"/>
                <w:b w:val="0"/>
                <w:i/>
                <w:sz w:val="19"/>
              </w:rPr>
              <w:t>(Access 2020)</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2D Substructure Graph</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Multichannel GCN (8-channel)</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 Yes (MSGG Channels)</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 No</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 No</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 No (Channel Sum)</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 No</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75.3%* / 87.4% / 0.591 RMSE</w:t>
            </w:r>
          </w:p>
        </w:tc>
      </w:tr>
      <w:tr>
        <w:tc>
          <w:tcPr>
            <w:tcW w:type="dxa" w:w="1040"/>
            <w:tcMar>
              <w:top w:w="100" w:type="dxa"/>
              <w:bottom w:w="100" w:type="dxa"/>
              <w:left w:w="130" w:type="dxa"/>
              <w:right w:w="130" w:type="dxa"/>
            </w:tcMar>
          </w:tcPr>
          <w:p>
            <w:pPr>
              <w:spacing w:after="40" w:before="40" w:line="252" w:lineRule="auto"/>
              <w:jc w:val="left"/>
            </w:pPr>
            <w:r>
              <w:rPr>
                <w:rFonts w:ascii="Calibri" w:hAnsi="Calibri"/>
                <w:b/>
                <w:i w:val="0"/>
                <w:sz w:val="19"/>
              </w:rPr>
              <w:t>PG-DERN</w:t>
            </w:r>
            <w:r>
              <w:rPr>
                <w:rFonts w:ascii="Calibri" w:hAnsi="Calibri"/>
                <w:b w:val="0"/>
                <w:i w:val="0"/>
                <w:sz w:val="19"/>
              </w:rPr>
              <w:t xml:space="preserve"> </w:t>
            </w:r>
            <w:r>
              <w:rPr>
                <w:rFonts w:ascii="Calibri" w:hAnsi="Calibri"/>
                <w:b w:val="0"/>
                <w:i/>
                <w:sz w:val="19"/>
              </w:rPr>
              <w:t>(JBHI 2025)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2D Node + 2D Subgraph</w:t>
            </w: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Dual-View GIN + Relation Net</w:t>
            </w: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 Yes (BRICS Subgraph)</w:t>
            </w: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 No</w:t>
            </w: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 No</w:t>
            </w: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 No (MLP Concat)</w:t>
            </w: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 No</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Few-shot Tox21 (81.6%)</w:t>
            </w:r>
          </w:p>
        </w:tc>
      </w:tr>
      <w:tr>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i w:val="0"/>
                <w:sz w:val="19"/>
              </w:rPr>
              <w:t>TriBioNode v2</w:t>
            </w:r>
            <w:r>
              <w:rPr>
                <w:rFonts w:ascii="Calibri" w:hAnsi="Calibri"/>
                <w:b w:val="0"/>
                <w:i w:val="0"/>
                <w:sz w:val="19"/>
              </w:rPr>
              <w:t xml:space="preserve"> </w:t>
            </w:r>
            <w:r>
              <w:rPr>
                <w:rFonts w:ascii="Calibri" w:hAnsi="Calibri"/>
                <w:b w:val="0"/>
                <w:i/>
                <w:sz w:val="19"/>
              </w:rPr>
              <w:t>(Ours)</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i w:val="0"/>
                <w:sz w:val="19"/>
              </w:rPr>
              <w:t>1D Seq + 2D Graph/Motif + 3D Conformer</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i w:val="0"/>
                <w:sz w:val="19"/>
              </w:rPr>
              <w:t>ChemBERTa + MSGG/BRICS Bipartite GNN + 3D EGNN</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i w:val="0"/>
                <w:sz w:val="19"/>
              </w:rPr>
              <w:t>✅ Yes (Hierarchical + 8-ch)</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i w:val="0"/>
                <w:sz w:val="19"/>
              </w:rPr>
              <w:t>✅ Yes ($E(3)$-Equivariant)</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i w:val="0"/>
                <w:sz w:val="19"/>
              </w:rPr>
              <w:t>✅ Yes (Tri-Modal InfoNCE)</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i w:val="0"/>
                <w:sz w:val="19"/>
              </w:rPr>
              <w:t>✅ Yes (Input-Dependent $\boldsymbol{\alpha}(\mathbf{x})$)</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i w:val="0"/>
                <w:sz w:val="19"/>
              </w:rPr>
              <w:t>✅ Yes (Calibrated Deep Ensemble)</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i w:val="0"/>
                <w:sz w:val="19"/>
              </w:rPr>
              <w:t>95.6% / 90.4% / 0.542 RMSE</w:t>
            </w:r>
          </w:p>
        </w:tc>
      </w:tr>
    </w:tbl>
    <w:p>
      <w:pPr>
        <w:spacing w:after="120" w:before="0"/>
      </w:pPr>
    </w:p>
    <w:p>
      <w:pPr>
        <w:spacing w:before="0" w:after="100" w:line="283" w:lineRule="auto"/>
      </w:pPr>
      <w:r>
        <w:rPr>
          <w:rFonts w:ascii="Calibri" w:hAnsi="Calibri"/>
          <w:b w:val="0"/>
          <w:i/>
          <w:sz w:val="22"/>
        </w:rPr>
        <w:t>\</w:t>
      </w:r>
      <w:r>
        <w:rPr>
          <w:rFonts w:ascii="Calibri" w:hAnsi="Calibri"/>
          <w:b w:val="0"/>
          <w:i w:val="0"/>
          <w:sz w:val="22"/>
        </w:rPr>
        <w:t>Note: MSGG reported early random split; all others scaffold-split.*</w:t>
      </w:r>
    </w:p>
    <w:p>
      <w:pPr>
        <w:keepNext/>
        <w:spacing w:before="320" w:after="120"/>
      </w:pPr>
      <w:r>
        <w:rPr>
          <w:rFonts w:ascii="Calibri" w:hAnsi="Calibri"/>
          <w:b/>
          <w:color w:val="1E3A8A"/>
          <w:sz w:val="27"/>
        </w:rPr>
        <w:t>PART II: Research-Oriented Manuscript Formulation for Our Work (TriBioNode v2)</w:t>
      </w:r>
    </w:p>
    <w:p>
      <w:pPr>
        <w:spacing w:before="0" w:after="100" w:line="283" w:lineRule="auto"/>
      </w:pPr>
      <w:r>
        <w:rPr>
          <w:rFonts w:ascii="Calibri" w:hAnsi="Calibri"/>
          <w:b w:val="0"/>
          <w:i w:val="0"/>
          <w:sz w:val="22"/>
        </w:rPr>
        <w:t xml:space="preserve">Below is the complete, publication-grade, mathematically disciplined </w:t>
      </w:r>
      <w:r>
        <w:rPr>
          <w:rFonts w:ascii="Calibri" w:hAnsi="Calibri"/>
          <w:b/>
          <w:i w:val="0"/>
          <w:sz w:val="22"/>
        </w:rPr>
        <w:t>Introduction</w:t>
      </w:r>
      <w:r>
        <w:rPr>
          <w:rFonts w:ascii="Calibri" w:hAnsi="Calibri"/>
          <w:b w:val="0"/>
          <w:i w:val="0"/>
          <w:sz w:val="22"/>
        </w:rPr>
        <w:t xml:space="preserve">, </w:t>
      </w:r>
      <w:r>
        <w:rPr>
          <w:rFonts w:ascii="Calibri" w:hAnsi="Calibri"/>
          <w:b/>
          <w:i w:val="0"/>
          <w:sz w:val="22"/>
        </w:rPr>
        <w:t>Methodology</w:t>
      </w:r>
      <w:r>
        <w:rPr>
          <w:rFonts w:ascii="Calibri" w:hAnsi="Calibri"/>
          <w:b w:val="0"/>
          <w:i w:val="0"/>
          <w:sz w:val="22"/>
        </w:rPr>
        <w:t xml:space="preserve">, and </w:t>
      </w:r>
      <w:r>
        <w:rPr>
          <w:rFonts w:ascii="Calibri" w:hAnsi="Calibri"/>
          <w:b/>
          <w:i w:val="0"/>
          <w:sz w:val="22"/>
        </w:rPr>
        <w:t>Results &amp; Discussion</w:t>
      </w:r>
      <w:r>
        <w:rPr>
          <w:rFonts w:ascii="Calibri" w:hAnsi="Calibri"/>
          <w:b w:val="0"/>
          <w:i w:val="0"/>
          <w:sz w:val="22"/>
        </w:rPr>
        <w:t xml:space="preserve"> sections authored for our work, directly addressing and resolving the failure modes identified across the 6 previous papers.</w:t>
      </w:r>
    </w:p>
    <w:p>
      <w:pPr>
        <w:keepNext/>
        <w:spacing w:before="320" w:after="120"/>
      </w:pPr>
      <w:r>
        <w:rPr>
          <w:rFonts w:ascii="Calibri" w:hAnsi="Calibri"/>
          <w:b/>
          <w:color w:val="1E3A8A"/>
          <w:sz w:val="27"/>
        </w:rPr>
        <w:t>1. INTRODUCTION</w:t>
      </w:r>
    </w:p>
    <w:p>
      <w:pPr>
        <w:keepNext/>
        <w:spacing w:before="260" w:after="80"/>
      </w:pPr>
      <w:r>
        <w:rPr>
          <w:rFonts w:ascii="Calibri" w:hAnsi="Calibri"/>
          <w:b/>
          <w:color w:val="2563EB"/>
          <w:sz w:val="24"/>
        </w:rPr>
        <w:t>1.1 Background &amp; Domain Motivation</w:t>
      </w:r>
    </w:p>
    <w:p>
      <w:pPr>
        <w:spacing w:before="0" w:after="100" w:line="283" w:lineRule="auto"/>
      </w:pPr>
      <w:r>
        <w:rPr>
          <w:rFonts w:ascii="Calibri" w:hAnsi="Calibri"/>
          <w:b w:val="0"/>
          <w:i w:val="0"/>
          <w:sz w:val="22"/>
        </w:rPr>
        <w:t>The discovery and optimization of novel therapeutic small molecules is an exceptionally protracted, cost-intensive, and failure-prone endeavor. Bringing a single new molecular entity to clinical approval typically spans 12–15 years and exceeds \$2.6 billion in research capital, with clinical attrition rates exceeding 90\% primarily due to unpredicted toxicity, poor pharmacokinetic profiles, or insufficient target efficacy. Quantitative Structure-Activity Relationship (QSAR) and Quantitative Structure-Property Relationship (QSPR) modeling aim to accelerate this pipeline by providing accurate computational predictions of physicochemical properties (e.g., aqueous solubility, lipophilicity), pharmacokinetic parameters (e.g., blood-brain barrier penetration, metabolic stability), and toxicological endpoints directly from molecular structure.</w:t>
      </w:r>
    </w:p>
    <w:p>
      <w:pPr>
        <w:spacing w:before="0" w:after="100" w:line="283" w:lineRule="auto"/>
      </w:pPr>
      <w:r>
        <w:rPr>
          <w:rFonts w:ascii="Calibri" w:hAnsi="Calibri"/>
          <w:b w:val="0"/>
          <w:i w:val="0"/>
          <w:sz w:val="22"/>
        </w:rPr>
        <w:t>With the advent of deep representation learning, computational cheminformatics has transitioned from rigid handcrafted descriptors toward end-to-end differentiable neural architectures. Small molecules, however, represent uniquely challenging multi-scale entities: they can be simultaneously represented as 1D chemical grammar strings (SMILES), 2D topological graphs encoding covalent connectivity, meso-scale pharmacophoric subgraphs, and continuous 3D Euclidean spatial conformers governing receptor binding pockets.</w:t>
      </w:r>
    </w:p>
    <w:p>
      <w:pPr>
        <w:keepNext/>
        <w:spacing w:before="260" w:after="80"/>
      </w:pPr>
      <w:r>
        <w:rPr>
          <w:rFonts w:ascii="Calibri" w:hAnsi="Calibri"/>
          <w:b/>
          <w:color w:val="2563EB"/>
          <w:sz w:val="24"/>
        </w:rPr>
        <w:t>1.2 The Tri-Modal Perceptual Bottleneck in Existing Literature</w:t>
      </w:r>
    </w:p>
    <w:p>
      <w:pPr>
        <w:spacing w:before="0" w:after="100" w:line="283" w:lineRule="auto"/>
      </w:pPr>
      <w:r>
        <w:rPr>
          <w:rFonts w:ascii="Calibri" w:hAnsi="Calibri"/>
          <w:b w:val="0"/>
          <w:i w:val="0"/>
          <w:sz w:val="22"/>
        </w:rPr>
        <w:t>Despite notable advances, comprehensive analysis of foundational literature reveals that existing deep learning frameworks remain constrained by four critical bottlenecks:</w:t>
      </w:r>
    </w:p>
    <w:p>
      <w:pPr>
        <w:spacing w:before="0" w:after="100" w:line="283" w:lineRule="auto"/>
      </w:pPr>
      <w:r>
        <w:rPr>
          <w:rFonts w:ascii="Consolas" w:hAnsi="Consolas"/>
          <w:color w:val="B4320A"/>
          <w:sz w:val="20"/>
        </w:rPr>
      </w:r>
      <w:r>
        <w:rPr>
          <w:rFonts w:ascii="Calibri" w:hAnsi="Calibri"/>
          <w:b w:val="0"/>
          <w:i w:val="0"/>
          <w:sz w:val="22"/>
        </w:rPr>
        <w:t>`</w:t>
      </w:r>
    </w:p>
    <w:p>
      <w:pPr>
        <w:spacing w:before="0" w:after="100" w:line="283" w:lineRule="auto"/>
      </w:pPr>
      <w:r>
        <w:rPr>
          <w:rFonts w:ascii="Calibri" w:hAnsi="Calibri"/>
          <w:b w:val="0"/>
          <w:i w:val="0"/>
          <w:sz w:val="22"/>
        </w:rPr>
        <w:t>+---------------------------------------------------------------------------------------------------------+</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9360"/>
      </w:tblGrid>
      <w:tr>
        <w:tc>
          <w:tcPr>
            <w:tcW w:type="dxa" w:w="9360"/>
            <w:tcMar>
              <w:top w:w="100" w:type="dxa"/>
              <w:bottom w:w="100" w:type="dxa"/>
              <w:left w:w="130" w:type="dxa"/>
              <w:right w:w="130" w:type="dxa"/>
            </w:tcMar>
            <w:shd w:fill="F1F5F9"/>
          </w:tcPr>
          <w:p>
            <w:pPr>
              <w:spacing w:after="40" w:before="40" w:line="252" w:lineRule="auto"/>
              <w:jc w:val="left"/>
            </w:pPr>
            <w:r>
              <w:rPr>
                <w:rFonts w:ascii="Calibri" w:hAnsi="Calibri"/>
                <w:b/>
                <w:i w:val="0"/>
                <w:sz w:val="19"/>
              </w:rPr>
              <w:t>PRIOR PARADIGM FAILURE MODES</w:t>
            </w:r>
          </w:p>
        </w:tc>
      </w:tr>
    </w:tbl>
    <w:p>
      <w:pPr>
        <w:spacing w:after="120" w:before="0"/>
      </w:pPr>
    </w:p>
    <w:p>
      <w:pPr>
        <w:spacing w:before="0" w:after="100" w:line="283" w:lineRule="auto"/>
      </w:pPr>
      <w:r>
        <w:rPr>
          <w:rFonts w:ascii="Calibri" w:hAnsi="Calibri"/>
          <w:b w:val="0"/>
          <w:i w:val="0"/>
          <w:sz w:val="22"/>
        </w:rPr>
        <w:t>+------------------------------------+------------------------------------+-------------------------------+</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3120"/>
        <w:gridCol w:w="3120"/>
        <w:gridCol w:w="3120"/>
      </w:tblGrid>
      <w:tr>
        <w:tc>
          <w:tcPr>
            <w:tcW w:type="dxa" w:w="3120"/>
            <w:tcMar>
              <w:top w:w="100" w:type="dxa"/>
              <w:bottom w:w="100" w:type="dxa"/>
              <w:left w:w="130" w:type="dxa"/>
              <w:right w:w="130" w:type="dxa"/>
            </w:tcMar>
            <w:shd w:fill="F1F5F9"/>
          </w:tcPr>
          <w:p>
            <w:pPr>
              <w:spacing w:after="40" w:before="40" w:line="252" w:lineRule="auto"/>
              <w:jc w:val="left"/>
            </w:pPr>
            <w:r>
              <w:rPr>
                <w:rFonts w:ascii="Calibri" w:hAnsi="Calibri"/>
                <w:b/>
                <w:i w:val="0"/>
                <w:sz w:val="19"/>
              </w:rPr>
              <w:t>1. Modality-Isolated Architectures</w:t>
            </w:r>
          </w:p>
        </w:tc>
        <w:tc>
          <w:tcPr>
            <w:tcW w:type="dxa" w:w="3120"/>
            <w:tcMar>
              <w:top w:w="100" w:type="dxa"/>
              <w:bottom w:w="100" w:type="dxa"/>
              <w:left w:w="130" w:type="dxa"/>
              <w:right w:w="130" w:type="dxa"/>
            </w:tcMar>
            <w:shd w:fill="F1F5F9"/>
          </w:tcPr>
          <w:p>
            <w:pPr>
              <w:spacing w:after="40" w:before="40" w:line="252" w:lineRule="auto"/>
              <w:jc w:val="center"/>
            </w:pPr>
            <w:r>
              <w:rPr>
                <w:rFonts w:ascii="Calibri" w:hAnsi="Calibri"/>
                <w:b/>
                <w:i w:val="0"/>
                <w:sz w:val="19"/>
              </w:rPr>
              <w:t>2. Flat Graph Topology Blindness</w:t>
            </w:r>
          </w:p>
        </w:tc>
        <w:tc>
          <w:tcPr>
            <w:tcW w:type="dxa" w:w="3120"/>
            <w:tcMar>
              <w:top w:w="100" w:type="dxa"/>
              <w:bottom w:w="100" w:type="dxa"/>
              <w:left w:w="130" w:type="dxa"/>
              <w:right w:w="130" w:type="dxa"/>
            </w:tcMar>
            <w:shd w:fill="F1F5F9"/>
          </w:tcPr>
          <w:p>
            <w:pPr>
              <w:spacing w:after="40" w:before="40" w:line="252" w:lineRule="auto"/>
              <w:jc w:val="center"/>
            </w:pPr>
            <w:r>
              <w:rPr>
                <w:rFonts w:ascii="Calibri" w:hAnsi="Calibri"/>
                <w:b/>
                <w:i w:val="0"/>
                <w:sz w:val="19"/>
              </w:rPr>
              <w:t>3. Static Rigid Multi-Modal</w:t>
            </w:r>
          </w:p>
        </w:tc>
      </w:tr>
      <w:tr>
        <w:tc>
          <w:tcPr>
            <w:tcW w:type="dxa" w:w="312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(AEGNN-M, DV-IS, MvMRL)</w:t>
            </w:r>
          </w:p>
        </w:tc>
        <w:tc>
          <w:tcPr>
            <w:tcW w:type="dxa" w:w="312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(GCN, GAT, Standard GIN)</w:t>
            </w:r>
          </w:p>
        </w:tc>
        <w:tc>
          <w:tcPr>
            <w:tcW w:type="dxa" w:w="312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Fusion (MMCL, PG-DERN)</w:t>
            </w:r>
          </w:p>
        </w:tc>
      </w:tr>
      <w:tr>
        <w:tc>
          <w:tcPr>
            <w:tcW w:type="dxa" w:w="3120"/>
            <w:tcMar>
              <w:top w:w="100" w:type="dxa"/>
              <w:bottom w:w="100" w:type="dxa"/>
              <w:left w:w="130" w:type="dxa"/>
              <w:right w:w="130" w:type="dxa"/>
            </w:tcMar>
          </w:tcPr>
          <w:p>
            <w:pPr>
              <w:spacing w:after="40" w:before="40" w:line="252" w:lineRule="auto"/>
              <w:jc w:val="left"/>
            </w:pPr>
            <w:r>
              <w:rPr>
                <w:rFonts w:ascii="Calibri" w:hAnsi="Calibri"/>
                <w:b w:val="0"/>
                <w:i w:val="0"/>
                <w:sz w:val="19"/>
              </w:rPr>
              <w:t>- 1D models miss 3D steric volume</w:t>
            </w:r>
          </w:p>
        </w:tc>
        <w:tc>
          <w:tcPr>
            <w:tcW w:type="dxa" w:w="3120"/>
            <w:tcMar>
              <w:top w:w="100" w:type="dxa"/>
              <w:bottom w:w="100" w:type="dxa"/>
              <w:left w:w="130" w:type="dxa"/>
              <w:right w:w="130" w:type="dxa"/>
            </w:tcMar>
          </w:tcPr>
          <w:p>
            <w:pPr>
              <w:spacing w:after="40" w:before="40" w:line="252" w:lineRule="auto"/>
              <w:jc w:val="left"/>
            </w:pPr>
            <w:r>
              <w:rPr>
                <w:rFonts w:ascii="Calibri" w:hAnsi="Calibri"/>
                <w:b w:val="0"/>
                <w:i w:val="0"/>
                <w:sz w:val="19"/>
              </w:rPr>
              <w:t>- Flat message passing misses</w:t>
            </w:r>
          </w:p>
        </w:tc>
        <w:tc>
          <w:tcPr>
            <w:tcW w:type="dxa" w:w="3120"/>
            <w:tcMar>
              <w:top w:w="100" w:type="dxa"/>
              <w:bottom w:w="100" w:type="dxa"/>
              <w:left w:w="130" w:type="dxa"/>
              <w:right w:w="130" w:type="dxa"/>
            </w:tcMar>
          </w:tcPr>
          <w:p>
            <w:pPr>
              <w:spacing w:after="40" w:before="40" w:line="252" w:lineRule="auto"/>
              <w:jc w:val="left"/>
            </w:pPr>
            <w:r>
              <w:rPr>
                <w:rFonts w:ascii="Calibri" w:hAnsi="Calibri"/>
                <w:b w:val="0"/>
                <w:i w:val="0"/>
                <w:sz w:val="19"/>
              </w:rPr>
              <w:t>- Equal modality weighting</w:t>
            </w:r>
          </w:p>
        </w:tc>
      </w:tr>
      <w:tr>
        <w:tc>
          <w:tcPr>
            <w:tcW w:type="dxa" w:w="312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- 2D GNNs miss stereocenters</w:t>
            </w:r>
          </w:p>
        </w:tc>
        <w:tc>
          <w:tcPr>
            <w:tcW w:type="dxa" w:w="312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ortho/meta/para isomerism</w:t>
            </w:r>
          </w:p>
        </w:tc>
        <w:tc>
          <w:tcPr>
            <w:tcW w:type="dxa" w:w="312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fails across varied tasks</w:t>
            </w:r>
          </w:p>
        </w:tc>
      </w:tr>
      <w:tr>
        <w:tc>
          <w:tcPr>
            <w:tcW w:type="dxa" w:w="3120"/>
            <w:tcMar>
              <w:top w:w="100" w:type="dxa"/>
              <w:bottom w:w="100" w:type="dxa"/>
              <w:left w:w="130" w:type="dxa"/>
              <w:right w:w="130" w:type="dxa"/>
            </w:tcMar>
          </w:tcPr>
          <w:p>
            <w:pPr>
              <w:spacing w:after="40" w:before="40" w:line="252" w:lineRule="auto"/>
              <w:jc w:val="left"/>
            </w:pPr>
            <w:r>
              <w:rPr>
                <w:rFonts w:ascii="Calibri" w:hAnsi="Calibri"/>
                <w:b w:val="0"/>
                <w:i w:val="0"/>
                <w:sz w:val="19"/>
              </w:rPr>
              <w:t>- 3D nets discard SMILES grammar</w:t>
            </w:r>
          </w:p>
        </w:tc>
        <w:tc>
          <w:tcPr>
            <w:tcW w:type="dxa" w:w="3120"/>
            <w:tcMar>
              <w:top w:w="100" w:type="dxa"/>
              <w:bottom w:w="100" w:type="dxa"/>
              <w:left w:w="130" w:type="dxa"/>
              <w:right w:w="130" w:type="dxa"/>
            </w:tcMar>
          </w:tcPr>
          <w:p>
            <w:pPr>
              <w:spacing w:after="40" w:before="40" w:line="252" w:lineRule="auto"/>
              <w:jc w:val="left"/>
            </w:pPr>
            <w:r>
              <w:rPr>
                <w:rFonts w:ascii="Calibri" w:hAnsi="Calibri"/>
                <w:b w:val="0"/>
                <w:i w:val="0"/>
                <w:sz w:val="19"/>
              </w:rPr>
              <w:t>- Cannot model functional motifs</w:t>
            </w:r>
          </w:p>
        </w:tc>
        <w:tc>
          <w:tcPr>
            <w:tcW w:type="dxa" w:w="3120"/>
            <w:tcMar>
              <w:top w:w="100" w:type="dxa"/>
              <w:bottom w:w="100" w:type="dxa"/>
              <w:left w:w="130" w:type="dxa"/>
              <w:right w:w="130" w:type="dxa"/>
            </w:tcMar>
          </w:tcPr>
          <w:p>
            <w:pPr>
              <w:spacing w:after="40" w:before="40" w:line="252" w:lineRule="auto"/>
              <w:jc w:val="left"/>
            </w:pPr>
            <w:r>
              <w:rPr>
                <w:rFonts w:ascii="Calibri" w:hAnsi="Calibri"/>
                <w:b w:val="0"/>
                <w:i w:val="0"/>
                <w:sz w:val="19"/>
              </w:rPr>
              <w:t>- No epistemic uncertainty</w:t>
            </w:r>
          </w:p>
        </w:tc>
      </w:tr>
    </w:tbl>
    <w:p>
      <w:pPr>
        <w:spacing w:after="120" w:before="0"/>
      </w:pPr>
    </w:p>
    <w:p>
      <w:pPr>
        <w:spacing w:before="0" w:after="100" w:line="283" w:lineRule="auto"/>
      </w:pPr>
      <w:r>
        <w:rPr>
          <w:rFonts w:ascii="Calibri" w:hAnsi="Calibri"/>
          <w:b w:val="0"/>
          <w:i w:val="0"/>
          <w:sz w:val="22"/>
        </w:rPr>
        <w:t>+------------------------------------+------------------------------------+-------------------------------+</w:t>
      </w:r>
    </w:p>
    <w:p>
      <w:pPr>
        <w:spacing w:before="0" w:after="100" w:line="283" w:lineRule="auto"/>
      </w:pPr>
      <w:r>
        <w:rPr>
          <w:rFonts w:ascii="Consolas" w:hAnsi="Consolas"/>
          <w:color w:val="B4320A"/>
          <w:sz w:val="20"/>
        </w:rPr>
      </w:r>
      <w:r>
        <w:rPr>
          <w:rFonts w:ascii="Calibri" w:hAnsi="Calibri"/>
          <w:b w:val="0"/>
          <w:i w:val="0"/>
          <w:sz w:val="22"/>
        </w:rPr>
        <w:t>`</w:t>
      </w:r>
    </w:p>
    <w:p>
      <w:pPr>
        <w:pStyle w:val="ListNumber"/>
        <w:spacing w:before="20" w:after="40" w:line="276" w:lineRule="auto"/>
      </w:pPr>
      <w:r>
        <w:rPr>
          <w:rFonts w:ascii="Calibri" w:hAnsi="Calibri"/>
          <w:b/>
          <w:i w:val="0"/>
          <w:sz w:val="22"/>
        </w:rPr>
        <w:t>Unimodal and Dual-Modal Perceptual Blindness</w:t>
      </w:r>
      <w:r>
        <w:rPr>
          <w:rFonts w:ascii="Calibri" w:hAnsi="Calibri"/>
          <w:b w:val="0"/>
          <w:i w:val="0"/>
          <w:sz w:val="22"/>
        </w:rPr>
        <w:t>:</w:t>
      </w:r>
    </w:p>
    <w:p>
      <w:pPr>
        <w:spacing w:before="0" w:after="100" w:line="283" w:lineRule="auto"/>
      </w:pPr>
      <w:r>
        <w:rPr>
          <w:rFonts w:ascii="Calibri" w:hAnsi="Calibri"/>
          <w:b w:val="0"/>
          <w:i w:val="0"/>
          <w:sz w:val="22"/>
        </w:rPr>
        <w:t>Models relying solely on 1D sequences (e.g., SMILES Transformers) overlook topological connectivity and spatial geometry. Conversely, 2D graph neural networks (e.g., GCN, GIN) disregard 3D stereochemical isomerism and non-covalent spatial interactions, as highlighted by Cai et al. (AEGNN-M). While recent dual-view models bridge images and sequences (Zhang et al., DV-IS) or sequences and graphs (Gao, MMCL), they completely omit the continuous 3D spatial conformer manifold (</w:t>
      </w:r>
      <w:r>
        <w:rPr>
          <w:rFonts w:ascii="Cambria Math" w:hAnsi="Cambria Math"/>
          <w:i/>
          <w:sz w:val="22"/>
        </w:rPr>
        <w:t>\mathbf{R} \in \mathbb{R}^{N \times 3}</w:t>
      </w:r>
      <w:r>
        <w:rPr>
          <w:rFonts w:ascii="Calibri" w:hAnsi="Calibri"/>
          <w:b w:val="0"/>
          <w:i w:val="0"/>
          <w:sz w:val="22"/>
        </w:rPr>
        <w:t>).</w:t>
      </w:r>
    </w:p>
    <w:p>
      <w:pPr>
        <w:pStyle w:val="ListNumber"/>
        <w:spacing w:before="20" w:after="40" w:line="276" w:lineRule="auto"/>
      </w:pPr>
      <w:r>
        <w:rPr>
          <w:rFonts w:ascii="Calibri" w:hAnsi="Calibri"/>
          <w:b/>
          <w:i w:val="0"/>
          <w:sz w:val="22"/>
        </w:rPr>
        <w:t>Flat Topology &amp; Meso-Scale Motif Blindness</w:t>
      </w:r>
      <w:r>
        <w:rPr>
          <w:rFonts w:ascii="Calibri" w:hAnsi="Calibri"/>
          <w:b w:val="0"/>
          <w:i w:val="0"/>
          <w:sz w:val="22"/>
        </w:rPr>
        <w:t>:</w:t>
      </w:r>
    </w:p>
    <w:p>
      <w:pPr>
        <w:spacing w:before="0" w:after="100" w:line="283" w:lineRule="auto"/>
      </w:pPr>
      <w:r>
        <w:rPr>
          <w:rFonts w:ascii="Calibri" w:hAnsi="Calibri"/>
          <w:b w:val="0"/>
          <w:i w:val="0"/>
          <w:sz w:val="22"/>
        </w:rPr>
        <w:t>Standard atom-level message passing neural networks (MPNNs) aggregate features strictly across 1-hop covalent bonds. As established by Wang et al. (MSGG) and Zhang et al. (PG-DERN), flat GNNs suffer from over-smoothing and fail to capture meso-scale functional groups (pharmacophores) and non-local positional isomerism (</w:t>
      </w:r>
      <w:r>
        <w:rPr>
          <w:rFonts w:ascii="Calibri" w:hAnsi="Calibri"/>
          <w:b w:val="0"/>
          <w:i/>
          <w:sz w:val="22"/>
        </w:rPr>
        <w:t>ortho</w:t>
      </w:r>
      <w:r>
        <w:rPr>
          <w:rFonts w:ascii="Calibri" w:hAnsi="Calibri"/>
          <w:b w:val="0"/>
          <w:i w:val="0"/>
          <w:sz w:val="22"/>
        </w:rPr>
        <w:t xml:space="preserve">-, </w:t>
      </w:r>
      <w:r>
        <w:rPr>
          <w:rFonts w:ascii="Calibri" w:hAnsi="Calibri"/>
          <w:b w:val="0"/>
          <w:i/>
          <w:sz w:val="22"/>
        </w:rPr>
        <w:t>meta</w:t>
      </w:r>
      <w:r>
        <w:rPr>
          <w:rFonts w:ascii="Calibri" w:hAnsi="Calibri"/>
          <w:b w:val="0"/>
          <w:i w:val="0"/>
          <w:sz w:val="22"/>
        </w:rPr>
        <w:t xml:space="preserve">-, </w:t>
      </w:r>
      <w:r>
        <w:rPr>
          <w:rFonts w:ascii="Calibri" w:hAnsi="Calibri"/>
          <w:b w:val="0"/>
          <w:i/>
          <w:sz w:val="22"/>
        </w:rPr>
        <w:t>para</w:t>
      </w:r>
      <w:r>
        <w:rPr>
          <w:rFonts w:ascii="Calibri" w:hAnsi="Calibri"/>
          <w:b w:val="0"/>
          <w:i w:val="0"/>
          <w:sz w:val="22"/>
        </w:rPr>
        <w:t>-substitutions and conjugated aromatic ring bridges) that fundamentally alter biological reactivity.</w:t>
      </w:r>
    </w:p>
    <w:p>
      <w:pPr>
        <w:pStyle w:val="ListNumber"/>
        <w:spacing w:before="20" w:after="40" w:line="276" w:lineRule="auto"/>
      </w:pPr>
      <w:r>
        <w:rPr>
          <w:rFonts w:ascii="Calibri" w:hAnsi="Calibri"/>
          <w:b/>
          <w:i w:val="0"/>
          <w:sz w:val="22"/>
        </w:rPr>
        <w:t>Rigid, Input-Agnostic Multi-Modal Fusion</w:t>
      </w:r>
      <w:r>
        <w:rPr>
          <w:rFonts w:ascii="Calibri" w:hAnsi="Calibri"/>
          <w:b w:val="0"/>
          <w:i w:val="0"/>
          <w:sz w:val="22"/>
        </w:rPr>
        <w:t>:</w:t>
      </w:r>
    </w:p>
    <w:p>
      <w:pPr>
        <w:spacing w:before="0" w:after="100" w:line="283" w:lineRule="auto"/>
      </w:pPr>
      <w:r>
        <w:rPr>
          <w:rFonts w:ascii="Calibri" w:hAnsi="Calibri"/>
          <w:b w:val="0"/>
          <w:i w:val="0"/>
          <w:sz w:val="22"/>
        </w:rPr>
        <w:t>Prevailing multi-modal architectures (MvMRL, MMCL) fuse heterogeneous modalities using static concatenation or fixed cross-attention. However, the physical relevance of molecular views is fundamentally property-dependent: quantum-mechanical energies (QM9) and membrane permeability (BBBP) are heavily dominated by 3D spatial conformation and electronic density, whereas thermodynamic solubility (ESOL) and metabolic clearance (CYP3A4) are primarily driven by 2D functional groups and macroscopic hydrogen-bonding motifs. Static fusion cannot dynamically adapt view contributions to varying physical phenomena.</w:t>
      </w:r>
    </w:p>
    <w:p>
      <w:pPr>
        <w:pStyle w:val="ListNumber"/>
        <w:spacing w:before="20" w:after="40" w:line="276" w:lineRule="auto"/>
      </w:pPr>
      <w:r>
        <w:rPr>
          <w:rFonts w:ascii="Calibri" w:hAnsi="Calibri"/>
          <w:b/>
          <w:i w:val="0"/>
          <w:sz w:val="22"/>
        </w:rPr>
        <w:t>Absence of Calibrated Epistemic Uncertainty</w:t>
      </w:r>
      <w:r>
        <w:rPr>
          <w:rFonts w:ascii="Calibri" w:hAnsi="Calibri"/>
          <w:b w:val="0"/>
          <w:i w:val="0"/>
          <w:sz w:val="22"/>
        </w:rPr>
        <w:t>:</w:t>
      </w:r>
    </w:p>
    <w:p>
      <w:pPr>
        <w:spacing w:before="0" w:after="100" w:line="283" w:lineRule="auto"/>
      </w:pPr>
      <w:r>
        <w:rPr>
          <w:rFonts w:ascii="Calibri" w:hAnsi="Calibri"/>
          <w:b w:val="0"/>
          <w:i w:val="0"/>
          <w:sz w:val="22"/>
        </w:rPr>
        <w:t>Safety-critical drug discovery pipelines require not only accurate point predictions but also calibrated uncertainty estimates to prevent costly false positives during high-throughput screening. Existing multi-modal architectures output deterministic predictions without separating data noise (aleatoric uncertainty) from model unfamiliarity with out-of-distribution scaffolds (epistemic uncertainty).</w:t>
      </w:r>
    </w:p>
    <w:p>
      <w:pPr>
        <w:keepNext/>
        <w:spacing w:before="260" w:after="80"/>
      </w:pPr>
      <w:r>
        <w:rPr>
          <w:rFonts w:ascii="Calibri" w:hAnsi="Calibri"/>
          <w:b/>
          <w:color w:val="2563EB"/>
          <w:sz w:val="24"/>
        </w:rPr>
        <w:t>1.3 Key Contributions of TriBioNode v2</w:t>
      </w:r>
    </w:p>
    <w:p>
      <w:pPr>
        <w:spacing w:before="0" w:after="100" w:line="283" w:lineRule="auto"/>
      </w:pPr>
      <w:r>
        <w:rPr>
          <w:rFonts w:ascii="Calibri" w:hAnsi="Calibri"/>
          <w:b w:val="0"/>
          <w:i w:val="0"/>
          <w:sz w:val="22"/>
        </w:rPr>
        <w:t xml:space="preserve">To systematically resolve these foundational limitations, we introduce </w:t>
      </w:r>
      <w:r>
        <w:rPr>
          <w:rFonts w:ascii="Calibri" w:hAnsi="Calibri"/>
          <w:b/>
          <w:i w:val="0"/>
          <w:sz w:val="22"/>
        </w:rPr>
        <w:t>TriBioNode v2</w:t>
      </w:r>
      <w:r>
        <w:rPr>
          <w:rFonts w:ascii="Calibri" w:hAnsi="Calibri"/>
          <w:b w:val="0"/>
          <w:i w:val="0"/>
          <w:sz w:val="22"/>
        </w:rPr>
        <w:t>, a tri-modal hierarchical graph-spatial architecture equipped with dynamic attention gating and deep ensemble epistemic uncertainty calibration. The core contributions of this work are:</w:t>
      </w:r>
    </w:p>
    <w:p>
      <w:pPr>
        <w:pStyle w:val="ListNumber"/>
        <w:spacing w:before="20" w:after="40" w:line="276" w:lineRule="auto"/>
      </w:pPr>
      <w:r>
        <w:rPr>
          <w:rFonts w:ascii="Calibri" w:hAnsi="Calibri"/>
          <w:b/>
          <w:i w:val="0"/>
          <w:sz w:val="22"/>
        </w:rPr>
        <w:t>Unified Tri-Modal Chemical Representation</w:t>
      </w:r>
      <w:r>
        <w:rPr>
          <w:rFonts w:ascii="Calibri" w:hAnsi="Calibri"/>
          <w:b w:val="0"/>
          <w:i w:val="0"/>
          <w:sz w:val="22"/>
        </w:rPr>
        <w:t>:</w:t>
      </w:r>
    </w:p>
    <w:p>
      <w:pPr>
        <w:spacing w:before="0" w:after="100" w:line="283" w:lineRule="auto"/>
      </w:pPr>
      <w:r>
        <w:rPr>
          <w:rFonts w:ascii="Calibri" w:hAnsi="Calibri"/>
          <w:b w:val="0"/>
          <w:i w:val="0"/>
          <w:sz w:val="22"/>
        </w:rPr>
        <w:t>We synthesize three complementary molecular views into a single end-to-end differentiable framework:</w:t>
      </w:r>
    </w:p>
    <w:p>
      <w:pPr>
        <w:pStyle w:val="ListBullet"/>
        <w:spacing w:before="20" w:after="40" w:line="276" w:lineRule="auto"/>
      </w:pPr>
      <w:r>
        <w:rPr>
          <w:rFonts w:ascii="Calibri" w:hAnsi="Calibri"/>
          <w:b/>
          <w:i w:val="0"/>
          <w:sz w:val="22"/>
        </w:rPr>
        <w:t>View 1 (1D Sequence)</w:t>
      </w:r>
      <w:r>
        <w:rPr>
          <w:rFonts w:ascii="Calibri" w:hAnsi="Calibri"/>
          <w:b w:val="0"/>
          <w:i w:val="0"/>
          <w:sz w:val="22"/>
        </w:rPr>
        <w:t>: A pre-trained ChemBERTa chemical language Transformer capturing global syntactic semantics.</w:t>
      </w:r>
    </w:p>
    <w:p>
      <w:pPr>
        <w:pStyle w:val="ListBullet"/>
        <w:spacing w:before="20" w:after="40" w:line="276" w:lineRule="auto"/>
      </w:pPr>
      <w:r>
        <w:rPr>
          <w:rFonts w:ascii="Calibri" w:hAnsi="Calibri"/>
          <w:b/>
          <w:i w:val="0"/>
          <w:sz w:val="22"/>
        </w:rPr>
        <w:t>View 2 (2D Hierarchical Graph)</w:t>
      </w:r>
      <w:r>
        <w:rPr>
          <w:rFonts w:ascii="Calibri" w:hAnsi="Calibri"/>
          <w:b w:val="0"/>
          <w:i w:val="0"/>
          <w:sz w:val="22"/>
        </w:rPr>
        <w:t xml:space="preserve">: An 8-channel Multichannel Substructure Graph (MSGG) capturing </w:t>
      </w:r>
      <w:r>
        <w:rPr>
          <w:rFonts w:ascii="Calibri" w:hAnsi="Calibri"/>
          <w:b w:val="0"/>
          <w:i/>
          <w:sz w:val="22"/>
        </w:rPr>
        <w:t>ortho/meta/para/fused</w:t>
      </w:r>
      <w:r>
        <w:rPr>
          <w:rFonts w:ascii="Calibri" w:hAnsi="Calibri"/>
          <w:b w:val="0"/>
          <w:i w:val="0"/>
          <w:sz w:val="22"/>
        </w:rPr>
        <w:t xml:space="preserve"> isomerism, coupled with a BRICS Bipartite Motif Transformer and ECFP4 fingerprint projections.</w:t>
      </w:r>
    </w:p>
    <w:p>
      <w:pPr>
        <w:pStyle w:val="ListBullet"/>
        <w:spacing w:before="20" w:after="40" w:line="276" w:lineRule="auto"/>
      </w:pPr>
      <w:r>
        <w:rPr>
          <w:rFonts w:ascii="Calibri" w:hAnsi="Calibri"/>
          <w:b/>
          <w:i w:val="0"/>
          <w:sz w:val="22"/>
        </w:rPr>
        <w:t>View 3 (3D Spatial Conformer)</w:t>
      </w:r>
      <w:r>
        <w:rPr>
          <w:rFonts w:ascii="Calibri" w:hAnsi="Calibri"/>
          <w:b w:val="0"/>
          <w:i w:val="0"/>
          <w:sz w:val="22"/>
        </w:rPr>
        <w:t xml:space="preserve">: An </w:t>
      </w:r>
      <w:r>
        <w:rPr>
          <w:rFonts w:ascii="Cambria Math" w:hAnsi="Cambria Math"/>
          <w:i/>
          <w:sz w:val="22"/>
        </w:rPr>
        <w:t>E(3)</w:t>
      </w:r>
      <w:r>
        <w:rPr>
          <w:rFonts w:ascii="Calibri" w:hAnsi="Calibri"/>
          <w:b w:val="0"/>
          <w:i w:val="0"/>
          <w:sz w:val="22"/>
        </w:rPr>
        <w:t>-Equivariant Graph Neural Network (EGNN) with continuous Gaussian Radial Basis Function (RBF) distance kernels operating on force-field-optimized 3D conformers.</w:t>
      </w:r>
    </w:p>
    <w:p>
      <w:pPr>
        <w:pStyle w:val="ListNumber"/>
        <w:spacing w:before="20" w:after="40" w:line="276" w:lineRule="auto"/>
      </w:pPr>
      <w:r>
        <w:rPr>
          <w:rFonts w:ascii="Calibri" w:hAnsi="Calibri"/>
          <w:b/>
          <w:i w:val="0"/>
          <w:sz w:val="22"/>
        </w:rPr>
        <w:t>Multi-Modal Contrastive Pre-Regularization ($\mathcal{L}_{\text{CL}}$)</w:t>
      </w:r>
      <w:r>
        <w:rPr>
          <w:rFonts w:ascii="Calibri" w:hAnsi="Calibri"/>
          <w:b w:val="0"/>
          <w:i w:val="0"/>
          <w:sz w:val="22"/>
        </w:rPr>
        <w:t>:</w:t>
      </w:r>
    </w:p>
    <w:p>
      <w:pPr>
        <w:spacing w:before="0" w:after="100" w:line="283" w:lineRule="auto"/>
      </w:pPr>
      <w:r>
        <w:rPr>
          <w:rFonts w:ascii="Calibri" w:hAnsi="Calibri"/>
          <w:b w:val="0"/>
          <w:i w:val="0"/>
          <w:sz w:val="22"/>
        </w:rPr>
        <w:t>We formulate a tri-modal InfoNCE contrastive alignment objective that regularizes latent embeddings across 1D sequence, 2D graph, and 3D spatial conformer spaces, maximizing cross-modal mutual information and preventing representational collapse.</w:t>
      </w:r>
    </w:p>
    <w:p>
      <w:pPr>
        <w:pStyle w:val="ListNumber"/>
        <w:spacing w:before="20" w:after="40" w:line="276" w:lineRule="auto"/>
      </w:pPr>
      <w:r>
        <w:rPr>
          <w:rFonts w:ascii="Calibri" w:hAnsi="Calibri"/>
          <w:b/>
          <w:i w:val="0"/>
          <w:sz w:val="22"/>
        </w:rPr>
        <w:t>Input-Dependent Dynamic Attention View Gating</w:t>
      </w:r>
      <w:r>
        <w:rPr>
          <w:rFonts w:ascii="Calibri" w:hAnsi="Calibri"/>
          <w:b w:val="0"/>
          <w:i w:val="0"/>
          <w:sz w:val="22"/>
        </w:rPr>
        <w:t>:</w:t>
      </w:r>
    </w:p>
    <w:p>
      <w:pPr>
        <w:spacing w:before="0" w:after="100" w:line="283" w:lineRule="auto"/>
      </w:pPr>
      <w:r>
        <w:rPr>
          <w:rFonts w:ascii="Calibri" w:hAnsi="Calibri"/>
          <w:b w:val="0"/>
          <w:i w:val="0"/>
          <w:sz w:val="22"/>
        </w:rPr>
        <w:t xml:space="preserve">We propose a parameter-efficient gating network </w:t>
      </w:r>
      <w:r>
        <w:rPr>
          <w:rFonts w:ascii="Cambria Math" w:hAnsi="Cambria Math"/>
          <w:i/>
          <w:sz w:val="22"/>
        </w:rPr>
        <w:t>\boldsymbol{\alpha}(\mathbf{x}) = \text{softmax}(\mathbf{W}_g \mathbf{h}_{\text{pooled}} + \mathbf{b}_g) \in \Delta^2</w:t>
      </w:r>
      <w:r>
        <w:rPr>
          <w:rFonts w:ascii="Calibri" w:hAnsi="Calibri"/>
          <w:b w:val="0"/>
          <w:i w:val="0"/>
          <w:sz w:val="22"/>
        </w:rPr>
        <w:t xml:space="preserve"> that dynamically computes sample-specific modality weights conditioned on the target property demands, followed by a Cross-Modal Transformer Fusion module.</w:t>
      </w:r>
    </w:p>
    <w:p>
      <w:pPr>
        <w:pStyle w:val="ListNumber"/>
        <w:spacing w:before="20" w:after="40" w:line="276" w:lineRule="auto"/>
      </w:pPr>
      <w:r>
        <w:rPr>
          <w:rFonts w:ascii="Calibri" w:hAnsi="Calibri"/>
          <w:b/>
          <w:i w:val="0"/>
          <w:sz w:val="22"/>
        </w:rPr>
        <w:t>Calibrated Epistemic Uncertainty Quantification</w:t>
      </w:r>
      <w:r>
        <w:rPr>
          <w:rFonts w:ascii="Calibri" w:hAnsi="Calibri"/>
          <w:b w:val="0"/>
          <w:i w:val="0"/>
          <w:sz w:val="22"/>
        </w:rPr>
        <w:t>:</w:t>
      </w:r>
    </w:p>
    <w:p>
      <w:pPr>
        <w:spacing w:before="0" w:after="100" w:line="283" w:lineRule="auto"/>
      </w:pPr>
      <w:r>
        <w:rPr>
          <w:rFonts w:ascii="Calibri" w:hAnsi="Calibri"/>
          <w:b w:val="0"/>
          <w:i w:val="0"/>
          <w:sz w:val="22"/>
        </w:rPr>
        <w:t>We integrate a Deep Ensemble framework with variance-decomposed Gaussian Negative Log-Likelihood optimization, producing trustworthy epistemic uncertainty estimates that correlate strongly (</w:t>
      </w:r>
      <w:r>
        <w:rPr>
          <w:rFonts w:ascii="Cambria Math" w:hAnsi="Cambria Math"/>
          <w:i/>
          <w:sz w:val="22"/>
        </w:rPr>
        <w:t>r = 0.76</w:t>
      </w:r>
      <w:r>
        <w:rPr>
          <w:rFonts w:ascii="Calibri" w:hAnsi="Calibri"/>
          <w:b w:val="0"/>
          <w:i w:val="0"/>
          <w:sz w:val="22"/>
        </w:rPr>
        <w:t>) with out-of-distribution scaffold prediction errors.</w:t>
      </w:r>
    </w:p>
    <w:p>
      <w:pPr>
        <w:pStyle w:val="ListNumber"/>
        <w:spacing w:before="20" w:after="40" w:line="276" w:lineRule="auto"/>
      </w:pPr>
      <w:r>
        <w:rPr>
          <w:rFonts w:ascii="Calibri" w:hAnsi="Calibri"/>
          <w:b/>
          <w:i w:val="0"/>
          <w:sz w:val="22"/>
        </w:rPr>
        <w:t>State-of-the-Art Benchmark Validation</w:t>
      </w:r>
      <w:r>
        <w:rPr>
          <w:rFonts w:ascii="Calibri" w:hAnsi="Calibri"/>
          <w:b w:val="0"/>
          <w:i w:val="0"/>
          <w:sz w:val="22"/>
        </w:rPr>
        <w:t>:</w:t>
      </w:r>
    </w:p>
    <w:p>
      <w:pPr>
        <w:spacing w:before="0" w:after="100" w:line="283" w:lineRule="auto"/>
      </w:pPr>
      <w:r>
        <w:rPr>
          <w:rFonts w:ascii="Calibri" w:hAnsi="Calibri"/>
          <w:b w:val="0"/>
          <w:i w:val="0"/>
          <w:sz w:val="22"/>
        </w:rPr>
        <w:t>Across 16 standardized MoleculeNet and Therapeutics Data Commons (TDC) benchmarks under strict Bemis-Murcko scaffold splitting, TriBioNode v2 consistently outperforms all 6 foundational reference models and establishes new state-of-the-art benchmarks on BBBP (95.6\% ROC-AUC), BACE (90.4\%), ClinTox (97.4\%), Delaney ESOL (0.542 RMSE), and FreeSolv (0.741 RMSE).</w:t>
      </w:r>
    </w:p>
    <w:p>
      <w:pPr>
        <w:keepNext/>
        <w:spacing w:before="320" w:after="120"/>
      </w:pPr>
      <w:r>
        <w:rPr>
          <w:rFonts w:ascii="Calibri" w:hAnsi="Calibri"/>
          <w:b/>
          <w:color w:val="1E3A8A"/>
          <w:sz w:val="27"/>
        </w:rPr>
        <w:t>2. METHODOLOGY: THE TRIBIONODE v2 ARCHITECTURE</w:t>
      </w:r>
    </w:p>
    <w:p>
      <w:pPr>
        <w:spacing w:before="0" w:after="100" w:line="283" w:lineRule="auto"/>
      </w:pPr>
      <w:r>
        <w:rPr>
          <w:rFonts w:ascii="Calibri" w:hAnsi="Calibri"/>
          <w:b w:val="0"/>
          <w:i w:val="0"/>
          <w:sz w:val="22"/>
        </w:rPr>
        <w:t>The overall computational pipeline of TriBioNode v2 is illustrated in the architectural framework below:</w:t>
      </w:r>
    </w:p>
    <w:p>
      <w:pPr>
        <w:spacing w:before="0" w:after="100" w:line="283" w:lineRule="auto"/>
      </w:pPr>
      <w:r>
        <w:rPr>
          <w:rFonts w:ascii="Consolas" w:hAnsi="Consolas"/>
          <w:color w:val="B4320A"/>
          <w:sz w:val="20"/>
        </w:rPr>
      </w:r>
      <w:r>
        <w:rPr>
          <w:rFonts w:ascii="Calibri" w:hAnsi="Calibri"/>
          <w:b w:val="0"/>
          <w:i w:val="0"/>
          <w:sz w:val="22"/>
        </w:rPr>
        <w:t>`</w:t>
      </w:r>
    </w:p>
    <w:p>
      <w:pPr>
        <w:spacing w:before="0" w:after="100" w:line="283" w:lineRule="auto"/>
      </w:pPr>
      <w:r>
        <w:rPr>
          <w:rFonts w:ascii="Calibri" w:hAnsi="Calibri"/>
          <w:b w:val="0"/>
          <w:i w:val="0"/>
          <w:sz w:val="22"/>
        </w:rPr>
        <w:t>+-------------------------------------------------------------+</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9360"/>
      </w:tblGrid>
      <w:tr>
        <w:tc>
          <w:tcPr>
            <w:tcW w:type="dxa" w:w="9360"/>
            <w:tcMar>
              <w:top w:w="100" w:type="dxa"/>
              <w:bottom w:w="100" w:type="dxa"/>
              <w:left w:w="130" w:type="dxa"/>
              <w:right w:w="130" w:type="dxa"/>
            </w:tcMar>
            <w:shd w:fill="F1F5F9"/>
          </w:tcPr>
          <w:p>
            <w:pPr>
              <w:spacing w:after="40" w:before="40" w:line="252" w:lineRule="auto"/>
              <w:jc w:val="left"/>
            </w:pPr>
            <w:r>
              <w:rPr>
                <w:rFonts w:ascii="Calibri" w:hAnsi="Calibri"/>
                <w:b/>
                <w:i w:val="0"/>
                <w:sz w:val="19"/>
              </w:rPr>
              <w:t>INPUT: MOLECULAR SMILES</w:t>
            </w:r>
          </w:p>
        </w:tc>
      </w:tr>
    </w:tbl>
    <w:p>
      <w:pPr>
        <w:spacing w:after="120" w:before="0"/>
      </w:pPr>
    </w:p>
    <w:p>
      <w:pPr>
        <w:spacing w:before="0" w:after="100" w:line="283" w:lineRule="auto"/>
      </w:pPr>
      <w:r>
        <w:rPr>
          <w:rFonts w:ascii="Calibri" w:hAnsi="Calibri"/>
          <w:b w:val="0"/>
          <w:i w:val="0"/>
          <w:sz w:val="22"/>
        </w:rPr>
        <w:t>+-------------------------------------------------------------+</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tblGrid>
      <w:tr>
  </w:tr>
    </w:tbl>
    <w:p>
      <w:pPr>
        <w:spacing w:after="120" w:before="0"/>
      </w:pPr>
    </w:p>
    <w:p>
      <w:pPr>
        <w:spacing w:before="0" w:after="100" w:line="283" w:lineRule="auto"/>
      </w:pPr>
      <w:r>
        <w:rPr>
          <w:rFonts w:ascii="Calibri" w:hAnsi="Calibri"/>
          <w:b w:val="0"/>
          <w:i w:val="0"/>
          <w:sz w:val="22"/>
        </w:rPr>
        <w:t>+---------------------------------------------+---------------------------------------------+</w:t>
      </w:r>
    </w:p>
    <w:p>
      <w:pPr>
        <w:spacing w:before="0" w:after="100" w:line="283" w:lineRule="auto"/>
      </w:pPr>
      <w:r>
        <w:rPr>
          <w:rFonts w:ascii="Calibri" w:hAnsi="Calibri"/>
          <w:b w:val="0"/>
          <w:i w:val="0"/>
          <w:sz w:val="22"/>
        </w:rPr>
        <w:t>v                                             v                                             v</w:t>
      </w:r>
    </w:p>
    <w:p>
      <w:pPr>
        <w:spacing w:before="0" w:after="100" w:line="283" w:lineRule="auto"/>
      </w:pPr>
      <w:r>
        <w:rPr>
          <w:rFonts w:ascii="Calibri" w:hAnsi="Calibri"/>
          <w:b w:val="0"/>
          <w:i w:val="0"/>
          <w:sz w:val="22"/>
        </w:rPr>
        <w:t>+---------------------------+                 +---------------------------+                 +---------------------------+</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1872"/>
        <w:gridCol w:w="1872"/>
        <w:gridCol w:w="1872"/>
        <w:gridCol w:w="1872"/>
        <w:gridCol w:w="1872"/>
      </w:tblGrid>
      <w:tr>
        <w:tc>
          <w:tcPr>
            <w:tcW w:type="dxa" w:w="1872"/>
            <w:tcMar>
              <w:top w:w="100" w:type="dxa"/>
              <w:bottom w:w="100" w:type="dxa"/>
              <w:left w:w="130" w:type="dxa"/>
              <w:right w:w="130" w:type="dxa"/>
            </w:tcMar>
            <w:shd w:fill="F1F5F9"/>
          </w:tcPr>
          <w:p>
            <w:pPr>
              <w:spacing w:after="40" w:before="40" w:line="252" w:lineRule="auto"/>
              <w:jc w:val="left"/>
            </w:pPr>
            <w:r>
              <w:rPr>
                <w:rFonts w:ascii="Calibri" w:hAnsi="Calibri"/>
                <w:b/>
                <w:i w:val="0"/>
                <w:sz w:val="19"/>
              </w:rPr>
              <w:t>VIEW 1: 1D LANGUAGE</w:t>
            </w:r>
          </w:p>
        </w:tc>
        <w:tc>
          <w:tcPr>
            <w:tcW w:type="dxa" w:w="1872"/>
            <w:tcMar>
              <w:top w:w="100" w:type="dxa"/>
              <w:bottom w:w="100" w:type="dxa"/>
              <w:left w:w="130" w:type="dxa"/>
              <w:right w:w="130" w:type="dxa"/>
            </w:tcMar>
            <w:shd w:fill="F1F5F9"/>
          </w:tcPr>
          <w:p>
            <w:pPr>
              <w:spacing w:after="40" w:before="40" w:line="252" w:lineRule="auto"/>
              <w:jc w:val="center"/>
            </w:pPr>
          </w:p>
        </w:tc>
        <w:tc>
          <w:tcPr>
            <w:tcW w:type="dxa" w:w="1872"/>
            <w:tcMar>
              <w:top w:w="100" w:type="dxa"/>
              <w:bottom w:w="100" w:type="dxa"/>
              <w:left w:w="130" w:type="dxa"/>
              <w:right w:w="130" w:type="dxa"/>
            </w:tcMar>
            <w:shd w:fill="F1F5F9"/>
          </w:tcPr>
          <w:p>
            <w:pPr>
              <w:spacing w:after="40" w:before="40" w:line="252" w:lineRule="auto"/>
              <w:jc w:val="center"/>
            </w:pPr>
            <w:r>
              <w:rPr>
                <w:rFonts w:ascii="Calibri" w:hAnsi="Calibri"/>
                <w:b/>
                <w:i w:val="0"/>
                <w:sz w:val="19"/>
              </w:rPr>
              <w:t>VIEW 2: 2D HIERARCHICAL</w:t>
            </w:r>
          </w:p>
        </w:tc>
        <w:tc>
          <w:tcPr>
            <w:tcW w:type="dxa" w:w="1872"/>
            <w:tcMar>
              <w:top w:w="100" w:type="dxa"/>
              <w:bottom w:w="100" w:type="dxa"/>
              <w:left w:w="130" w:type="dxa"/>
              <w:right w:w="130" w:type="dxa"/>
            </w:tcMar>
            <w:shd w:fill="F1F5F9"/>
          </w:tcPr>
          <w:p>
            <w:pPr>
              <w:spacing w:after="40" w:before="40" w:line="252" w:lineRule="auto"/>
              <w:jc w:val="center"/>
            </w:pPr>
          </w:p>
        </w:tc>
        <w:tc>
          <w:tcPr>
            <w:tcW w:type="dxa" w:w="1872"/>
            <w:tcMar>
              <w:top w:w="100" w:type="dxa"/>
              <w:bottom w:w="100" w:type="dxa"/>
              <w:left w:w="130" w:type="dxa"/>
              <w:right w:w="130" w:type="dxa"/>
            </w:tcMar>
            <w:shd w:fill="F1F5F9"/>
          </w:tcPr>
          <w:p>
            <w:pPr>
              <w:spacing w:after="40" w:before="40" w:line="252" w:lineRule="auto"/>
              <w:jc w:val="center"/>
            </w:pPr>
            <w:r>
              <w:rPr>
                <w:rFonts w:ascii="Calibri" w:hAnsi="Calibri"/>
                <w:b/>
                <w:i w:val="0"/>
                <w:sz w:val="19"/>
              </w:rPr>
              <w:t>VIEW 3: 3D SPATIAL</w:t>
            </w:r>
          </w:p>
        </w:tc>
      </w:tr>
      <w:tr>
        <w:tc>
          <w:tcPr>
            <w:tcW w:type="dxa" w:w="1872"/>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ChemBERTa Transformer</w:t>
            </w:r>
          </w:p>
        </w:tc>
        <w:tc>
          <w:tcPr>
            <w:tcW w:type="dxa" w:w="1872"/>
            <w:tcMar>
              <w:top w:w="100" w:type="dxa"/>
              <w:bottom w:w="100" w:type="dxa"/>
              <w:left w:w="130" w:type="dxa"/>
              <w:right w:w="130" w:type="dxa"/>
            </w:tcMar>
            <w:shd w:fill="F8FAFC"/>
          </w:tcPr>
          <w:p>
            <w:pPr>
              <w:spacing w:after="40" w:before="40" w:line="252" w:lineRule="auto"/>
              <w:jc w:val="left"/>
            </w:pPr>
          </w:p>
        </w:tc>
        <w:tc>
          <w:tcPr>
            <w:tcW w:type="dxa" w:w="1872"/>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ATOM-MOTIF MSGG GRAPH</w:t>
            </w:r>
          </w:p>
        </w:tc>
        <w:tc>
          <w:tcPr>
            <w:tcW w:type="dxa" w:w="1872"/>
            <w:tcMar>
              <w:top w:w="100" w:type="dxa"/>
              <w:bottom w:w="100" w:type="dxa"/>
              <w:left w:w="130" w:type="dxa"/>
              <w:right w:w="130" w:type="dxa"/>
            </w:tcMar>
            <w:shd w:fill="F8FAFC"/>
          </w:tcPr>
          <w:p>
            <w:pPr>
              <w:spacing w:after="40" w:before="40" w:line="252" w:lineRule="auto"/>
              <w:jc w:val="left"/>
            </w:pPr>
          </w:p>
        </w:tc>
        <w:tc>
          <w:tcPr>
            <w:tcW w:type="dxa" w:w="1872"/>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E(3)-Equivariant EGNN</w:t>
            </w:r>
          </w:p>
        </w:tc>
      </w:tr>
    </w:tbl>
    <w:p>
      <w:pPr>
        <w:spacing w:after="120" w:before="0"/>
      </w:pPr>
    </w:p>
    <w:p>
      <w:pPr>
        <w:spacing w:before="0" w:after="100" w:line="283" w:lineRule="auto"/>
      </w:pPr>
      <w:r>
        <w:rPr>
          <w:rFonts w:ascii="Calibri" w:hAnsi="Calibri"/>
          <w:b w:val="0"/>
          <w:i w:val="0"/>
          <w:sz w:val="22"/>
        </w:rPr>
        <w:t>+---------------------------+                 +---------------------------+                 +---------------------------+</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1872"/>
        <w:gridCol w:w="1872"/>
        <w:gridCol w:w="1872"/>
        <w:gridCol w:w="1872"/>
        <w:gridCol w:w="1872"/>
      </w:tblGrid>
      <w:tr>
        <w:tc>
          <w:tcPr>
            <w:tcW w:type="dxa" w:w="1872"/>
            <w:tcMar>
              <w:top w:w="100" w:type="dxa"/>
              <w:bottom w:w="100" w:type="dxa"/>
              <w:left w:w="130" w:type="dxa"/>
              <w:right w:w="130" w:type="dxa"/>
            </w:tcMar>
            <w:shd w:fill="F1F5F9"/>
          </w:tcPr>
          <w:p>
            <w:pPr>
              <w:spacing w:after="40" w:before="40" w:line="252" w:lineRule="auto"/>
              <w:jc w:val="left"/>
            </w:pPr>
            <w:r>
              <w:rPr>
                <w:rFonts w:ascii="Calibri" w:hAnsi="Calibri"/>
                <w:b/>
                <w:i w:val="0"/>
                <w:sz w:val="19"/>
              </w:rPr>
              <w:t>- Tokenized BPE Sequence</w:t>
            </w:r>
          </w:p>
        </w:tc>
        <w:tc>
          <w:tcPr>
            <w:tcW w:type="dxa" w:w="1872"/>
            <w:tcMar>
              <w:top w:w="100" w:type="dxa"/>
              <w:bottom w:w="100" w:type="dxa"/>
              <w:left w:w="130" w:type="dxa"/>
              <w:right w:w="130" w:type="dxa"/>
            </w:tcMar>
            <w:shd w:fill="F1F5F9"/>
          </w:tcPr>
          <w:p>
            <w:pPr>
              <w:spacing w:after="40" w:before="40" w:line="252" w:lineRule="auto"/>
              <w:jc w:val="center"/>
            </w:pPr>
          </w:p>
        </w:tc>
        <w:tc>
          <w:tcPr>
            <w:tcW w:type="dxa" w:w="1872"/>
            <w:tcMar>
              <w:top w:w="100" w:type="dxa"/>
              <w:bottom w:w="100" w:type="dxa"/>
              <w:left w:w="130" w:type="dxa"/>
              <w:right w:w="130" w:type="dxa"/>
            </w:tcMar>
            <w:shd w:fill="F1F5F9"/>
          </w:tcPr>
          <w:p>
            <w:pPr>
              <w:spacing w:after="40" w:before="40" w:line="252" w:lineRule="auto"/>
              <w:jc w:val="center"/>
            </w:pPr>
            <w:r>
              <w:rPr>
                <w:rFonts w:ascii="Calibri" w:hAnsi="Calibri"/>
                <w:b/>
                <w:i w:val="0"/>
                <w:sz w:val="19"/>
              </w:rPr>
              <w:t>- 71-d Atom Features</w:t>
            </w:r>
          </w:p>
        </w:tc>
        <w:tc>
          <w:tcPr>
            <w:tcW w:type="dxa" w:w="1872"/>
            <w:tcMar>
              <w:top w:w="100" w:type="dxa"/>
              <w:bottom w:w="100" w:type="dxa"/>
              <w:left w:w="130" w:type="dxa"/>
              <w:right w:w="130" w:type="dxa"/>
            </w:tcMar>
            <w:shd w:fill="F1F5F9"/>
          </w:tcPr>
          <w:p>
            <w:pPr>
              <w:spacing w:after="40" w:before="40" w:line="252" w:lineRule="auto"/>
              <w:jc w:val="center"/>
            </w:pPr>
          </w:p>
        </w:tc>
        <w:tc>
          <w:tcPr>
            <w:tcW w:type="dxa" w:w="1872"/>
            <w:tcMar>
              <w:top w:w="100" w:type="dxa"/>
              <w:bottom w:w="100" w:type="dxa"/>
              <w:left w:w="130" w:type="dxa"/>
              <w:right w:w="130" w:type="dxa"/>
            </w:tcMar>
            <w:shd w:fill="F1F5F9"/>
          </w:tcPr>
          <w:p>
            <w:pPr>
              <w:spacing w:after="40" w:before="40" w:line="252" w:lineRule="auto"/>
              <w:jc w:val="center"/>
            </w:pPr>
            <w:r>
              <w:rPr>
                <w:rFonts w:ascii="Calibri" w:hAnsi="Calibri"/>
                <w:b/>
                <w:i w:val="0"/>
                <w:sz w:val="19"/>
              </w:rPr>
              <w:t>- MMFF94 3D Coordinates</w:t>
            </w:r>
          </w:p>
        </w:tc>
      </w:tr>
      <w:tr>
        <w:tc>
          <w:tcPr>
            <w:tcW w:type="dxa" w:w="1872"/>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- 12-Layer Self-Attention</w:t>
            </w:r>
          </w:p>
        </w:tc>
        <w:tc>
          <w:tcPr>
            <w:tcW w:type="dxa" w:w="1872"/>
            <w:tcMar>
              <w:top w:w="100" w:type="dxa"/>
              <w:bottom w:w="100" w:type="dxa"/>
              <w:left w:w="130" w:type="dxa"/>
              <w:right w:w="130" w:type="dxa"/>
            </w:tcMar>
            <w:shd w:fill="F8FAFC"/>
          </w:tcPr>
          <w:p>
            <w:pPr>
              <w:spacing w:after="40" w:before="40" w:line="252" w:lineRule="auto"/>
              <w:jc w:val="left"/>
            </w:pPr>
          </w:p>
        </w:tc>
        <w:tc>
          <w:tcPr>
            <w:tcW w:type="dxa" w:w="1872"/>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- 8-ch MSGG Isomerism</w:t>
            </w:r>
          </w:p>
        </w:tc>
        <w:tc>
          <w:tcPr>
            <w:tcW w:type="dxa" w:w="1872"/>
            <w:tcMar>
              <w:top w:w="100" w:type="dxa"/>
              <w:bottom w:w="100" w:type="dxa"/>
              <w:left w:w="130" w:type="dxa"/>
              <w:right w:w="130" w:type="dxa"/>
            </w:tcMar>
            <w:shd w:fill="F8FAFC"/>
          </w:tcPr>
          <w:p>
            <w:pPr>
              <w:spacing w:after="40" w:before="40" w:line="252" w:lineRule="auto"/>
              <w:jc w:val="left"/>
            </w:pPr>
          </w:p>
        </w:tc>
        <w:tc>
          <w:tcPr>
            <w:tcW w:type="dxa" w:w="1872"/>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 Continuous RBF Distances</w:t>
            </w:r>
          </w:p>
        </w:tc>
      </w:tr>
      <w:tr>
        <w:tc>
          <w:tcPr>
            <w:tcW w:type="dxa" w:w="1872"/>
            <w:tcMar>
              <w:top w:w="100" w:type="dxa"/>
              <w:bottom w:w="100" w:type="dxa"/>
              <w:left w:w="130" w:type="dxa"/>
              <w:right w:w="130" w:type="dxa"/>
            </w:tcMar>
          </w:tcPr>
          <w:p>
            <w:pPr>
              <w:spacing w:after="40" w:before="40" w:line="252" w:lineRule="auto"/>
              <w:jc w:val="left"/>
            </w:pPr>
            <w:r>
              <w:rPr>
                <w:rFonts w:ascii="Calibri" w:hAnsi="Calibri"/>
                <w:b w:val="0"/>
                <w:i w:val="0"/>
                <w:sz w:val="19"/>
              </w:rPr>
              <w:t>- Pooler Head</w:t>
            </w:r>
          </w:p>
        </w:tc>
        <w:tc>
          <w:tcPr>
            <w:tcW w:type="dxa" w:w="1872"/>
            <w:tcMar>
              <w:top w:w="100" w:type="dxa"/>
              <w:bottom w:w="100" w:type="dxa"/>
              <w:left w:w="130" w:type="dxa"/>
              <w:right w:w="130" w:type="dxa"/>
            </w:tcMar>
          </w:tcPr>
          <w:p>
            <w:pPr>
              <w:spacing w:after="40" w:before="40" w:line="252" w:lineRule="auto"/>
              <w:jc w:val="left"/>
            </w:pPr>
          </w:p>
        </w:tc>
        <w:tc>
          <w:tcPr>
            <w:tcW w:type="dxa" w:w="1872"/>
            <w:tcMar>
              <w:top w:w="100" w:type="dxa"/>
              <w:bottom w:w="100" w:type="dxa"/>
              <w:left w:w="130" w:type="dxa"/>
              <w:right w:w="130" w:type="dxa"/>
            </w:tcMar>
          </w:tcPr>
          <w:p>
            <w:pPr>
              <w:spacing w:after="40" w:before="40" w:line="252" w:lineRule="auto"/>
              <w:jc w:val="left"/>
            </w:pPr>
            <w:r>
              <w:rPr>
                <w:rFonts w:ascii="Calibri" w:hAnsi="Calibri"/>
                <w:b w:val="0"/>
                <w:i w:val="0"/>
                <w:sz w:val="19"/>
              </w:rPr>
              <w:t>- BRICS Motif Transformer</w:t>
            </w:r>
          </w:p>
        </w:tc>
        <w:tc>
          <w:tcPr>
            <w:tcW w:type="dxa" w:w="1872"/>
            <w:tcMar>
              <w:top w:w="100" w:type="dxa"/>
              <w:bottom w:w="100" w:type="dxa"/>
              <w:left w:w="130" w:type="dxa"/>
              <w:right w:w="130" w:type="dxa"/>
            </w:tcMar>
          </w:tcPr>
          <w:p>
            <w:pPr>
              <w:spacing w:after="40" w:before="40" w:line="252" w:lineRule="auto"/>
              <w:jc w:val="left"/>
            </w:pPr>
          </w:p>
        </w:tc>
        <w:tc>
          <w:tcPr>
            <w:tcW w:type="dxa" w:w="1872"/>
            <w:tcMar>
              <w:top w:w="100" w:type="dxa"/>
              <w:bottom w:w="100" w:type="dxa"/>
              <w:left w:w="130" w:type="dxa"/>
              <w:right w:w="130" w:type="dxa"/>
            </w:tcMar>
          </w:tcPr>
          <w:p>
            <w:pPr>
              <w:spacing w:after="40" w:before="40" w:line="252" w:lineRule="auto"/>
              <w:jc w:val="left"/>
            </w:pPr>
            <w:r>
              <w:rPr>
                <w:rFonts w:ascii="Calibri" w:hAnsi="Calibri"/>
                <w:b w:val="0"/>
                <w:i w:val="0"/>
                <w:sz w:val="19"/>
              </w:rPr>
              <w:t>- Equivariant Coord Update</w:t>
            </w:r>
          </w:p>
        </w:tc>
      </w:tr>
      <w:tr>
        <w:tc>
          <w:tcPr>
            <w:tcW w:type="dxa" w:w="1872"/>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Output: h_seq in R^256</w:t>
            </w:r>
          </w:p>
        </w:tc>
        <w:tc>
          <w:tcPr>
            <w:tcW w:type="dxa" w:w="1872"/>
            <w:tcMar>
              <w:top w:w="100" w:type="dxa"/>
              <w:bottom w:w="100" w:type="dxa"/>
              <w:left w:w="130" w:type="dxa"/>
              <w:right w:w="130" w:type="dxa"/>
            </w:tcMar>
            <w:shd w:fill="F8FAFC"/>
          </w:tcPr>
          <w:p>
            <w:pPr>
              <w:spacing w:after="40" w:before="40" w:line="252" w:lineRule="auto"/>
              <w:jc w:val="left"/>
            </w:pPr>
          </w:p>
        </w:tc>
        <w:tc>
          <w:tcPr>
            <w:tcW w:type="dxa" w:w="1872"/>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Output: h_graph in R^256</w:t>
            </w:r>
          </w:p>
        </w:tc>
        <w:tc>
          <w:tcPr>
            <w:tcW w:type="dxa" w:w="1872"/>
            <w:tcMar>
              <w:top w:w="100" w:type="dxa"/>
              <w:bottom w:w="100" w:type="dxa"/>
              <w:left w:w="130" w:type="dxa"/>
              <w:right w:w="130" w:type="dxa"/>
            </w:tcMar>
            <w:shd w:fill="F8FAFC"/>
          </w:tcPr>
          <w:p>
            <w:pPr>
              <w:spacing w:after="40" w:before="40" w:line="252" w:lineRule="auto"/>
              <w:jc w:val="left"/>
            </w:pPr>
          </w:p>
        </w:tc>
        <w:tc>
          <w:tcPr>
            <w:tcW w:type="dxa" w:w="1872"/>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Output: h_conf in R^256</w:t>
            </w:r>
          </w:p>
        </w:tc>
      </w:tr>
    </w:tbl>
    <w:p>
      <w:pPr>
        <w:spacing w:after="120" w:before="0"/>
      </w:pPr>
    </w:p>
    <w:p>
      <w:pPr>
        <w:spacing w:before="0" w:after="100" w:line="283" w:lineRule="auto"/>
      </w:pPr>
      <w:r>
        <w:rPr>
          <w:rFonts w:ascii="Calibri" w:hAnsi="Calibri"/>
          <w:b w:val="0"/>
          <w:i w:val="0"/>
          <w:sz w:val="22"/>
        </w:rPr>
        <w:t>+---------------------------+                 +---------------------------+                 +---------------------------+</w:t>
      </w:r>
    </w:p>
    <w:p>
      <w:pPr>
        <w:spacing w:before="0" w:after="100" w:line="283" w:lineRule="auto"/>
      </w:pPr>
      <w:r>
        <w:rPr>
          <w:rFonts w:ascii="Calibri" w:hAnsi="Calibri"/>
          <w:b w:val="0"/>
          <w:i w:val="0"/>
          <w:sz w:val="22"/>
        </w:rPr>
        <w:t>+---------------------------------------------+---------------------------------------------+</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tblGrid>
      <w:tr>
  </w:tr>
    </w:tbl>
    <w:p>
      <w:pPr>
        <w:spacing w:after="120" w:before="0"/>
      </w:pPr>
    </w:p>
    <w:p>
      <w:pPr>
        <w:spacing w:before="0" w:after="100" w:line="283" w:lineRule="auto"/>
      </w:pPr>
      <w:r>
        <w:rPr>
          <w:rFonts w:ascii="Calibri" w:hAnsi="Calibri"/>
          <w:b w:val="0"/>
          <w:i w:val="0"/>
          <w:sz w:val="22"/>
        </w:rPr>
        <w:t>v</w:t>
      </w:r>
    </w:p>
    <w:p>
      <w:pPr>
        <w:spacing w:before="0" w:after="100" w:line="283" w:lineRule="auto"/>
      </w:pPr>
      <w:r>
        <w:rPr>
          <w:rFonts w:ascii="Calibri" w:hAnsi="Calibri"/>
          <w:b w:val="0"/>
          <w:i w:val="0"/>
          <w:sz w:val="22"/>
        </w:rPr>
        <w:t>+------------------------------------------------+</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9360"/>
      </w:tblGrid>
      <w:tr>
        <w:tc>
          <w:tcPr>
            <w:tcW w:type="dxa" w:w="9360"/>
            <w:tcMar>
              <w:top w:w="100" w:type="dxa"/>
              <w:bottom w:w="100" w:type="dxa"/>
              <w:left w:w="130" w:type="dxa"/>
              <w:right w:w="130" w:type="dxa"/>
            </w:tcMar>
            <w:shd w:fill="F1F5F9"/>
          </w:tcPr>
          <w:p>
            <w:pPr>
              <w:spacing w:after="40" w:before="40" w:line="252" w:lineRule="auto"/>
              <w:jc w:val="left"/>
            </w:pPr>
            <w:r>
              <w:rPr>
                <w:rFonts w:ascii="Calibri" w:hAnsi="Calibri"/>
                <w:b/>
                <w:i w:val="0"/>
                <w:sz w:val="19"/>
              </w:rPr>
              <w:t>MULTI-MODAL CONTRASTIVE ALIGNMENT (L_CL)</w:t>
            </w:r>
          </w:p>
        </w:tc>
      </w:tr>
      <w:tr>
        <w:tc>
          <w:tcPr>
            <w:tcW w:type="dxa" w:w="936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Tri-Modal InfoNCE Cross-View Loss</w:t>
            </w:r>
          </w:p>
        </w:tc>
      </w:tr>
    </w:tbl>
    <w:p>
      <w:pPr>
        <w:spacing w:after="120" w:before="0"/>
      </w:pPr>
    </w:p>
    <w:p>
      <w:pPr>
        <w:spacing w:before="0" w:after="100" w:line="283" w:lineRule="auto"/>
      </w:pPr>
      <w:r>
        <w:rPr>
          <w:rFonts w:ascii="Calibri" w:hAnsi="Calibri"/>
          <w:b w:val="0"/>
          <w:i w:val="0"/>
          <w:sz w:val="22"/>
        </w:rPr>
        <w:t>+------------------------------------------------+</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tblGrid>
      <w:tr>
  </w:tr>
    </w:tbl>
    <w:p>
      <w:pPr>
        <w:spacing w:after="120" w:before="0"/>
      </w:pPr>
    </w:p>
    <w:p>
      <w:pPr>
        <w:spacing w:before="0" w:after="100" w:line="283" w:lineRule="auto"/>
      </w:pPr>
      <w:r>
        <w:rPr>
          <w:rFonts w:ascii="Calibri" w:hAnsi="Calibri"/>
          <w:b w:val="0"/>
          <w:i w:val="0"/>
          <w:sz w:val="22"/>
        </w:rPr>
        <w:t>v</w:t>
      </w:r>
    </w:p>
    <w:p>
      <w:pPr>
        <w:spacing w:before="0" w:after="100" w:line="283" w:lineRule="auto"/>
      </w:pPr>
      <w:r>
        <w:rPr>
          <w:rFonts w:ascii="Calibri" w:hAnsi="Calibri"/>
          <w:b w:val="0"/>
          <w:i w:val="0"/>
          <w:sz w:val="22"/>
        </w:rPr>
        <w:t>+------------------------------------------------+</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9360"/>
      </w:tblGrid>
      <w:tr>
        <w:tc>
          <w:tcPr>
            <w:tcW w:type="dxa" w:w="9360"/>
            <w:tcMar>
              <w:top w:w="100" w:type="dxa"/>
              <w:bottom w:w="100" w:type="dxa"/>
              <w:left w:w="130" w:type="dxa"/>
              <w:right w:w="130" w:type="dxa"/>
            </w:tcMar>
            <w:shd w:fill="F1F5F9"/>
          </w:tcPr>
          <w:p>
            <w:pPr>
              <w:spacing w:after="40" w:before="40" w:line="252" w:lineRule="auto"/>
              <w:jc w:val="left"/>
            </w:pPr>
            <w:r>
              <w:rPr>
                <w:rFonts w:ascii="Calibri" w:hAnsi="Calibri"/>
                <w:b/>
                <w:i w:val="0"/>
                <w:sz w:val="19"/>
              </w:rPr>
              <w:t>DYNAMIC ATTENTION VIEW GATING MODULE</w:t>
            </w:r>
          </w:p>
        </w:tc>
      </w:tr>
      <w:tr>
        <w:tc>
          <w:tcPr>
            <w:tcW w:type="dxa" w:w="936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alpha(x) = softmax(W_g * [h1</w:t>
            </w:r>
          </w:p>
        </w:tc>
      </w:tr>
    </w:tbl>
    <w:p>
      <w:pPr>
        <w:spacing w:after="120" w:before="0"/>
      </w:pPr>
    </w:p>
    <w:p>
      <w:pPr>
        <w:spacing w:before="0" w:after="100" w:line="283" w:lineRule="auto"/>
      </w:pPr>
      <w:r>
        <w:rPr>
          <w:rFonts w:ascii="Calibri" w:hAnsi="Calibri"/>
          <w:b w:val="0"/>
          <w:i w:val="0"/>
          <w:sz w:val="22"/>
        </w:rPr>
        <w:t>+------------------------------------------------+</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tblGrid>
      <w:tr>
  </w:tr>
    </w:tbl>
    <w:p>
      <w:pPr>
        <w:spacing w:after="120" w:before="0"/>
      </w:pPr>
    </w:p>
    <w:p>
      <w:pPr>
        <w:spacing w:before="0" w:after="100" w:line="283" w:lineRule="auto"/>
      </w:pPr>
      <w:r>
        <w:rPr>
          <w:rFonts w:ascii="Calibri" w:hAnsi="Calibri"/>
          <w:b w:val="0"/>
          <w:i w:val="0"/>
          <w:sz w:val="22"/>
        </w:rPr>
        <w:t>v</w:t>
      </w:r>
    </w:p>
    <w:p>
      <w:pPr>
        <w:spacing w:before="0" w:after="100" w:line="283" w:lineRule="auto"/>
      </w:pPr>
      <w:r>
        <w:rPr>
          <w:rFonts w:ascii="Calibri" w:hAnsi="Calibri"/>
          <w:b w:val="0"/>
          <w:i w:val="0"/>
          <w:sz w:val="22"/>
        </w:rPr>
        <w:t>+------------------------------------------------+</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9360"/>
      </w:tblGrid>
      <w:tr>
        <w:tc>
          <w:tcPr>
            <w:tcW w:type="dxa" w:w="9360"/>
            <w:tcMar>
              <w:top w:w="100" w:type="dxa"/>
              <w:bottom w:w="100" w:type="dxa"/>
              <w:left w:w="130" w:type="dxa"/>
              <w:right w:w="130" w:type="dxa"/>
            </w:tcMar>
            <w:shd w:fill="F1F5F9"/>
          </w:tcPr>
          <w:p>
            <w:pPr>
              <w:spacing w:after="40" w:before="40" w:line="252" w:lineRule="auto"/>
              <w:jc w:val="left"/>
            </w:pPr>
            <w:r>
              <w:rPr>
                <w:rFonts w:ascii="Calibri" w:hAnsi="Calibri"/>
                <w:b/>
                <w:i w:val="0"/>
                <w:sz w:val="19"/>
              </w:rPr>
              <w:t>CROSS-MODAL TRANSFORMER FUSION</w:t>
            </w:r>
          </w:p>
        </w:tc>
      </w:tr>
      <w:tr>
        <w:tc>
          <w:tcPr>
            <w:tcW w:type="dxa" w:w="936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Multi-Head Cross-Attention (d_model=256)</w:t>
            </w:r>
          </w:p>
        </w:tc>
      </w:tr>
    </w:tbl>
    <w:p>
      <w:pPr>
        <w:spacing w:after="120" w:before="0"/>
      </w:pPr>
    </w:p>
    <w:p>
      <w:pPr>
        <w:spacing w:before="0" w:after="100" w:line="283" w:lineRule="auto"/>
      </w:pPr>
      <w:r>
        <w:rPr>
          <w:rFonts w:ascii="Calibri" w:hAnsi="Calibri"/>
          <w:b w:val="0"/>
          <w:i w:val="0"/>
          <w:sz w:val="22"/>
        </w:rPr>
        <w:t>+------------------------------------------------+</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tblGrid>
      <w:tr>
  </w:tr>
    </w:tbl>
    <w:p>
      <w:pPr>
        <w:spacing w:after="120" w:before="0"/>
      </w:pPr>
    </w:p>
    <w:p>
      <w:pPr>
        <w:spacing w:before="0" w:after="100" w:line="283" w:lineRule="auto"/>
      </w:pPr>
      <w:r>
        <w:rPr>
          <w:rFonts w:ascii="Calibri" w:hAnsi="Calibri"/>
          <w:b w:val="0"/>
          <w:i w:val="0"/>
          <w:sz w:val="22"/>
        </w:rPr>
        <w:t>v</w:t>
      </w:r>
    </w:p>
    <w:p>
      <w:pPr>
        <w:spacing w:before="0" w:after="100" w:line="283" w:lineRule="auto"/>
      </w:pPr>
      <w:r>
        <w:rPr>
          <w:rFonts w:ascii="Calibri" w:hAnsi="Calibri"/>
          <w:b w:val="0"/>
          <w:i w:val="0"/>
          <w:sz w:val="22"/>
        </w:rPr>
        <w:t>+------------------------------------------------+</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9360"/>
      </w:tblGrid>
      <w:tr>
        <w:tc>
          <w:tcPr>
            <w:tcW w:type="dxa" w:w="9360"/>
            <w:tcMar>
              <w:top w:w="100" w:type="dxa"/>
              <w:bottom w:w="100" w:type="dxa"/>
              <w:left w:w="130" w:type="dxa"/>
              <w:right w:w="130" w:type="dxa"/>
            </w:tcMar>
            <w:shd w:fill="F1F5F9"/>
          </w:tcPr>
          <w:p>
            <w:pPr>
              <w:spacing w:after="40" w:before="40" w:line="252" w:lineRule="auto"/>
              <w:jc w:val="left"/>
            </w:pPr>
            <w:r>
              <w:rPr>
                <w:rFonts w:ascii="Calibri" w:hAnsi="Calibri"/>
                <w:b/>
                <w:i w:val="0"/>
                <w:sz w:val="19"/>
              </w:rPr>
              <w:t>DEEP ENSEMBLE UNCERTAINTY HEAD</w:t>
            </w:r>
          </w:p>
        </w:tc>
      </w:tr>
      <w:tr>
        <w:tc>
          <w:tcPr>
            <w:tcW w:type="dxa" w:w="936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Mean: mu(x)</w:t>
            </w:r>
          </w:p>
        </w:tc>
      </w:tr>
    </w:tbl>
    <w:p>
      <w:pPr>
        <w:spacing w:after="120" w:before="0"/>
      </w:pPr>
    </w:p>
    <w:p>
      <w:pPr>
        <w:spacing w:before="0" w:after="100" w:line="283" w:lineRule="auto"/>
      </w:pPr>
      <w:r>
        <w:rPr>
          <w:rFonts w:ascii="Calibri" w:hAnsi="Calibri"/>
          <w:b w:val="0"/>
          <w:i w:val="0"/>
          <w:sz w:val="22"/>
        </w:rPr>
        <w:t>+------------------------------------------------+</w:t>
      </w:r>
    </w:p>
    <w:p>
      <w:pPr>
        <w:spacing w:before="0" w:after="100" w:line="283" w:lineRule="auto"/>
      </w:pPr>
      <w:r>
        <w:rPr>
          <w:rFonts w:ascii="Consolas" w:hAnsi="Consolas"/>
          <w:color w:val="B4320A"/>
          <w:sz w:val="20"/>
        </w:rPr>
      </w:r>
      <w:r>
        <w:rPr>
          <w:rFonts w:ascii="Calibri" w:hAnsi="Calibri"/>
          <w:b w:val="0"/>
          <w:i w:val="0"/>
          <w:sz w:val="22"/>
        </w:rPr>
        <w:t>`</w:t>
      </w:r>
    </w:p>
    <w:p>
      <w:pPr>
        <w:keepNext/>
        <w:spacing w:before="260" w:after="80"/>
      </w:pPr>
      <w:r>
        <w:rPr>
          <w:rFonts w:ascii="Calibri" w:hAnsi="Calibri"/>
          <w:b/>
          <w:color w:val="2563EB"/>
          <w:sz w:val="24"/>
        </w:rPr>
        <w:t>2.1 View 1: 1D Chemical Language Transformer Encoder</w:t>
      </w:r>
    </w:p>
    <w:p>
      <w:pPr>
        <w:spacing w:before="0" w:after="100" w:line="283" w:lineRule="auto"/>
      </w:pPr>
      <w:r>
        <w:rPr>
          <w:rFonts w:ascii="Calibri" w:hAnsi="Calibri"/>
          <w:b w:val="0"/>
          <w:i w:val="0"/>
          <w:sz w:val="22"/>
        </w:rPr>
        <w:t xml:space="preserve">Given a molecular SMILES string </w:t>
      </w:r>
      <w:r>
        <w:rPr>
          <w:rFonts w:ascii="Cambria Math" w:hAnsi="Cambria Math"/>
          <w:i/>
          <w:sz w:val="22"/>
        </w:rPr>
        <w:t>S = (t_1, t_2, \dots, t_L)</w:t>
      </w:r>
      <w:r>
        <w:rPr>
          <w:rFonts w:ascii="Calibri" w:hAnsi="Calibri"/>
          <w:b w:val="0"/>
          <w:i w:val="0"/>
          <w:sz w:val="22"/>
        </w:rPr>
        <w:t xml:space="preserve"> of length </w:t>
      </w:r>
      <w:r>
        <w:rPr>
          <w:rFonts w:ascii="Cambria Math" w:hAnsi="Cambria Math"/>
          <w:i/>
          <w:sz w:val="22"/>
        </w:rPr>
        <w:t>L</w:t>
      </w:r>
      <w:r>
        <w:rPr>
          <w:rFonts w:ascii="Calibri" w:hAnsi="Calibri"/>
          <w:b w:val="0"/>
          <w:i w:val="0"/>
          <w:sz w:val="22"/>
        </w:rPr>
        <w:t>, tokens are parsed via Byte-Pair Encoding (BPE). The sequence is encoded using a 12-layer ChemBERTa Transformer architecture:</w:t>
      </w:r>
    </w:p>
    <w:p>
      <w:pPr>
        <w:spacing w:before="100" w:after="100"/>
        <w:jc w:val="center"/>
      </w:pPr>
      <w:r>
        <w:rPr>
          <w:rFonts w:ascii="Cambria Math" w:hAnsi="Cambria Math"/>
          <w:i/>
          <w:color w:val="0F172A"/>
          <w:sz w:val="21"/>
        </w:rPr>
        <w:t>\mathbf{H}_{\text{seq}}^{(0)} = [\mathbf{e}_{\text{token}}(t_i) + \mathbf{e}_{\text{pos}}(i)]_{i=1}^L \in \mathbb{R}^{L \times d_{\text{model}}}</w:t>
      </w:r>
    </w:p>
    <w:p>
      <w:pPr>
        <w:spacing w:before="100" w:after="100"/>
        <w:jc w:val="center"/>
      </w:pPr>
      <w:r>
        <w:rPr>
          <w:rFonts w:ascii="Cambria Math" w:hAnsi="Cambria Math"/>
          <w:i/>
          <w:color w:val="0F172A"/>
          <w:sz w:val="21"/>
        </w:rPr>
        <w:t>\mathbf{H}_{\text{seq}}^{(l)} = \text{TransformerBlock}\left(\mathbf{H}_{\text{seq}}^{(l-1)}\right), \quad l \in \{1, \dots, 12\}</w:t>
      </w:r>
    </w:p>
    <w:p>
      <w:pPr>
        <w:spacing w:before="0" w:after="100" w:line="283" w:lineRule="auto"/>
      </w:pPr>
      <w:r>
        <w:rPr>
          <w:rFonts w:ascii="Calibri" w:hAnsi="Calibri"/>
          <w:b w:val="0"/>
          <w:i w:val="0"/>
          <w:sz w:val="22"/>
        </w:rPr>
        <w:t>The contextualized representation is obtained via mean pooling over the sequence tokens followed by a dense projection head:</w:t>
      </w:r>
    </w:p>
    <w:p>
      <w:pPr>
        <w:spacing w:before="100" w:after="100"/>
        <w:jc w:val="center"/>
      </w:pPr>
      <w:r>
        <w:rPr>
          <w:rFonts w:ascii="Cambria Math" w:hAnsi="Cambria Math"/>
          <w:i/>
          <w:color w:val="0F172A"/>
          <w:sz w:val="21"/>
        </w:rPr>
        <w:t>\mathbf{h}_{\text{seq}} = \text{LayerNorm}\left(\mathbf{W}_{\text{seq}} \left(\frac{1}{L} \sum_{i=1}^L \mathbf{H}_{\text{seq}, i}^{(12)}\right) + \mathbf{b}_{\text{seq}}\right) \in \mathbb{R}^{d_h}</w:t>
      </w:r>
    </w:p>
    <w:p>
      <w:pPr>
        <w:spacing w:before="0" w:after="100" w:line="283" w:lineRule="auto"/>
      </w:pPr>
      <w:r>
        <w:rPr>
          <w:rFonts w:ascii="Calibri" w:hAnsi="Calibri"/>
          <w:b w:val="0"/>
          <w:i w:val="0"/>
          <w:sz w:val="22"/>
        </w:rPr>
        <w:t xml:space="preserve">where </w:t>
      </w:r>
      <w:r>
        <w:rPr>
          <w:rFonts w:ascii="Cambria Math" w:hAnsi="Cambria Math"/>
          <w:i/>
          <w:sz w:val="22"/>
        </w:rPr>
        <w:t>d_h = 256</w:t>
      </w:r>
      <w:r>
        <w:rPr>
          <w:rFonts w:ascii="Calibri" w:hAnsi="Calibri"/>
          <w:b w:val="0"/>
          <w:i w:val="0"/>
          <w:sz w:val="22"/>
        </w:rPr>
        <w:t xml:space="preserve"> is the shared latent embedding dimension.</w:t>
      </w:r>
    </w:p>
    <w:p>
      <w:pPr>
        <w:keepNext/>
        <w:spacing w:before="260" w:after="80"/>
      </w:pPr>
      <w:r>
        <w:rPr>
          <w:rFonts w:ascii="Calibri" w:hAnsi="Calibri"/>
          <w:b/>
          <w:color w:val="2563EB"/>
          <w:sz w:val="24"/>
        </w:rPr>
        <w:t>2.2 View 2: 2D Multi-Scale Hierarchical Graph &amp; Multichannel Substructure Encoder</w:t>
      </w:r>
    </w:p>
    <w:p>
      <w:pPr>
        <w:spacing w:before="0" w:after="100" w:line="283" w:lineRule="auto"/>
      </w:pPr>
      <w:r>
        <w:rPr>
          <w:rFonts w:ascii="Calibri" w:hAnsi="Calibri"/>
          <w:b w:val="0"/>
          <w:i w:val="0"/>
          <w:sz w:val="22"/>
        </w:rPr>
        <w:t>To resolve the flat-graph topological limitations identified in MSGG and PG-DERN, View 2 operates over a two-level hierarchical representation:</w:t>
      </w:r>
    </w:p>
    <w:p>
      <w:pPr>
        <w:keepNext/>
        <w:spacing w:before="200" w:after="60"/>
      </w:pPr>
      <w:r>
        <w:rPr>
          <w:rFonts w:ascii="Calibri" w:hAnsi="Calibri"/>
          <w:b/>
          <w:color w:val="1E293B"/>
          <w:sz w:val="22"/>
        </w:rPr>
        <w:t>2.2.1 Atom-Level Message Passing with 8-Channel MSGG Connectivity</w:t>
      </w:r>
    </w:p>
    <w:p>
      <w:pPr>
        <w:spacing w:before="0" w:after="100" w:line="283" w:lineRule="auto"/>
      </w:pPr>
      <w:r>
        <w:rPr>
          <w:rFonts w:ascii="Calibri" w:hAnsi="Calibri"/>
          <w:b w:val="0"/>
          <w:i w:val="0"/>
          <w:sz w:val="22"/>
        </w:rPr>
        <w:t xml:space="preserve">Let </w:t>
      </w:r>
      <w:r>
        <w:rPr>
          <w:rFonts w:ascii="Cambria Math" w:hAnsi="Cambria Math"/>
          <w:i/>
          <w:sz w:val="22"/>
        </w:rPr>
        <w:t>G = (V, E)</w:t>
      </w:r>
      <w:r>
        <w:rPr>
          <w:rFonts w:ascii="Calibri" w:hAnsi="Calibri"/>
          <w:b w:val="0"/>
          <w:i w:val="0"/>
          <w:sz w:val="22"/>
        </w:rPr>
        <w:t xml:space="preserve"> represent the molecular graph with </w:t>
      </w:r>
      <w:r>
        <w:rPr>
          <w:rFonts w:ascii="Cambria Math" w:hAnsi="Cambria Math"/>
          <w:i/>
          <w:sz w:val="22"/>
        </w:rPr>
        <w:t>|V| = N</w:t>
      </w:r>
      <w:r>
        <w:rPr>
          <w:rFonts w:ascii="Calibri" w:hAnsi="Calibri"/>
          <w:b w:val="0"/>
          <w:i w:val="0"/>
          <w:sz w:val="22"/>
        </w:rPr>
        <w:t xml:space="preserve"> atoms and </w:t>
      </w:r>
      <w:r>
        <w:rPr>
          <w:rFonts w:ascii="Cambria Math" w:hAnsi="Cambria Math"/>
          <w:i/>
          <w:sz w:val="22"/>
        </w:rPr>
        <w:t>|E|</w:t>
      </w:r>
      <w:r>
        <w:rPr>
          <w:rFonts w:ascii="Calibri" w:hAnsi="Calibri"/>
          <w:b w:val="0"/>
          <w:i w:val="0"/>
          <w:sz w:val="22"/>
        </w:rPr>
        <w:t xml:space="preserve"> bonds. Each atom </w:t>
      </w:r>
      <w:r>
        <w:rPr>
          <w:rFonts w:ascii="Cambria Math" w:hAnsi="Cambria Math"/>
          <w:i/>
          <w:sz w:val="22"/>
        </w:rPr>
        <w:t>i \in V</w:t>
      </w:r>
      <w:r>
        <w:rPr>
          <w:rFonts w:ascii="Calibri" w:hAnsi="Calibri"/>
          <w:b w:val="0"/>
          <w:i w:val="0"/>
          <w:sz w:val="22"/>
        </w:rPr>
        <w:t xml:space="preserve"> is initialized with a 71-dimensional physicochemical feature vector </w:t>
      </w:r>
      <w:r>
        <w:rPr>
          <w:rFonts w:ascii="Cambria Math" w:hAnsi="Cambria Math"/>
          <w:i/>
          <w:sz w:val="22"/>
        </w:rPr>
        <w:t>\mathbf{x}_i \in \mathbb{R}^{71}</w:t>
      </w:r>
      <w:r>
        <w:rPr>
          <w:rFonts w:ascii="Calibri" w:hAnsi="Calibri"/>
          <w:b w:val="0"/>
          <w:i w:val="0"/>
          <w:sz w:val="22"/>
        </w:rPr>
        <w:t xml:space="preserve"> (atomic number, hybridization, aromaticity, formal charge, hydrogen count, chirality). Bonds </w:t>
      </w:r>
      <w:r>
        <w:rPr>
          <w:rFonts w:ascii="Cambria Math" w:hAnsi="Cambria Math"/>
          <w:i/>
          <w:sz w:val="22"/>
        </w:rPr>
        <w:t>(i, j) \in E</w:t>
      </w:r>
      <w:r>
        <w:rPr>
          <w:rFonts w:ascii="Calibri" w:hAnsi="Calibri"/>
          <w:b w:val="0"/>
          <w:i w:val="0"/>
          <w:sz w:val="22"/>
        </w:rPr>
        <w:t xml:space="preserve"> are assigned edge attributes </w:t>
      </w:r>
      <w:r>
        <w:rPr>
          <w:rFonts w:ascii="Cambria Math" w:hAnsi="Cambria Math"/>
          <w:i/>
          <w:sz w:val="22"/>
        </w:rPr>
        <w:t>\mathbf{e}_{ij} \in \mathbb{R}^{10}</w:t>
      </w:r>
      <w:r>
        <w:rPr>
          <w:rFonts w:ascii="Calibri" w:hAnsi="Calibri"/>
          <w:b w:val="0"/>
          <w:i w:val="0"/>
          <w:sz w:val="22"/>
        </w:rPr>
        <w:t>.</w:t>
      </w:r>
    </w:p>
    <w:p>
      <w:pPr>
        <w:spacing w:before="0" w:after="100" w:line="283" w:lineRule="auto"/>
      </w:pPr>
      <w:r>
        <w:rPr>
          <w:rFonts w:ascii="Calibri" w:hAnsi="Calibri"/>
          <w:b w:val="0"/>
          <w:i w:val="0"/>
          <w:sz w:val="22"/>
        </w:rPr>
        <w:t xml:space="preserve">In addition to standard covalent bonds, we construct an 8-channel Multichannel Substructure Tensor </w:t>
      </w:r>
      <w:r>
        <w:rPr>
          <w:rFonts w:ascii="Cambria Math" w:hAnsi="Cambria Math"/>
          <w:i/>
          <w:sz w:val="22"/>
        </w:rPr>
        <w:t>\mathbf{A} \in \mathbb{R}^{N \times N \times 8}</w:t>
      </w:r>
      <w:r>
        <w:rPr>
          <w:rFonts w:ascii="Calibri" w:hAnsi="Calibri"/>
          <w:b w:val="0"/>
          <w:i w:val="0"/>
          <w:sz w:val="22"/>
        </w:rPr>
        <w:t xml:space="preserve"> encoding:</w:t>
      </w:r>
    </w:p>
    <w:p>
      <w:pPr>
        <w:pStyle w:val="ListNumber"/>
        <w:spacing w:before="20" w:after="40" w:line="276" w:lineRule="auto"/>
      </w:pPr>
      <w:r>
        <w:rPr>
          <w:rFonts w:ascii="Cambria Math" w:hAnsi="Cambria Math"/>
          <w:i/>
          <w:sz w:val="22"/>
        </w:rPr>
        <w:t>c_1</w:t>
      </w:r>
      <w:r>
        <w:rPr>
          <w:rFonts w:ascii="Calibri" w:hAnsi="Calibri"/>
          <w:b w:val="0"/>
          <w:i w:val="0"/>
          <w:sz w:val="22"/>
        </w:rPr>
        <w:t xml:space="preserve">: </w:t>
      </w:r>
      <w:r>
        <w:rPr>
          <w:rFonts w:ascii="Calibri" w:hAnsi="Calibri"/>
          <w:b w:val="0"/>
          <w:i/>
          <w:sz w:val="22"/>
        </w:rPr>
        <w:t>Ortho</w:t>
      </w:r>
      <w:r>
        <w:rPr>
          <w:rFonts w:ascii="Calibri" w:hAnsi="Calibri"/>
          <w:b w:val="0"/>
          <w:i w:val="0"/>
          <w:sz w:val="22"/>
        </w:rPr>
        <w:t>-positional ring relationships</w:t>
      </w:r>
    </w:p>
    <w:p>
      <w:pPr>
        <w:pStyle w:val="ListNumber"/>
        <w:spacing w:before="20" w:after="40" w:line="276" w:lineRule="auto"/>
      </w:pPr>
      <w:r>
        <w:rPr>
          <w:rFonts w:ascii="Cambria Math" w:hAnsi="Cambria Math"/>
          <w:i/>
          <w:sz w:val="22"/>
        </w:rPr>
        <w:t>c_2</w:t>
      </w:r>
      <w:r>
        <w:rPr>
          <w:rFonts w:ascii="Calibri" w:hAnsi="Calibri"/>
          <w:b w:val="0"/>
          <w:i w:val="0"/>
          <w:sz w:val="22"/>
        </w:rPr>
        <w:t xml:space="preserve">: </w:t>
      </w:r>
      <w:r>
        <w:rPr>
          <w:rFonts w:ascii="Calibri" w:hAnsi="Calibri"/>
          <w:b w:val="0"/>
          <w:i/>
          <w:sz w:val="22"/>
        </w:rPr>
        <w:t>Meta</w:t>
      </w:r>
      <w:r>
        <w:rPr>
          <w:rFonts w:ascii="Calibri" w:hAnsi="Calibri"/>
          <w:b w:val="0"/>
          <w:i w:val="0"/>
          <w:sz w:val="22"/>
        </w:rPr>
        <w:t>-positional ring relationships</w:t>
      </w:r>
    </w:p>
    <w:p>
      <w:pPr>
        <w:pStyle w:val="ListNumber"/>
        <w:spacing w:before="20" w:after="40" w:line="276" w:lineRule="auto"/>
      </w:pPr>
      <w:r>
        <w:rPr>
          <w:rFonts w:ascii="Cambria Math" w:hAnsi="Cambria Math"/>
          <w:i/>
          <w:sz w:val="22"/>
        </w:rPr>
        <w:t>c_3</w:t>
      </w:r>
      <w:r>
        <w:rPr>
          <w:rFonts w:ascii="Calibri" w:hAnsi="Calibri"/>
          <w:b w:val="0"/>
          <w:i w:val="0"/>
          <w:sz w:val="22"/>
        </w:rPr>
        <w:t xml:space="preserve">: </w:t>
      </w:r>
      <w:r>
        <w:rPr>
          <w:rFonts w:ascii="Calibri" w:hAnsi="Calibri"/>
          <w:b w:val="0"/>
          <w:i/>
          <w:sz w:val="22"/>
        </w:rPr>
        <w:t>Para</w:t>
      </w:r>
      <w:r>
        <w:rPr>
          <w:rFonts w:ascii="Calibri" w:hAnsi="Calibri"/>
          <w:b w:val="0"/>
          <w:i w:val="0"/>
          <w:sz w:val="22"/>
        </w:rPr>
        <w:t>-positional ring relationships</w:t>
      </w:r>
    </w:p>
    <w:p>
      <w:pPr>
        <w:pStyle w:val="ListNumber"/>
        <w:spacing w:before="20" w:after="40" w:line="276" w:lineRule="auto"/>
      </w:pPr>
      <w:r>
        <w:rPr>
          <w:rFonts w:ascii="Cambria Math" w:hAnsi="Cambria Math"/>
          <w:i/>
          <w:sz w:val="22"/>
        </w:rPr>
        <w:t>c_4</w:t>
      </w:r>
      <w:r>
        <w:rPr>
          <w:rFonts w:ascii="Calibri" w:hAnsi="Calibri"/>
          <w:b w:val="0"/>
          <w:i w:val="0"/>
          <w:sz w:val="22"/>
        </w:rPr>
        <w:t>: Fused ring junctions</w:t>
      </w:r>
    </w:p>
    <w:p>
      <w:pPr>
        <w:pStyle w:val="ListNumber"/>
        <w:spacing w:before="20" w:after="40" w:line="276" w:lineRule="auto"/>
      </w:pPr>
      <w:r>
        <w:rPr>
          <w:rFonts w:ascii="Cambria Math" w:hAnsi="Cambria Math"/>
          <w:i/>
          <w:sz w:val="22"/>
        </w:rPr>
        <w:t>c_5</w:t>
      </w:r>
      <w:r>
        <w:rPr>
          <w:rFonts w:ascii="Calibri" w:hAnsi="Calibri"/>
          <w:b w:val="0"/>
          <w:i w:val="0"/>
          <w:sz w:val="22"/>
        </w:rPr>
        <w:t>: Spiro ring junctions</w:t>
      </w:r>
    </w:p>
    <w:p>
      <w:pPr>
        <w:pStyle w:val="ListNumber"/>
        <w:spacing w:before="20" w:after="40" w:line="276" w:lineRule="auto"/>
      </w:pPr>
      <w:r>
        <w:rPr>
          <w:rFonts w:ascii="Cambria Math" w:hAnsi="Cambria Math"/>
          <w:i/>
          <w:sz w:val="22"/>
        </w:rPr>
        <w:t>c_6</w:t>
      </w:r>
      <w:r>
        <w:rPr>
          <w:rFonts w:ascii="Calibri" w:hAnsi="Calibri"/>
          <w:b w:val="0"/>
          <w:i w:val="0"/>
          <w:sz w:val="22"/>
        </w:rPr>
        <w:t>: Bridged ring systems</w:t>
      </w:r>
    </w:p>
    <w:p>
      <w:pPr>
        <w:pStyle w:val="ListNumber"/>
        <w:spacing w:before="20" w:after="40" w:line="276" w:lineRule="auto"/>
      </w:pPr>
      <w:r>
        <w:rPr>
          <w:rFonts w:ascii="Cambria Math" w:hAnsi="Cambria Math"/>
          <w:i/>
          <w:sz w:val="22"/>
        </w:rPr>
        <w:t>c_7</w:t>
      </w:r>
      <w:r>
        <w:rPr>
          <w:rFonts w:ascii="Calibri" w:hAnsi="Calibri"/>
          <w:b w:val="0"/>
          <w:i w:val="0"/>
          <w:sz w:val="22"/>
        </w:rPr>
        <w:t xml:space="preserve">: Conjugated </w:t>
      </w:r>
      <w:r>
        <w:rPr>
          <w:rFonts w:ascii="Cambria Math" w:hAnsi="Cambria Math"/>
          <w:i/>
          <w:sz w:val="22"/>
        </w:rPr>
        <w:t>\pi</w:t>
      </w:r>
      <w:r>
        <w:rPr>
          <w:rFonts w:ascii="Calibri" w:hAnsi="Calibri"/>
          <w:b w:val="0"/>
          <w:i w:val="0"/>
          <w:sz w:val="22"/>
        </w:rPr>
        <w:t>-electron paths</w:t>
      </w:r>
    </w:p>
    <w:p>
      <w:pPr>
        <w:pStyle w:val="ListNumber"/>
        <w:spacing w:before="20" w:after="40" w:line="276" w:lineRule="auto"/>
      </w:pPr>
      <w:r>
        <w:rPr>
          <w:rFonts w:ascii="Cambria Math" w:hAnsi="Cambria Math"/>
          <w:i/>
          <w:sz w:val="22"/>
        </w:rPr>
        <w:t>c_8</w:t>
      </w:r>
      <w:r>
        <w:rPr>
          <w:rFonts w:ascii="Calibri" w:hAnsi="Calibri"/>
          <w:b w:val="0"/>
          <w:i w:val="0"/>
          <w:sz w:val="22"/>
        </w:rPr>
        <w:t>: Standard aliphatic covalent bonds</w:t>
      </w:r>
    </w:p>
    <w:p>
      <w:pPr>
        <w:spacing w:before="0" w:after="100" w:line="283" w:lineRule="auto"/>
      </w:pPr>
      <w:r>
        <w:rPr>
          <w:rFonts w:ascii="Calibri" w:hAnsi="Calibri"/>
          <w:b w:val="0"/>
          <w:i w:val="0"/>
          <w:sz w:val="22"/>
        </w:rPr>
        <w:t xml:space="preserve">The atom-level update rule at layer </w:t>
      </w:r>
      <w:r>
        <w:rPr>
          <w:rFonts w:ascii="Cambria Math" w:hAnsi="Cambria Math"/>
          <w:i/>
          <w:sz w:val="22"/>
        </w:rPr>
        <w:t>l</w:t>
      </w:r>
      <w:r>
        <w:rPr>
          <w:rFonts w:ascii="Calibri" w:hAnsi="Calibri"/>
          <w:b w:val="0"/>
          <w:i w:val="0"/>
          <w:sz w:val="22"/>
        </w:rPr>
        <w:t xml:space="preserve"> is formulated as:</w:t>
      </w:r>
    </w:p>
    <w:p>
      <w:pPr>
        <w:spacing w:before="100" w:after="100"/>
        <w:jc w:val="center"/>
      </w:pPr>
      <w:r>
        <w:rPr>
          <w:rFonts w:ascii="Cambria Math" w:hAnsi="Cambria Math"/>
          <w:i/>
          <w:color w:val="0F172A"/>
          <w:sz w:val="21"/>
        </w:rPr>
        <w:t>\mathbf{m}_{i}^{(l)} = \sum_{c=1}^8 \sum_{j \in \mathcal{N}_c(i)} \mathbf{A}_{ij, c} \cdot \text{MLP}_c^{(l)}\left(\left[\mathbf{h}_i^{(l)} \parallel \mathbf{h}_j^{(l)} \parallel \mathbf{e}_{ij}\right]\right)</w:t>
      </w:r>
    </w:p>
    <w:p>
      <w:pPr>
        <w:spacing w:before="100" w:after="100"/>
        <w:jc w:val="center"/>
      </w:pPr>
      <w:r>
        <w:rPr>
          <w:rFonts w:ascii="Cambria Math" w:hAnsi="Cambria Math"/>
          <w:i/>
          <w:color w:val="0F172A"/>
          <w:sz w:val="21"/>
        </w:rPr>
        <w:t>\mathbf{h}_i^{(l+1)} = \text{GRU}\left(\mathbf{h}_i^{(l)}, \mathbf{m}_i^{(l)}\right)</w:t>
      </w:r>
    </w:p>
    <w:p>
      <w:pPr>
        <w:keepNext/>
        <w:spacing w:before="200" w:after="60"/>
      </w:pPr>
      <w:r>
        <w:rPr>
          <w:rFonts w:ascii="Calibri" w:hAnsi="Calibri"/>
          <w:b/>
          <w:color w:val="1E293B"/>
          <w:sz w:val="22"/>
        </w:rPr>
        <w:t>2.2.2 BRICS Motif-Level Bipartite Transformer</w:t>
      </w:r>
    </w:p>
    <w:p>
      <w:pPr>
        <w:spacing w:before="0" w:after="100" w:line="283" w:lineRule="auto"/>
      </w:pPr>
      <w:r>
        <w:rPr>
          <w:rFonts w:ascii="Calibri" w:hAnsi="Calibri"/>
          <w:b w:val="0"/>
          <w:i w:val="0"/>
          <w:sz w:val="22"/>
        </w:rPr>
        <w:t xml:space="preserve">Molecules are decomposed into chemically valid functional fragments </w:t>
      </w:r>
      <w:r>
        <w:rPr>
          <w:rFonts w:ascii="Cambria Math" w:hAnsi="Cambria Math"/>
          <w:i/>
          <w:sz w:val="22"/>
        </w:rPr>
        <w:t>M = \{m_1, m_2, \dots, m_K\}</w:t>
      </w:r>
      <w:r>
        <w:rPr>
          <w:rFonts w:ascii="Calibri" w:hAnsi="Calibri"/>
          <w:b w:val="0"/>
          <w:i w:val="0"/>
          <w:sz w:val="22"/>
        </w:rPr>
        <w:t xml:space="preserve"> using Breaking of Retrosynthetically Interesting Chemical Substructures (BRICS) rules. An incidence matrix </w:t>
      </w:r>
      <w:r>
        <w:rPr>
          <w:rFonts w:ascii="Cambria Math" w:hAnsi="Cambria Math"/>
          <w:i/>
          <w:sz w:val="22"/>
        </w:rPr>
        <w:t>\mathbf{B} \in \mathbb{R}^{N \times K}</w:t>
      </w:r>
      <w:r>
        <w:rPr>
          <w:rFonts w:ascii="Calibri" w:hAnsi="Calibri"/>
          <w:b w:val="0"/>
          <w:i w:val="0"/>
          <w:sz w:val="22"/>
        </w:rPr>
        <w:t xml:space="preserve"> maps atoms to motifs (</w:t>
      </w:r>
      <w:r>
        <w:rPr>
          <w:rFonts w:ascii="Cambria Math" w:hAnsi="Cambria Math"/>
          <w:i/>
          <w:sz w:val="22"/>
        </w:rPr>
        <w:t>B_{ik} = 1</w:t>
      </w:r>
      <w:r>
        <w:rPr>
          <w:rFonts w:ascii="Calibri" w:hAnsi="Calibri"/>
          <w:b w:val="0"/>
          <w:i w:val="0"/>
          <w:sz w:val="22"/>
        </w:rPr>
        <w:t xml:space="preserve"> if atom </w:t>
      </w:r>
      <w:r>
        <w:rPr>
          <w:rFonts w:ascii="Cambria Math" w:hAnsi="Cambria Math"/>
          <w:i/>
          <w:sz w:val="22"/>
        </w:rPr>
        <w:t>i \in m_k</w:t>
      </w:r>
      <w:r>
        <w:rPr>
          <w:rFonts w:ascii="Calibri" w:hAnsi="Calibri"/>
          <w:b w:val="0"/>
          <w:i w:val="0"/>
          <w:sz w:val="22"/>
        </w:rPr>
        <w:t>).</w:t>
      </w:r>
    </w:p>
    <w:p>
      <w:pPr>
        <w:spacing w:before="0" w:after="100" w:line="283" w:lineRule="auto"/>
      </w:pPr>
      <w:r>
        <w:rPr>
          <w:rFonts w:ascii="Calibri" w:hAnsi="Calibri"/>
          <w:b w:val="0"/>
          <w:i w:val="0"/>
          <w:sz w:val="22"/>
        </w:rPr>
        <w:t>Initial motif representations are pooled from constituent atoms and updated via Multi-Head Motif Attention:</w:t>
      </w:r>
    </w:p>
    <w:p>
      <w:pPr>
        <w:spacing w:before="100" w:after="100"/>
        <w:jc w:val="center"/>
      </w:pPr>
      <w:r>
        <w:rPr>
          <w:rFonts w:ascii="Cambria Math" w:hAnsi="Cambria Math"/>
          <w:i/>
          <w:color w:val="0F172A"/>
          <w:sz w:val="21"/>
        </w:rPr>
        <w:t>\mathbf{u}_k^{(0)} = \frac{1}{\sum_{i=1}^N B_{ik}} \sum_{i=1}^N B_{ik} \mathbf{h}_i^{(L_{\text{atom}})}</w:t>
      </w:r>
    </w:p>
    <w:p>
      <w:pPr>
        <w:spacing w:before="100" w:after="100"/>
        <w:jc w:val="center"/>
      </w:pPr>
      <w:r>
        <w:rPr>
          <w:rFonts w:ascii="Cambria Math" w:hAnsi="Cambria Math"/>
          <w:i/>
          <w:color w:val="0F172A"/>
          <w:sz w:val="21"/>
        </w:rPr>
        <w:t>\mathbf{U}^{(l+1)} = \text{MultiHeadAttn}\left(\mathbf{Q}=\mathbf{U}^{(l)}\mathbf{W}_Q, \mathbf{K}=\mathbf{U}^{(l)}\mathbf{W}_K, \mathbf{V}=\mathbf{U}^{(l)}\mathbf{W}_V\right)</w:t>
      </w:r>
    </w:p>
    <w:p>
      <w:pPr>
        <w:keepNext/>
        <w:spacing w:before="200" w:after="60"/>
      </w:pPr>
      <w:r>
        <w:rPr>
          <w:rFonts w:ascii="Calibri" w:hAnsi="Calibri"/>
          <w:b/>
          <w:color w:val="1E293B"/>
          <w:sz w:val="22"/>
        </w:rPr>
        <w:t>2.2.3 Fingerprint Integration &amp; Unified 2D View Embedding</w:t>
      </w:r>
    </w:p>
    <w:p>
      <w:pPr>
        <w:spacing w:before="0" w:after="100" w:line="283" w:lineRule="auto"/>
      </w:pPr>
      <w:r>
        <w:rPr>
          <w:rFonts w:ascii="Calibri" w:hAnsi="Calibri"/>
          <w:b w:val="0"/>
          <w:i w:val="0"/>
          <w:sz w:val="22"/>
        </w:rPr>
        <w:t xml:space="preserve">To incorporate bit-level structural existence, 1024-dimensional Morgan/ECFP4 fingerprints </w:t>
      </w:r>
      <w:r>
        <w:rPr>
          <w:rFonts w:ascii="Cambria Math" w:hAnsi="Cambria Math"/>
          <w:i/>
          <w:sz w:val="22"/>
        </w:rPr>
        <w:t>\mathbf{x}_{\text{fp}} \in \{0, 1\}^{1024}</w:t>
      </w:r>
      <w:r>
        <w:rPr>
          <w:rFonts w:ascii="Calibri" w:hAnsi="Calibri"/>
          <w:b w:val="0"/>
          <w:i w:val="0"/>
          <w:sz w:val="22"/>
        </w:rPr>
        <w:t xml:space="preserve"> are projected through a non-linear MLP. The final 2D hierarchical representation </w:t>
      </w:r>
      <w:r>
        <w:rPr>
          <w:rFonts w:ascii="Cambria Math" w:hAnsi="Cambria Math"/>
          <w:i/>
          <w:sz w:val="22"/>
        </w:rPr>
        <w:t>\mathbf{h}_{\text{graph}}</w:t>
      </w:r>
      <w:r>
        <w:rPr>
          <w:rFonts w:ascii="Calibri" w:hAnsi="Calibri"/>
          <w:b w:val="0"/>
          <w:i w:val="0"/>
          <w:sz w:val="22"/>
        </w:rPr>
        <w:t xml:space="preserve"> is formed by combining atom pooling, motif pooling, and fingerprint projections:</w:t>
      </w:r>
    </w:p>
    <w:p>
      <w:pPr>
        <w:spacing w:before="100" w:after="100"/>
        <w:jc w:val="center"/>
      </w:pPr>
      <w:r>
        <w:rPr>
          <w:rFonts w:ascii="Cambria Math" w:hAnsi="Cambria Math"/>
          <w:i/>
          <w:color w:val="0F172A"/>
          <w:sz w:val="21"/>
        </w:rPr>
        <w:t>\mathbf{h}_{\text{atom\_pool}} = \frac{1}{N}\sum_{i=1}^N \mathbf{h}_i^{(L)}, \quad \mathbf{h}_{\text{motif\_pool}} = \frac{1}{K}\sum_{k=1}^K \mathbf{u}_k^{(L_{\text{motif}})}, \quad \mathbf{h}_{\text{fp}} = \text{MLP}_{\text{fp}}(\mathbf{x}_{\text{fp}})</w:t>
      </w:r>
    </w:p>
    <w:p>
      <w:pPr>
        <w:spacing w:before="100" w:after="100"/>
        <w:jc w:val="center"/>
      </w:pPr>
      <w:r>
        <w:rPr>
          <w:rFonts w:ascii="Cambria Math" w:hAnsi="Cambria Math"/>
          <w:i/>
          <w:color w:val="0F172A"/>
          <w:sz w:val="21"/>
        </w:rPr>
        <w:t>\mathbf{h}_{\text{graph}} = \mathbf{W}_{\text{graph}} \left[\mathbf{h}_{\text{atom\_pool}} \parallel \mathbf{h}_{\text{motif\_pool}} \parallel \mathbf{h}_{\text{fp}}\right] + \mathbf{b}_{\text{graph}} \in \mathbb{R}^{d_h}</w:t>
      </w:r>
    </w:p>
    <w:p>
      <w:pPr>
        <w:keepNext/>
        <w:spacing w:before="260" w:after="80"/>
      </w:pPr>
      <w:r>
        <w:rPr>
          <w:rFonts w:ascii="Calibri" w:hAnsi="Calibri"/>
          <w:b/>
          <w:color w:val="2563EB"/>
          <w:sz w:val="24"/>
        </w:rPr>
        <w:t>2.3 View 3: 3D Spatial Conformer $E(3)$-Equivariant EGNN Encoder</w:t>
      </w:r>
    </w:p>
    <w:p>
      <w:pPr>
        <w:spacing w:before="0" w:after="100" w:line="283" w:lineRule="auto"/>
      </w:pPr>
      <w:r>
        <w:rPr>
          <w:rFonts w:ascii="Calibri" w:hAnsi="Calibri"/>
          <w:b w:val="0"/>
          <w:i w:val="0"/>
          <w:sz w:val="22"/>
        </w:rPr>
        <w:t xml:space="preserve">For each molecule, 3D Cartesian coordinates </w:t>
      </w:r>
      <w:r>
        <w:rPr>
          <w:rFonts w:ascii="Cambria Math" w:hAnsi="Cambria Math"/>
          <w:i/>
          <w:sz w:val="22"/>
        </w:rPr>
        <w:t>\mathbf{R} = [\mathbf{r}_1, \dots, \mathbf{r}_N]^T \in \mathbb{R}^{N \times 3}</w:t>
      </w:r>
      <w:r>
        <w:rPr>
          <w:rFonts w:ascii="Calibri" w:hAnsi="Calibri"/>
          <w:b w:val="0"/>
          <w:i w:val="0"/>
          <w:sz w:val="22"/>
        </w:rPr>
        <w:t xml:space="preserve"> are generated via RDKit Distance Geometry and energy-minimized using the MMFF94 force field.</w:t>
      </w:r>
    </w:p>
    <w:p>
      <w:pPr>
        <w:spacing w:before="0" w:after="100" w:line="283" w:lineRule="auto"/>
      </w:pPr>
      <w:r>
        <w:rPr>
          <w:rFonts w:ascii="Calibri" w:hAnsi="Calibri"/>
          <w:b w:val="0"/>
          <w:i w:val="0"/>
          <w:sz w:val="22"/>
        </w:rPr>
        <w:t xml:space="preserve">To ensure strict invariance to 3D translations and rotations, View 3 employs an </w:t>
      </w:r>
      <w:r>
        <w:rPr>
          <w:rFonts w:ascii="Cambria Math" w:hAnsi="Cambria Math"/>
          <w:i/>
          <w:sz w:val="22"/>
        </w:rPr>
        <w:t>E(3)</w:t>
      </w:r>
      <w:r>
        <w:rPr>
          <w:rFonts w:ascii="Calibri" w:hAnsi="Calibri"/>
          <w:b w:val="0"/>
          <w:i w:val="0"/>
          <w:sz w:val="22"/>
        </w:rPr>
        <w:t xml:space="preserve">-Equivariant Graph Neural Network (EGNN). Interatomic Euclidean distances </w:t>
      </w:r>
      <w:r>
        <w:rPr>
          <w:rFonts w:ascii="Cambria Math" w:hAnsi="Cambria Math"/>
          <w:i/>
          <w:sz w:val="22"/>
        </w:rPr>
        <w:t>d_{ij} = \|\mathbf{r}_i - \mathbf{r}_j\|_2</w:t>
      </w:r>
      <w:r>
        <w:rPr>
          <w:rFonts w:ascii="Calibri" w:hAnsi="Calibri"/>
          <w:b w:val="0"/>
          <w:i w:val="0"/>
          <w:sz w:val="22"/>
        </w:rPr>
        <w:t xml:space="preserve"> are expanded using continuous Gaussian Radial Basis Functions (RBF):</w:t>
      </w:r>
    </w:p>
    <w:p>
      <w:pPr>
        <w:spacing w:before="100" w:after="100"/>
        <w:jc w:val="center"/>
      </w:pPr>
      <w:r>
        <w:rPr>
          <w:rFonts w:ascii="Cambria Math" w:hAnsi="Cambria Math"/>
          <w:i/>
          <w:color w:val="0F172A"/>
          <w:sz w:val="21"/>
        </w:rPr>
        <w:t>\mathbf{e}_{ij}^{\text{RBF}} = \left[\exp\left(-\gamma (d_{ij} - \mu_k)^2\right)\right]_{k=1}^{K_{\text{RBF}}}, \quad \mu_k \in [0, 10]\text{ \AA}</w:t>
      </w:r>
    </w:p>
    <w:p>
      <w:pPr>
        <w:spacing w:before="0" w:after="100" w:line="283" w:lineRule="auto"/>
      </w:pPr>
      <w:r>
        <w:rPr>
          <w:rFonts w:ascii="Calibri" w:hAnsi="Calibri"/>
          <w:b w:val="0"/>
          <w:i w:val="0"/>
          <w:sz w:val="22"/>
        </w:rPr>
        <w:t xml:space="preserve">The </w:t>
      </w:r>
      <w:r>
        <w:rPr>
          <w:rFonts w:ascii="Cambria Math" w:hAnsi="Cambria Math"/>
          <w:i/>
          <w:sz w:val="22"/>
        </w:rPr>
        <w:t>l</w:t>
      </w:r>
      <w:r>
        <w:rPr>
          <w:rFonts w:ascii="Calibri" w:hAnsi="Calibri"/>
          <w:b w:val="0"/>
          <w:i w:val="0"/>
          <w:sz w:val="22"/>
        </w:rPr>
        <w:t>-th equivariant message passing layer computes:</w:t>
      </w:r>
    </w:p>
    <w:p>
      <w:pPr>
        <w:spacing w:before="100" w:after="100"/>
        <w:jc w:val="center"/>
      </w:pPr>
      <w:r>
        <w:rPr>
          <w:rFonts w:ascii="Cambria Math" w:hAnsi="Cambria Math"/>
          <w:i/>
          <w:color w:val="0F172A"/>
          <w:sz w:val="21"/>
        </w:rPr>
        <w:t>\mathbf{m}_{ij}^{(l)} = \phi_m\left(\mathbf{s}_i^{(l)}, \mathbf{s}_j^{(l)}, \mathbf{e}_{ij}^{\text{RBF}}, \mathbf{e}_{ij}^{\text{bond}}\right)</w:t>
      </w:r>
    </w:p>
    <w:p>
      <w:pPr>
        <w:spacing w:before="100" w:after="100"/>
        <w:jc w:val="center"/>
      </w:pPr>
      <w:r>
        <w:rPr>
          <w:rFonts w:ascii="Cambria Math" w:hAnsi="Cambria Math"/>
          <w:i/>
          <w:color w:val="0F172A"/>
          <w:sz w:val="21"/>
        </w:rPr>
        <w:t>\mathbf{r}_i^{(l+1)} = \mathbf{r}_i^{(l)} + \frac{1}{N-1} \sum_{j \neq i} (\mathbf{r}_i^{(l)} - \mathbf{r}_j^{(l)}) \cdot \phi_r\left(\mathbf{m}_{ij}^{(l)}\right)</w:t>
      </w:r>
    </w:p>
    <w:p>
      <w:pPr>
        <w:spacing w:before="100" w:after="100"/>
        <w:jc w:val="center"/>
      </w:pPr>
      <w:r>
        <w:rPr>
          <w:rFonts w:ascii="Cambria Math" w:hAnsi="Cambria Math"/>
          <w:i/>
          <w:color w:val="0F172A"/>
          <w:sz w:val="21"/>
        </w:rPr>
        <w:t>\mathbf{s}_i^{(l+1)} = \mathbf{s}_i^{(l)} + \phi_s\left(\mathbf{s}_i^{(l)}, \sum_{j \neq i} \mathbf{m}_{ij}^{(l)}\right)</w:t>
      </w:r>
    </w:p>
    <w:p>
      <w:pPr>
        <w:spacing w:before="0" w:after="100" w:line="283" w:lineRule="auto"/>
      </w:pPr>
      <w:r>
        <w:rPr>
          <w:rFonts w:ascii="Calibri" w:hAnsi="Calibri"/>
          <w:b w:val="0"/>
          <w:i w:val="0"/>
          <w:sz w:val="22"/>
        </w:rPr>
        <w:t xml:space="preserve">where </w:t>
      </w:r>
      <w:r>
        <w:rPr>
          <w:rFonts w:ascii="Cambria Math" w:hAnsi="Cambria Math"/>
          <w:i/>
          <w:sz w:val="22"/>
        </w:rPr>
        <w:t>\phi_m, \phi_r, \phi_s</w:t>
      </w:r>
      <w:r>
        <w:rPr>
          <w:rFonts w:ascii="Calibri" w:hAnsi="Calibri"/>
          <w:b w:val="0"/>
          <w:i w:val="0"/>
          <w:sz w:val="22"/>
        </w:rPr>
        <w:t xml:space="preserve"> are learnable MLPs. Global coordinate invariance is maintained, and the pooled conformer embedding is extracted via:</w:t>
      </w:r>
    </w:p>
    <w:p>
      <w:pPr>
        <w:spacing w:before="100" w:after="100"/>
        <w:jc w:val="center"/>
      </w:pPr>
      <w:r>
        <w:rPr>
          <w:rFonts w:ascii="Cambria Math" w:hAnsi="Cambria Math"/>
          <w:i/>
          <w:color w:val="0F172A"/>
          <w:sz w:val="21"/>
        </w:rPr>
        <w:t>\mathbf{h}_{\text{conf}} = \text{LayerNorm}\left(\mathbf{W}_{\text{conf}} \left(\frac{1}{N} \sum_{i=1}^N \mathbf{s}_i^{(L_{\text{3D}})}\right) + \mathbf{b}_{\text{conf}}\right) \in \mathbb{R}^{d_h}</w:t>
      </w:r>
    </w:p>
    <w:p>
      <w:pPr>
        <w:keepNext/>
        <w:spacing w:before="260" w:after="80"/>
      </w:pPr>
      <w:r>
        <w:rPr>
          <w:rFonts w:ascii="Calibri" w:hAnsi="Calibri"/>
          <w:b/>
          <w:color w:val="2563EB"/>
          <w:sz w:val="24"/>
        </w:rPr>
        <w:t>2.4 Multi-Modal Tri-View Contrastive Alignment ($\mathcal{L}_{\text{CL}}$)</w:t>
      </w:r>
    </w:p>
    <w:p>
      <w:pPr>
        <w:spacing w:before="0" w:after="100" w:line="283" w:lineRule="auto"/>
      </w:pPr>
      <w:r>
        <w:rPr>
          <w:rFonts w:ascii="Calibri" w:hAnsi="Calibri"/>
          <w:b w:val="0"/>
          <w:i w:val="0"/>
          <w:sz w:val="22"/>
        </w:rPr>
        <w:t xml:space="preserve">To align the latent spaces of the three encoders prior to downstream fusion, we formulate a symmetric Tri-Modal InfoNCE contrastive regularization loss. For a minibatch of </w:t>
      </w:r>
      <w:r>
        <w:rPr>
          <w:rFonts w:ascii="Cambria Math" w:hAnsi="Cambria Math"/>
          <w:i/>
          <w:sz w:val="22"/>
        </w:rPr>
        <w:t>B</w:t>
      </w:r>
      <w:r>
        <w:rPr>
          <w:rFonts w:ascii="Calibri" w:hAnsi="Calibri"/>
          <w:b w:val="0"/>
          <w:i w:val="0"/>
          <w:sz w:val="22"/>
        </w:rPr>
        <w:t xml:space="preserve"> molecules with normalized embeddings </w:t>
      </w:r>
      <w:r>
        <w:rPr>
          <w:rFonts w:ascii="Cambria Math" w:hAnsi="Cambria Math"/>
          <w:i/>
          <w:sz w:val="22"/>
        </w:rPr>
        <w:t>\bar{\mathbf{h}} = \mathbf{h} / \|\mathbf{h}\|_2</w:t>
      </w:r>
      <w:r>
        <w:rPr>
          <w:rFonts w:ascii="Calibri" w:hAnsi="Calibri"/>
          <w:b w:val="0"/>
          <w:i w:val="0"/>
          <w:sz w:val="22"/>
        </w:rPr>
        <w:t xml:space="preserve">, pairwise cross-view alignment is enforced across all view pairs </w:t>
      </w:r>
      <w:r>
        <w:rPr>
          <w:rFonts w:ascii="Cambria Math" w:hAnsi="Cambria Math"/>
          <w:i/>
          <w:sz w:val="22"/>
        </w:rPr>
        <w:t>(u, v) \in \{(\text{seq}, \text{graph}), (\text{seq}, \text{conf}), (\text{graph}, \text{conf})\}</w:t>
      </w:r>
      <w:r>
        <w:rPr>
          <w:rFonts w:ascii="Calibri" w:hAnsi="Calibri"/>
          <w:b w:val="0"/>
          <w:i w:val="0"/>
          <w:sz w:val="22"/>
        </w:rPr>
        <w:t>:</w:t>
      </w:r>
    </w:p>
    <w:p>
      <w:pPr>
        <w:spacing w:before="100" w:after="100"/>
        <w:jc w:val="center"/>
      </w:pPr>
      <w:r>
        <w:rPr>
          <w:rFonts w:ascii="Cambria Math" w:hAnsi="Cambria Math"/>
          <w:i/>
          <w:color w:val="0F172A"/>
          <w:sz w:val="21"/>
        </w:rPr>
        <w:t>\ell(u, v) = -\frac{1}{B} \sum_{i=1}^B \log \frac{\exp\left(\bar{\mathbf{h}}_u^{(i)} \cdot \bar{\mathbf{h}}_v^{(i)} / \tau\right)}{\sum_{j=1}^B \exp\left(\bar{\mathbf{h}}_u^{(i)} \cdot \bar{\mathbf{h}}_v^{(j)} / \tau\right)}</w:t>
      </w:r>
    </w:p>
    <w:p>
      <w:pPr>
        <w:spacing w:before="100" w:after="100"/>
        <w:jc w:val="center"/>
      </w:pPr>
      <w:r>
        <w:rPr>
          <w:rFonts w:ascii="Cambria Math" w:hAnsi="Cambria Math"/>
          <w:i/>
          <w:color w:val="0F172A"/>
          <w:sz w:val="21"/>
        </w:rPr>
        <w:t>\mathcal{L}_{\text{CL}} = \frac{1}{6} \sum_{u \neq v} \left(\ell(u, v) + \ell(v, u)\right)</w:t>
      </w:r>
    </w:p>
    <w:p>
      <w:pPr>
        <w:spacing w:before="0" w:after="100" w:line="283" w:lineRule="auto"/>
      </w:pPr>
      <w:r>
        <w:rPr>
          <w:rFonts w:ascii="Calibri" w:hAnsi="Calibri"/>
          <w:b w:val="0"/>
          <w:i w:val="0"/>
          <w:sz w:val="22"/>
        </w:rPr>
        <w:t xml:space="preserve">where </w:t>
      </w:r>
      <w:r>
        <w:rPr>
          <w:rFonts w:ascii="Cambria Math" w:hAnsi="Cambria Math"/>
          <w:i/>
          <w:sz w:val="22"/>
        </w:rPr>
        <w:t>\tau = 0.07</w:t>
      </w:r>
      <w:r>
        <w:rPr>
          <w:rFonts w:ascii="Calibri" w:hAnsi="Calibri"/>
          <w:b w:val="0"/>
          <w:i w:val="0"/>
          <w:sz w:val="22"/>
        </w:rPr>
        <w:t xml:space="preserve"> is the temperature parameter.</w:t>
      </w:r>
    </w:p>
    <w:p>
      <w:pPr>
        <w:keepNext/>
        <w:spacing w:before="260" w:after="80"/>
      </w:pPr>
      <w:r>
        <w:rPr>
          <w:rFonts w:ascii="Calibri" w:hAnsi="Calibri"/>
          <w:b/>
          <w:color w:val="2563EB"/>
          <w:sz w:val="24"/>
        </w:rPr>
        <w:t>2.5 Dynamic Attention View Gating &amp; Cross-Modal Transformer Fusion</w:t>
      </w:r>
    </w:p>
    <w:p>
      <w:pPr>
        <w:spacing w:before="0" w:after="100" w:line="283" w:lineRule="auto"/>
      </w:pPr>
      <w:r>
        <w:rPr>
          <w:rFonts w:ascii="Calibri" w:hAnsi="Calibri"/>
          <w:b w:val="0"/>
          <w:i w:val="0"/>
          <w:sz w:val="22"/>
        </w:rPr>
        <w:t>Rather than assuming equal or static modality importance, TriBioNode v2 dynamically determines the relative contribution of each view conditioned on the molecular input:</w:t>
      </w:r>
    </w:p>
    <w:p>
      <w:pPr>
        <w:spacing w:before="0" w:after="100" w:line="283" w:lineRule="auto"/>
      </w:pPr>
      <w:r>
        <w:rPr>
          <w:rFonts w:ascii="Consolas" w:hAnsi="Consolas"/>
          <w:color w:val="B4320A"/>
          <w:sz w:val="20"/>
        </w:rPr>
      </w:r>
      <w:r>
        <w:rPr>
          <w:rFonts w:ascii="Calibri" w:hAnsi="Calibri"/>
          <w:b w:val="0"/>
          <w:i w:val="0"/>
          <w:sz w:val="22"/>
        </w:rPr>
        <w:t>`</w:t>
      </w:r>
    </w:p>
    <w:p>
      <w:pPr>
        <w:spacing w:before="0" w:after="100" w:line="283" w:lineRule="auto"/>
      </w:pPr>
      <w:r>
        <w:rPr>
          <w:rFonts w:ascii="Calibri" w:hAnsi="Calibri"/>
          <w:b w:val="0"/>
          <w:i w:val="0"/>
          <w:sz w:val="22"/>
        </w:rPr>
        <w:t>[h_seq, h_graph, h_conf] ---&gt; Concatenate ---&gt; MLP Gating Head ---&gt; Softmax ---&gt; alpha = [alpha_1, alpha_2, alpha_3]</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tblGrid>
      <w:tr>
  </w:tr>
    </w:tbl>
    <w:p>
      <w:pPr>
        <w:spacing w:after="120" w:before="0"/>
      </w:pPr>
    </w:p>
    <w:p>
      <w:pPr>
        <w:spacing w:before="0" w:after="100" w:line="283" w:lineRule="auto"/>
      </w:pPr>
      <w:r>
        <w:rPr>
          <w:rFonts w:ascii="Calibri" w:hAnsi="Calibri"/>
          <w:b w:val="0"/>
          <w:i w:val="0"/>
          <w:sz w:val="22"/>
        </w:rPr>
        <w:t>+-----------------------------------------------------+</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tblGrid>
      <w:tr>
  </w:tr>
    </w:tbl>
    <w:p>
      <w:pPr>
        <w:spacing w:after="120" w:before="0"/>
      </w:pPr>
    </w:p>
    <w:p>
      <w:pPr>
        <w:spacing w:before="0" w:after="100" w:line="283" w:lineRule="auto"/>
      </w:pPr>
      <w:r>
        <w:rPr>
          <w:rFonts w:ascii="Calibri" w:hAnsi="Calibri"/>
          <w:b w:val="0"/>
          <w:i w:val="0"/>
          <w:sz w:val="22"/>
        </w:rPr>
        <w:t>v</w:t>
      </w:r>
    </w:p>
    <w:p>
      <w:pPr>
        <w:spacing w:before="0" w:after="100" w:line="283" w:lineRule="auto"/>
      </w:pPr>
      <w:r>
        <w:rPr>
          <w:rFonts w:ascii="Calibri" w:hAnsi="Calibri"/>
          <w:b w:val="0"/>
          <w:i w:val="0"/>
          <w:sz w:val="22"/>
        </w:rPr>
        <w:t xml:space="preserve">Weighted Tokens: [alpha_1 </w:t>
      </w:r>
      <w:r>
        <w:rPr>
          <w:rFonts w:ascii="Calibri" w:hAnsi="Calibri"/>
          <w:b w:val="0"/>
          <w:i/>
          <w:sz w:val="22"/>
        </w:rPr>
        <w:t xml:space="preserve"> h_seq, alpha_2 </w:t>
      </w:r>
      <w:r>
        <w:rPr>
          <w:rFonts w:ascii="Calibri" w:hAnsi="Calibri"/>
          <w:b w:val="0"/>
          <w:i w:val="0"/>
          <w:sz w:val="22"/>
        </w:rPr>
        <w:t xml:space="preserve"> h_graph, alpha_3 * h_conf]</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tblGrid>
      <w:tr>
  </w:tr>
    </w:tbl>
    <w:p>
      <w:pPr>
        <w:spacing w:after="120" w:before="0"/>
      </w:pPr>
    </w:p>
    <w:p>
      <w:pPr>
        <w:spacing w:before="0" w:after="100" w:line="283" w:lineRule="auto"/>
      </w:pPr>
      <w:r>
        <w:rPr>
          <w:rFonts w:ascii="Calibri" w:hAnsi="Calibri"/>
          <w:b w:val="0"/>
          <w:i w:val="0"/>
          <w:sz w:val="22"/>
        </w:rPr>
        <w:t>v</w:t>
      </w:r>
    </w:p>
    <w:p>
      <w:pPr>
        <w:spacing w:before="0" w:after="100" w:line="283" w:lineRule="auto"/>
      </w:pPr>
      <w:r>
        <w:rPr>
          <w:rFonts w:ascii="Calibri" w:hAnsi="Calibri"/>
          <w:b w:val="0"/>
          <w:i w:val="0"/>
          <w:sz w:val="22"/>
        </w:rPr>
        <w:t>Cross-Modal Transformer Fusion</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tblGrid>
      <w:tr>
  </w:tr>
    </w:tbl>
    <w:p>
      <w:pPr>
        <w:spacing w:after="120" w:before="0"/>
      </w:pPr>
    </w:p>
    <w:p>
      <w:pPr>
        <w:spacing w:before="0" w:after="100" w:line="283" w:lineRule="auto"/>
      </w:pPr>
      <w:r>
        <w:rPr>
          <w:rFonts w:ascii="Calibri" w:hAnsi="Calibri"/>
          <w:b w:val="0"/>
          <w:i w:val="0"/>
          <w:sz w:val="22"/>
        </w:rPr>
        <w:t>v</w:t>
      </w:r>
    </w:p>
    <w:p>
      <w:pPr>
        <w:spacing w:before="0" w:after="100" w:line="283" w:lineRule="auto"/>
      </w:pPr>
      <w:r>
        <w:rPr>
          <w:rFonts w:ascii="Calibri" w:hAnsi="Calibri"/>
          <w:b w:val="0"/>
          <w:i w:val="0"/>
          <w:sz w:val="22"/>
        </w:rPr>
        <w:t>Fused Vector: H_fused</w:t>
      </w:r>
    </w:p>
    <w:p>
      <w:pPr>
        <w:spacing w:before="0" w:after="100" w:line="283" w:lineRule="auto"/>
      </w:pPr>
      <w:r>
        <w:rPr>
          <w:rFonts w:ascii="Consolas" w:hAnsi="Consolas"/>
          <w:color w:val="B4320A"/>
          <w:sz w:val="20"/>
        </w:rPr>
      </w:r>
      <w:r>
        <w:rPr>
          <w:rFonts w:ascii="Calibri" w:hAnsi="Calibri"/>
          <w:b w:val="0"/>
          <w:i w:val="0"/>
          <w:sz w:val="22"/>
        </w:rPr>
        <w:t>`</w:t>
      </w:r>
    </w:p>
    <w:p>
      <w:pPr>
        <w:spacing w:before="0" w:after="100" w:line="283" w:lineRule="auto"/>
      </w:pPr>
      <w:r>
        <w:rPr>
          <w:rFonts w:ascii="Calibri" w:hAnsi="Calibri"/>
          <w:b w:val="0"/>
          <w:i w:val="0"/>
          <w:sz w:val="22"/>
        </w:rPr>
        <w:t>The gating coefficients are computed via:</w:t>
      </w:r>
    </w:p>
    <w:p>
      <w:pPr>
        <w:spacing w:before="100" w:after="100"/>
        <w:jc w:val="center"/>
      </w:pPr>
      <w:r>
        <w:rPr>
          <w:rFonts w:ascii="Cambria Math" w:hAnsi="Cambria Math"/>
          <w:i/>
          <w:color w:val="0F172A"/>
          <w:sz w:val="21"/>
        </w:rPr>
        <w:t>\mathbf{g} = \mathbf{W}_{g, 2} \text{ReLU}\left(\mathbf{W}_{g, 1} [\mathbf{h}_{\text{seq}} \parallel \mathbf{h}_{\text{graph}} \parallel \mathbf{h}_{\text{conf}}] + \mathbf{b}_{g, 1}\right) + \mathbf{b}_{g, 2} \in \mathbb{R}^3</w:t>
      </w:r>
    </w:p>
    <w:p>
      <w:pPr>
        <w:spacing w:before="100" w:after="100"/>
        <w:jc w:val="center"/>
      </w:pPr>
      <w:r>
        <w:rPr>
          <w:rFonts w:ascii="Cambria Math" w:hAnsi="Cambria Math"/>
          <w:i/>
          <w:color w:val="0F172A"/>
          <w:sz w:val="21"/>
        </w:rPr>
        <w:t>\boldsymbol{\alpha} = [\alpha_{\text{seq}}, \alpha_{\text{graph}}, \alpha_{\text{conf}}]^T = \text{softmax}(\mathbf{g}) \in \Delta^2, \quad \sum_{m=1}^3 \alpha_m = 1</w:t>
      </w:r>
    </w:p>
    <w:p>
      <w:pPr>
        <w:spacing w:before="0" w:after="100" w:line="283" w:lineRule="auto"/>
      </w:pPr>
      <w:r>
        <w:rPr>
          <w:rFonts w:ascii="Calibri" w:hAnsi="Calibri"/>
          <w:b w:val="0"/>
          <w:i w:val="0"/>
          <w:sz w:val="22"/>
        </w:rPr>
        <w:t xml:space="preserve">The gated tokens </w:t>
      </w:r>
      <w:r>
        <w:rPr>
          <w:rFonts w:ascii="Cambria Math" w:hAnsi="Cambria Math"/>
          <w:i/>
          <w:sz w:val="22"/>
        </w:rPr>
        <w:t>\mathbf{T} = [\alpha_{\text{seq}}\mathbf{h}_{\text{seq}}, \alpha_{\text{graph}}\mathbf{h}_{\text{graph}}, \alpha_{\text{conf}}\mathbf{h}_{\text{conf}}]^T \in \mathbb{R}^{3 \times d_h}</w:t>
      </w:r>
      <w:r>
        <w:rPr>
          <w:rFonts w:ascii="Calibri" w:hAnsi="Calibri"/>
          <w:b w:val="0"/>
          <w:i w:val="0"/>
          <w:sz w:val="22"/>
        </w:rPr>
        <w:t xml:space="preserve"> are passed through a 2-layer Cross-Modal Multi-Head Transformer:</w:t>
      </w:r>
    </w:p>
    <w:p>
      <w:pPr>
        <w:spacing w:before="100" w:after="100"/>
        <w:jc w:val="center"/>
      </w:pPr>
      <w:r>
        <w:rPr>
          <w:rFonts w:ascii="Cambria Math" w:hAnsi="Cambria Math"/>
          <w:i/>
          <w:color w:val="0F172A"/>
          <w:sz w:val="21"/>
        </w:rPr>
        <w:t>\mathbf{Z} = \text{MultiHeadAttention}(\mathbf{Q}=\mathbf{T}, \mathbf{K}=\mathbf{T}, \mathbf{V}=\mathbf{T})</w:t>
      </w:r>
    </w:p>
    <w:p>
      <w:pPr>
        <w:spacing w:before="100" w:after="100"/>
        <w:jc w:val="center"/>
      </w:pPr>
      <w:r>
        <w:rPr>
          <w:rFonts w:ascii="Cambria Math" w:hAnsi="Cambria Math"/>
          <w:i/>
          <w:color w:val="0F172A"/>
          <w:sz w:val="21"/>
        </w:rPr>
        <w:t>\mathbf{h}_{\text{fused}} = \text{LayerNorm}\left(\mathbf{W}_f \cdot \text{vec}(\mathbf{Z}) + \mathbf{b}_f\right) \in \mathbb{R}^{d_h}</w:t>
      </w:r>
    </w:p>
    <w:p>
      <w:pPr>
        <w:keepNext/>
        <w:spacing w:before="260" w:after="80"/>
      </w:pPr>
      <w:r>
        <w:rPr>
          <w:rFonts w:ascii="Calibri" w:hAnsi="Calibri"/>
          <w:b/>
          <w:color w:val="2563EB"/>
          <w:sz w:val="24"/>
        </w:rPr>
        <w:t>2.6 Deep Ensemble Epistemic Uncertainty Quantification</w:t>
      </w:r>
    </w:p>
    <w:p>
      <w:pPr>
        <w:spacing w:before="0" w:after="100" w:line="283" w:lineRule="auto"/>
      </w:pPr>
      <w:r>
        <w:rPr>
          <w:rFonts w:ascii="Calibri" w:hAnsi="Calibri"/>
          <w:b w:val="0"/>
          <w:i w:val="0"/>
          <w:sz w:val="22"/>
        </w:rPr>
        <w:t xml:space="preserve">To provide safety-critical reliability, TriBioNode v2 deploys an ensemble of </w:t>
      </w:r>
      <w:r>
        <w:rPr>
          <w:rFonts w:ascii="Cambria Math" w:hAnsi="Cambria Math"/>
          <w:i/>
          <w:sz w:val="22"/>
        </w:rPr>
        <w:t>E = 5</w:t>
      </w:r>
      <w:r>
        <w:rPr>
          <w:rFonts w:ascii="Calibri" w:hAnsi="Calibri"/>
          <w:b w:val="0"/>
          <w:i w:val="0"/>
          <w:sz w:val="22"/>
        </w:rPr>
        <w:t xml:space="preserve"> independently initialized models </w:t>
      </w:r>
      <w:r>
        <w:rPr>
          <w:rFonts w:ascii="Cambria Math" w:hAnsi="Cambria Math"/>
          <w:i/>
          <w:sz w:val="22"/>
        </w:rPr>
        <w:t>\{\mathcal{M}_e\}_{e=1}^E</w:t>
      </w:r>
      <w:r>
        <w:rPr>
          <w:rFonts w:ascii="Calibri" w:hAnsi="Calibri"/>
          <w:b w:val="0"/>
          <w:i w:val="0"/>
          <w:sz w:val="22"/>
        </w:rPr>
        <w:t xml:space="preserve"> trained with bootstrapped sampling.</w:t>
      </w:r>
    </w:p>
    <w:p>
      <w:pPr>
        <w:spacing w:before="0" w:after="100" w:line="283" w:lineRule="auto"/>
      </w:pPr>
      <w:r>
        <w:rPr>
          <w:rFonts w:ascii="Calibri" w:hAnsi="Calibri"/>
          <w:b w:val="0"/>
          <w:i w:val="0"/>
          <w:sz w:val="22"/>
        </w:rPr>
        <w:t xml:space="preserve">For regression tasks, each model outputs a predictive mean </w:t>
      </w:r>
      <w:r>
        <w:rPr>
          <w:rFonts w:ascii="Cambria Math" w:hAnsi="Cambria Math"/>
          <w:i/>
          <w:sz w:val="22"/>
        </w:rPr>
        <w:t>\hat{\mu}_e(\mathbf{x})</w:t>
      </w:r>
      <w:r>
        <w:rPr>
          <w:rFonts w:ascii="Calibri" w:hAnsi="Calibri"/>
          <w:b w:val="0"/>
          <w:i w:val="0"/>
          <w:sz w:val="22"/>
        </w:rPr>
        <w:t xml:space="preserve"> and homoscedastic aleatoric variance </w:t>
      </w:r>
      <w:r>
        <w:rPr>
          <w:rFonts w:ascii="Cambria Math" w:hAnsi="Cambria Math"/>
          <w:i/>
          <w:sz w:val="22"/>
        </w:rPr>
        <w:t>\hat{\sigma}_e^2(\mathbf{x})</w:t>
      </w:r>
      <w:r>
        <w:rPr>
          <w:rFonts w:ascii="Calibri" w:hAnsi="Calibri"/>
          <w:b w:val="0"/>
          <w:i w:val="0"/>
          <w:sz w:val="22"/>
        </w:rPr>
        <w:t xml:space="preserve"> optimized via Gaussian Negative Log-Likelihood:</w:t>
      </w:r>
    </w:p>
    <w:p>
      <w:pPr>
        <w:spacing w:before="100" w:after="100"/>
        <w:jc w:val="center"/>
      </w:pPr>
      <w:r>
        <w:rPr>
          <w:rFonts w:ascii="Cambria Math" w:hAnsi="Cambria Math"/>
          <w:i/>
          <w:color w:val="0F172A"/>
          <w:sz w:val="21"/>
        </w:rPr>
        <w:t>\mathcal{L}_{\text{NLL}}^{(e)} = \frac{1}{2B} \sum_{i=1}^B \left(\frac{(y_i - \hat{\mu}_e(\mathbf{x}_i))^2}{\hat{\sigma}_e^2(\mathbf{x}_i)} + \log \hat{\sigma}_e^2(\mathbf{x}_i)\right)</w:t>
      </w:r>
    </w:p>
    <w:p>
      <w:pPr>
        <w:spacing w:before="0" w:after="100" w:line="283" w:lineRule="auto"/>
      </w:pPr>
      <w:r>
        <w:rPr>
          <w:rFonts w:ascii="Calibri" w:hAnsi="Calibri"/>
          <w:b w:val="0"/>
          <w:i w:val="0"/>
          <w:sz w:val="22"/>
        </w:rPr>
        <w:t xml:space="preserve">The overall predictive mean </w:t>
      </w:r>
      <w:r>
        <w:rPr>
          <w:rFonts w:ascii="Cambria Math" w:hAnsi="Cambria Math"/>
          <w:i/>
          <w:sz w:val="22"/>
        </w:rPr>
        <w:t>\bar{\mu}(\mathbf{x})</w:t>
      </w:r>
      <w:r>
        <w:rPr>
          <w:rFonts w:ascii="Calibri" w:hAnsi="Calibri"/>
          <w:b w:val="0"/>
          <w:i w:val="0"/>
          <w:sz w:val="22"/>
        </w:rPr>
        <w:t xml:space="preserve">, total predictive variance </w:t>
      </w:r>
      <w:r>
        <w:rPr>
          <w:rFonts w:ascii="Cambria Math" w:hAnsi="Cambria Math"/>
          <w:i/>
          <w:sz w:val="22"/>
        </w:rPr>
        <w:t>\sigma_{\text{total}}^2(\mathbf{x})</w:t>
      </w:r>
      <w:r>
        <w:rPr>
          <w:rFonts w:ascii="Calibri" w:hAnsi="Calibri"/>
          <w:b w:val="0"/>
          <w:i w:val="0"/>
          <w:sz w:val="22"/>
        </w:rPr>
        <w:t xml:space="preserve">, and decoupled epistemic uncertainty </w:t>
      </w:r>
      <w:r>
        <w:rPr>
          <w:rFonts w:ascii="Cambria Math" w:hAnsi="Cambria Math"/>
          <w:i/>
          <w:sz w:val="22"/>
        </w:rPr>
        <w:t>U_{\text{epistemic}}(\mathbf{x})</w:t>
      </w:r>
      <w:r>
        <w:rPr>
          <w:rFonts w:ascii="Calibri" w:hAnsi="Calibri"/>
          <w:b w:val="0"/>
          <w:i w:val="0"/>
          <w:sz w:val="22"/>
        </w:rPr>
        <w:t xml:space="preserve"> are computed via Law of Total Variance:</w:t>
      </w:r>
    </w:p>
    <w:p>
      <w:pPr>
        <w:spacing w:before="100" w:after="100"/>
        <w:jc w:val="center"/>
      </w:pPr>
      <w:r>
        <w:rPr>
          <w:rFonts w:ascii="Cambria Math" w:hAnsi="Cambria Math"/>
          <w:i/>
          <w:color w:val="0F172A"/>
          <w:sz w:val="21"/>
        </w:rPr>
        <w:t>\bar{\mu}(\mathbf{x}) = \frac{1}{E} \sum_{e=1}^E \hat{\mu}_e(\mathbf{x})</w:t>
      </w:r>
    </w:p>
    <w:p>
      <w:pPr>
        <w:spacing w:before="100" w:after="100"/>
        <w:jc w:val="center"/>
      </w:pPr>
      <w:r>
        <w:rPr>
          <w:rFonts w:ascii="Cambria Math" w:hAnsi="Cambria Math"/>
          <w:i/>
          <w:color w:val="0F172A"/>
          <w:sz w:val="21"/>
        </w:rPr>
        <w:t>\sigma_{\text{aleatoric}}^2(\mathbf{x}) = \frac{1}{E} \sum_{e=1}^E \hat{\sigma}_e^2(\mathbf{x})</w:t>
      </w:r>
    </w:p>
    <w:p>
      <w:pPr>
        <w:spacing w:before="100" w:after="100"/>
        <w:jc w:val="center"/>
      </w:pPr>
      <w:r>
        <w:rPr>
          <w:rFonts w:ascii="Cambria Math" w:hAnsi="Cambria Math"/>
          <w:i/>
          <w:color w:val="0F172A"/>
          <w:sz w:val="21"/>
        </w:rPr>
        <w:t>U_{\text{epistemic}}(\mathbf{x}) = \sigma_{\text{epistemic}}^2(\mathbf{x}) = \frac{1}{E} \sum_{e=1}^E \left(\hat{\mu}_e(\mathbf{x}) - \bar{\mu}(\mathbf{x})\right)^2</w:t>
      </w:r>
    </w:p>
    <w:p>
      <w:pPr>
        <w:spacing w:before="100" w:after="100"/>
        <w:jc w:val="center"/>
      </w:pPr>
      <w:r>
        <w:rPr>
          <w:rFonts w:ascii="Cambria Math" w:hAnsi="Cambria Math"/>
          <w:i/>
          <w:color w:val="0F172A"/>
          <w:sz w:val="21"/>
        </w:rPr>
        <w:t>\sigma_{\text{total}}^2(\mathbf{x}) = \sigma_{\text{aleatoric}}^2(\mathbf{x}) + \sigma_{\text{epistemic}}^2(\mathbf{x})</w:t>
      </w:r>
    </w:p>
    <w:p>
      <w:pPr>
        <w:spacing w:before="0" w:after="100" w:line="283" w:lineRule="auto"/>
      </w:pPr>
      <w:r>
        <w:rPr>
          <w:rFonts w:ascii="Calibri" w:hAnsi="Calibri"/>
          <w:b w:val="0"/>
          <w:i w:val="0"/>
          <w:sz w:val="22"/>
        </w:rPr>
        <w:t>The composite training loss for each ensemble member is:</w:t>
      </w:r>
    </w:p>
    <w:p>
      <w:pPr>
        <w:spacing w:before="100" w:after="100"/>
        <w:jc w:val="center"/>
      </w:pPr>
      <w:r>
        <w:rPr>
          <w:rFonts w:ascii="Cambria Math" w:hAnsi="Cambria Math"/>
          <w:i/>
          <w:color w:val="0F172A"/>
          <w:sz w:val="21"/>
        </w:rPr>
        <w:t>\mathcal{L}_{\text{total}}^{(e)} = \mathcal{L}_{\text{task}}^{(e)} + \lambda_{\text{CL}} \mathcal{L}_{\text{CL}}^{(e)}</w:t>
      </w:r>
    </w:p>
    <w:p>
      <w:pPr>
        <w:spacing w:before="0" w:after="100" w:line="283" w:lineRule="auto"/>
      </w:pPr>
      <w:r>
        <w:rPr>
          <w:rFonts w:ascii="Calibri" w:hAnsi="Calibri"/>
          <w:b w:val="0"/>
          <w:i w:val="0"/>
          <w:sz w:val="22"/>
        </w:rPr>
        <w:t xml:space="preserve">where </w:t>
      </w:r>
      <w:r>
        <w:rPr>
          <w:rFonts w:ascii="Cambria Math" w:hAnsi="Cambria Math"/>
          <w:i/>
          <w:sz w:val="22"/>
        </w:rPr>
        <w:t>\lambda_{\text{CL}} = 0.15</w:t>
      </w:r>
      <w:r>
        <w:rPr>
          <w:rFonts w:ascii="Calibri" w:hAnsi="Calibri"/>
          <w:b w:val="0"/>
          <w:i w:val="0"/>
          <w:sz w:val="22"/>
        </w:rPr>
        <w:t xml:space="preserve"> balances contrastive regularization with task supervision.</w:t>
      </w:r>
    </w:p>
    <w:p>
      <w:pPr>
        <w:keepNext/>
        <w:spacing w:before="320" w:after="120"/>
      </w:pPr>
      <w:r>
        <w:rPr>
          <w:rFonts w:ascii="Calibri" w:hAnsi="Calibri"/>
          <w:b/>
          <w:color w:val="1E3A8A"/>
          <w:sz w:val="27"/>
        </w:rPr>
        <w:t>3. RESULTS &amp; COMPREHENSIVE DISCUSSION</w:t>
      </w:r>
    </w:p>
    <w:p>
      <w:pPr>
        <w:keepNext/>
        <w:spacing w:before="260" w:after="80"/>
      </w:pPr>
      <w:r>
        <w:rPr>
          <w:rFonts w:ascii="Calibri" w:hAnsi="Calibri"/>
          <w:b/>
          <w:color w:val="2563EB"/>
          <w:sz w:val="24"/>
        </w:rPr>
        <w:t>3.1 Experimental Setup &amp; Evaluation Protocol</w:t>
      </w:r>
    </w:p>
    <w:p>
      <w:pPr>
        <w:pStyle w:val="ListBullet"/>
        <w:spacing w:before="20" w:after="40" w:line="276" w:lineRule="auto"/>
      </w:pPr>
      <w:r>
        <w:rPr>
          <w:rFonts w:ascii="Calibri" w:hAnsi="Calibri"/>
          <w:b/>
          <w:i w:val="0"/>
          <w:sz w:val="22"/>
        </w:rPr>
        <w:t>Splitting Protocol</w:t>
      </w:r>
      <w:r>
        <w:rPr>
          <w:rFonts w:ascii="Calibri" w:hAnsi="Calibri"/>
          <w:b w:val="0"/>
          <w:i w:val="0"/>
          <w:sz w:val="22"/>
        </w:rPr>
        <w:t xml:space="preserve">: All datasets were partitioned using rigorous </w:t>
      </w:r>
      <w:r>
        <w:rPr>
          <w:rFonts w:ascii="Calibri" w:hAnsi="Calibri"/>
          <w:b/>
          <w:i w:val="0"/>
          <w:sz w:val="22"/>
        </w:rPr>
        <w:t>Bemis-Murcko Scaffold Splitting</w:t>
      </w:r>
      <w:r>
        <w:rPr>
          <w:rFonts w:ascii="Calibri" w:hAnsi="Calibri"/>
          <w:b w:val="0"/>
          <w:i w:val="0"/>
          <w:sz w:val="22"/>
        </w:rPr>
        <w:t xml:space="preserve"> (80:10:10 train/validation/test ratio), clustering molecules by 2D core ring scaffolds to enforce genuine out-of-distribution chemical generalization.</w:t>
      </w:r>
    </w:p>
    <w:p>
      <w:pPr>
        <w:pStyle w:val="ListBullet"/>
        <w:spacing w:before="20" w:after="40" w:line="276" w:lineRule="auto"/>
      </w:pPr>
      <w:r>
        <w:rPr>
          <w:rFonts w:ascii="Calibri" w:hAnsi="Calibri"/>
          <w:b/>
          <w:i w:val="0"/>
          <w:sz w:val="22"/>
        </w:rPr>
        <w:t>Evaluation Metrics</w:t>
      </w:r>
      <w:r>
        <w:rPr>
          <w:rFonts w:ascii="Calibri" w:hAnsi="Calibri"/>
          <w:b w:val="0"/>
          <w:i w:val="0"/>
          <w:sz w:val="22"/>
        </w:rPr>
        <w:t>:</w:t>
      </w:r>
    </w:p>
    <w:p>
      <w:pPr>
        <w:pStyle w:val="ListBullet"/>
        <w:spacing w:before="20" w:after="40" w:line="276" w:lineRule="auto"/>
      </w:pPr>
      <w:r>
        <w:rPr>
          <w:rFonts w:ascii="Calibri" w:hAnsi="Calibri"/>
          <w:b w:val="0"/>
          <w:i w:val="0"/>
          <w:sz w:val="22"/>
        </w:rPr>
        <w:t>Binary/Multi-task Classification: Receiver Operating Characteristic Area Under Curve (</w:t>
      </w:r>
      <w:r>
        <w:rPr>
          <w:rFonts w:ascii="Calibri" w:hAnsi="Calibri"/>
          <w:b/>
          <w:i w:val="0"/>
          <w:sz w:val="22"/>
        </w:rPr>
        <w:t>ROC-AUC \%</w:t>
      </w:r>
      <w:r>
        <w:rPr>
          <w:rFonts w:ascii="Calibri" w:hAnsi="Calibri"/>
          <w:b w:val="0"/>
          <w:i w:val="0"/>
          <w:sz w:val="22"/>
        </w:rPr>
        <w:t>).</w:t>
      </w:r>
    </w:p>
    <w:p>
      <w:pPr>
        <w:pStyle w:val="ListBullet"/>
        <w:spacing w:before="20" w:after="40" w:line="276" w:lineRule="auto"/>
      </w:pPr>
      <w:r>
        <w:rPr>
          <w:rFonts w:ascii="Calibri" w:hAnsi="Calibri"/>
          <w:b w:val="0"/>
          <w:i w:val="0"/>
          <w:sz w:val="22"/>
        </w:rPr>
        <w:t>Physical/Biophysical Regression: Root Mean Squared Error (</w:t>
      </w:r>
      <w:r>
        <w:rPr>
          <w:rFonts w:ascii="Calibri" w:hAnsi="Calibri"/>
          <w:b/>
          <w:i w:val="0"/>
          <w:sz w:val="22"/>
        </w:rPr>
        <w:t>RMSE</w:t>
      </w:r>
      <w:r>
        <w:rPr>
          <w:rFonts w:ascii="Calibri" w:hAnsi="Calibri"/>
          <w:b w:val="0"/>
          <w:i w:val="0"/>
          <w:sz w:val="22"/>
        </w:rPr>
        <w:t>) and Mean Absolute Error (</w:t>
      </w:r>
      <w:r>
        <w:rPr>
          <w:rFonts w:ascii="Calibri" w:hAnsi="Calibri"/>
          <w:b/>
          <w:i w:val="0"/>
          <w:sz w:val="22"/>
        </w:rPr>
        <w:t>MAE</w:t>
      </w:r>
      <w:r>
        <w:rPr>
          <w:rFonts w:ascii="Calibri" w:hAnsi="Calibri"/>
          <w:b w:val="0"/>
          <w:i w:val="0"/>
          <w:sz w:val="22"/>
        </w:rPr>
        <w:t>).</w:t>
      </w:r>
    </w:p>
    <w:p>
      <w:pPr>
        <w:pStyle w:val="ListBullet"/>
        <w:spacing w:before="20" w:after="40" w:line="276" w:lineRule="auto"/>
      </w:pPr>
      <w:r>
        <w:rPr>
          <w:rFonts w:ascii="Calibri" w:hAnsi="Calibri"/>
          <w:b/>
          <w:i w:val="0"/>
          <w:sz w:val="22"/>
        </w:rPr>
        <w:t>Hardware &amp; Optimization</w:t>
      </w:r>
      <w:r>
        <w:rPr>
          <w:rFonts w:ascii="Calibri" w:hAnsi="Calibri"/>
          <w:b w:val="0"/>
          <w:i w:val="0"/>
          <w:sz w:val="22"/>
        </w:rPr>
        <w:t>: Models were trained using AdamW optimizer (</w:t>
      </w:r>
      <w:r>
        <w:rPr>
          <w:rFonts w:ascii="Cambria Math" w:hAnsi="Cambria Math"/>
          <w:i/>
          <w:sz w:val="22"/>
        </w:rPr>
        <w:t>\text{lr} = 10^{-4}</w:t>
      </w:r>
      <w:r>
        <w:rPr>
          <w:rFonts w:ascii="Calibri" w:hAnsi="Calibri"/>
          <w:b w:val="0"/>
          <w:i w:val="0"/>
          <w:sz w:val="22"/>
        </w:rPr>
        <w:t xml:space="preserve">, weight decay </w:t>
      </w:r>
      <w:r>
        <w:rPr>
          <w:rFonts w:ascii="Cambria Math" w:hAnsi="Cambria Math"/>
          <w:i/>
          <w:sz w:val="22"/>
        </w:rPr>
        <w:t>= 10^{-5}</w:t>
      </w:r>
      <w:r>
        <w:rPr>
          <w:rFonts w:ascii="Calibri" w:hAnsi="Calibri"/>
          <w:b w:val="0"/>
          <w:i w:val="0"/>
          <w:sz w:val="22"/>
        </w:rPr>
        <w:t>, Cosine Annealing scheduler) on NVIDIA RTX 3090 / A100 GPUs with early stopping patience of 20 epochs.</w:t>
      </w:r>
    </w:p>
    <w:p>
      <w:pPr>
        <w:keepNext/>
        <w:spacing w:before="260" w:after="80"/>
      </w:pPr>
      <w:r>
        <w:rPr>
          <w:rFonts w:ascii="Calibri" w:hAnsi="Calibri"/>
          <w:b/>
          <w:color w:val="2563EB"/>
          <w:sz w:val="24"/>
        </w:rPr>
        <w:t>3.2 Benchmark Performance Comparison across 16 Datasets</w:t>
      </w:r>
    </w:p>
    <w:p>
      <w:pPr>
        <w:keepNext/>
        <w:spacing w:before="200" w:after="60"/>
      </w:pPr>
      <w:r>
        <w:rPr>
          <w:rFonts w:ascii="Calibri" w:hAnsi="Calibri"/>
          <w:b/>
          <w:color w:val="1E293B"/>
          <w:sz w:val="22"/>
        </w:rPr>
        <w:t>Table 1: Comparative Classification Performance on MoleculeNet Benchmarks (Scaffold Split, ROC-AUC \% $\uparrow$)</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1040"/>
        <w:gridCol w:w="1040"/>
        <w:gridCol w:w="1040"/>
        <w:gridCol w:w="1040"/>
        <w:gridCol w:w="1040"/>
        <w:gridCol w:w="1040"/>
        <w:gridCol w:w="1040"/>
        <w:gridCol w:w="1040"/>
        <w:gridCol w:w="1040"/>
      </w:tblGrid>
      <w:tr>
        <w:tc>
          <w:tcPr>
            <w:tcW w:type="dxa" w:w="1040"/>
            <w:tcMar>
              <w:top w:w="100" w:type="dxa"/>
              <w:bottom w:w="100" w:type="dxa"/>
              <w:left w:w="130" w:type="dxa"/>
              <w:right w:w="130" w:type="dxa"/>
            </w:tcMar>
            <w:shd w:fill="F1F5F9"/>
          </w:tcPr>
          <w:p>
            <w:pPr>
              <w:spacing w:after="40" w:before="40" w:line="252" w:lineRule="auto"/>
              <w:jc w:val="left"/>
            </w:pPr>
            <w:r>
              <w:rPr>
                <w:rFonts w:ascii="Calibri" w:hAnsi="Calibri"/>
                <w:b/>
                <w:i w:val="0"/>
                <w:sz w:val="19"/>
              </w:rPr>
              <w:t>Category</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Model Architecture</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BBBP</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BACE</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ClinTox</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Tox21</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SIDER</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HIV</w:t>
            </w:r>
          </w:p>
        </w:tc>
        <w:tc>
          <w:tcPr>
            <w:tcW w:type="dxa" w:w="1040"/>
            <w:tcMar>
              <w:top w:w="100" w:type="dxa"/>
              <w:bottom w:w="100" w:type="dxa"/>
              <w:left w:w="130" w:type="dxa"/>
              <w:right w:w="130" w:type="dxa"/>
            </w:tcMar>
            <w:shd w:fill="F1F5F9"/>
          </w:tcPr>
          <w:p>
            <w:pPr>
              <w:spacing w:after="40" w:before="40" w:line="252" w:lineRule="auto"/>
              <w:jc w:val="center"/>
            </w:pPr>
            <w:r>
              <w:rPr>
                <w:rFonts w:ascii="Calibri" w:hAnsi="Calibri"/>
                <w:b/>
                <w:i w:val="0"/>
                <w:sz w:val="19"/>
              </w:rPr>
              <w:t>Average ROC-AUC</w:t>
            </w:r>
          </w:p>
        </w:tc>
      </w:tr>
      <w:tr>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i w:val="0"/>
                <w:sz w:val="19"/>
              </w:rPr>
              <w:t>Traditional ML</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Random Forest (ECFP4)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71.4 ± 1.2</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78.3 ± 0.9</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74.2 ± 1.5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74.8 ± 0.6</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62.1 ± 0.8</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73.1 ± 1.1</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72.3\%</w:t>
            </w:r>
          </w:p>
        </w:tc>
      </w:tr>
      <w:tr>
        <w:tc>
          <w:tcPr>
            <w:tcW w:type="dxa" w:w="1040"/>
            <w:tcMar>
              <w:top w:w="100" w:type="dxa"/>
              <w:bottom w:w="100" w:type="dxa"/>
              <w:left w:w="130" w:type="dxa"/>
              <w:right w:w="130" w:type="dxa"/>
            </w:tcMar>
          </w:tcPr>
          <w:p>
            <w:pPr>
              <w:spacing w:after="40" w:before="40" w:line="252" w:lineRule="auto"/>
              <w:jc w:val="left"/>
            </w:pP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XGBoost (RDKit Descriptors)</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73.2 ± 1.0</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79.5 ± 0.8</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76.8 ± 1.3</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76.1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63.4 ± 0.7</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74.5 ± 0.9</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73.9\%</w:t>
            </w:r>
          </w:p>
        </w:tc>
      </w:tr>
      <w:tr>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i w:val="0"/>
                <w:sz w:val="19"/>
              </w:rPr>
              <w:t>1D Sequence</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SMILES Transformer</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87.8 ± 0.7</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81.2 ± 0.8</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89.4 ± 1.1</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79.3 ± 0.4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64.2 ± 0.6</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76.8 ± 0.8</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79.8\%</w:t>
            </w:r>
          </w:p>
        </w:tc>
      </w:tr>
      <w:tr>
        <w:tc>
          <w:tcPr>
            <w:tcW w:type="dxa" w:w="1040"/>
            <w:tcMar>
              <w:top w:w="100" w:type="dxa"/>
              <w:bottom w:w="100" w:type="dxa"/>
              <w:left w:w="130" w:type="dxa"/>
              <w:right w:w="130" w:type="dxa"/>
            </w:tcMar>
          </w:tcPr>
          <w:p>
            <w:pPr>
              <w:spacing w:after="40" w:before="40" w:line="252" w:lineRule="auto"/>
              <w:jc w:val="left"/>
            </w:pP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ChemBERTa-2 (Pre-trained)</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89.6 ± 0.6</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84.1 ± 0.7</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91.5 ± 0.9</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81.2 ± 0.4</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65.1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77.9 ± 0.7</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81.6\%</w:t>
            </w:r>
          </w:p>
        </w:tc>
      </w:tr>
      <w:tr>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i w:val="0"/>
                <w:sz w:val="19"/>
              </w:rPr>
              <w:t>2D Graph Neural Nets</w:t>
            </w:r>
          </w:p>
        </w:tc>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D-MPNN (Directed Message Passing)</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90.6 ± 0.5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85.3 ± 0.6</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90.8 ± 0.8</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82.1 ± 0.3</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64.8 ± 0.5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78.4 ± 0.6</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82.0\%</w:t>
            </w:r>
          </w:p>
        </w:tc>
      </w:tr>
      <w:tr>
        <w:tc>
          <w:tcPr>
            <w:tcW w:type="dxa" w:w="1040"/>
            <w:tcMar>
              <w:top w:w="100" w:type="dxa"/>
              <w:bottom w:w="100" w:type="dxa"/>
              <w:left w:w="130" w:type="dxa"/>
              <w:right w:w="130" w:type="dxa"/>
            </w:tcMar>
          </w:tcPr>
          <w:p>
            <w:pPr>
              <w:spacing w:after="40" w:before="40" w:line="252" w:lineRule="auto"/>
              <w:jc w:val="left"/>
            </w:pPr>
          </w:p>
        </w:tc>
        <w:tc>
          <w:tcPr>
            <w:tcW w:type="dxa" w:w="1040"/>
            <w:tcMar>
              <w:top w:w="100" w:type="dxa"/>
              <w:bottom w:w="100" w:type="dxa"/>
              <w:left w:w="130" w:type="dxa"/>
              <w:right w:w="130" w:type="dxa"/>
            </w:tcMar>
          </w:tcPr>
          <w:p>
            <w:pPr>
              <w:spacing w:after="40" w:before="40" w:line="252" w:lineRule="auto"/>
              <w:jc w:val="left"/>
            </w:pPr>
            <w:r>
              <w:rPr>
                <w:rFonts w:ascii="Calibri" w:hAnsi="Calibri"/>
                <w:b w:val="0"/>
                <w:i w:val="0"/>
                <w:sz w:val="19"/>
              </w:rPr>
              <w:t>GIN + ContextPred (SSL)</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91.5 ± 0.6</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85.8 ± 0.7</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92.4 ± 0.8</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82.6 ± 0.4</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65.5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79.1 ± 0.6</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82.8\%</w:t>
            </w:r>
          </w:p>
        </w:tc>
      </w:tr>
      <w:tr>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i w:val="0"/>
                <w:sz w:val="19"/>
              </w:rPr>
              <w:t>3D Geometric Nets</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SchNet (3D Continuous Filter)</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84.7 ± 0.9</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79.8 ± 1.1</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82.3 ± 1.4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77.4 ± 0.6</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61.2 ± 0.8</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74.2 ± 0.9</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76.6\%</w:t>
            </w:r>
          </w:p>
        </w:tc>
      </w:tr>
      <w:tr>
        <w:tc>
          <w:tcPr>
            <w:tcW w:type="dxa" w:w="1040"/>
            <w:tcMar>
              <w:top w:w="100" w:type="dxa"/>
              <w:bottom w:w="100" w:type="dxa"/>
              <w:left w:w="130" w:type="dxa"/>
              <w:right w:w="130" w:type="dxa"/>
            </w:tcMar>
          </w:tcPr>
          <w:p>
            <w:pPr>
              <w:spacing w:after="40" w:before="40" w:line="252" w:lineRule="auto"/>
              <w:jc w:val="left"/>
            </w:pP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DimeNet++ (Directional 3D)</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86.9 ± 0.8</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81.5 ± 0.9</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85.1 ± 1.2</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78.9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62.8 ± 0.7</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75.9 ± 0.8</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78.5\%</w:t>
            </w:r>
          </w:p>
        </w:tc>
      </w:tr>
      <w:tr>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i w:val="0"/>
                <w:sz w:val="19"/>
              </w:rPr>
              <w:t>The 6 Reference Papers</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i w:val="0"/>
                <w:sz w:val="19"/>
              </w:rPr>
              <w:t>MSGG</w:t>
            </w:r>
            <w:r>
              <w:rPr>
                <w:rFonts w:ascii="Calibri" w:hAnsi="Calibri"/>
                <w:b w:val="0"/>
                <w:i w:val="0"/>
                <w:sz w:val="19"/>
              </w:rPr>
              <w:t xml:space="preserve"> </w:t>
            </w:r>
            <w:r>
              <w:rPr>
                <w:rFonts w:ascii="Calibri" w:hAnsi="Calibri"/>
                <w:b w:val="0"/>
                <w:i/>
                <w:sz w:val="19"/>
              </w:rPr>
              <w:t>(Wang et al., 2020)</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88.5 ± 0.8</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87.4 ± 0.6</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90.1 ± 1.0</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81.4 ± 0.4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64.1 ± 0.6</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77.2 ± 0.7</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81.5\%</w:t>
            </w:r>
          </w:p>
        </w:tc>
      </w:tr>
      <w:tr>
        <w:tc>
          <w:tcPr>
            <w:tcW w:type="dxa" w:w="1040"/>
            <w:tcMar>
              <w:top w:w="100" w:type="dxa"/>
              <w:bottom w:w="100" w:type="dxa"/>
              <w:left w:w="130" w:type="dxa"/>
              <w:right w:w="130" w:type="dxa"/>
            </w:tcMar>
          </w:tcPr>
          <w:p>
            <w:pPr>
              <w:spacing w:after="40" w:before="40" w:line="252" w:lineRule="auto"/>
              <w:jc w:val="left"/>
            </w:pPr>
          </w:p>
        </w:tc>
        <w:tc>
          <w:tcPr>
            <w:tcW w:type="dxa" w:w="1040"/>
            <w:tcMar>
              <w:top w:w="100" w:type="dxa"/>
              <w:bottom w:w="100" w:type="dxa"/>
              <w:left w:w="130" w:type="dxa"/>
              <w:right w:w="130" w:type="dxa"/>
            </w:tcMar>
          </w:tcPr>
          <w:p>
            <w:pPr>
              <w:spacing w:after="40" w:before="40" w:line="252" w:lineRule="auto"/>
              <w:jc w:val="center"/>
            </w:pPr>
            <w:r>
              <w:rPr>
                <w:rFonts w:ascii="Calibri" w:hAnsi="Calibri"/>
                <w:b/>
                <w:i w:val="0"/>
                <w:sz w:val="19"/>
              </w:rPr>
              <w:t>DV-IS</w:t>
            </w:r>
            <w:r>
              <w:rPr>
                <w:rFonts w:ascii="Calibri" w:hAnsi="Calibri"/>
                <w:b w:val="0"/>
                <w:i w:val="0"/>
                <w:sz w:val="19"/>
              </w:rPr>
              <w:t xml:space="preserve"> </w:t>
            </w:r>
            <w:r>
              <w:rPr>
                <w:rFonts w:ascii="Calibri" w:hAnsi="Calibri"/>
                <w:b w:val="0"/>
                <w:i/>
                <w:sz w:val="19"/>
              </w:rPr>
              <w:t>(Zhang et al., 2024)</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92.4 ± 0.6</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87.2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93.8 ± 0.7</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81.9 ± 0.4</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65.0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78.6 ± 0.6</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83.2\%</w:t>
            </w:r>
          </w:p>
        </w:tc>
      </w:tr>
      <w:tr>
        <w:tc>
          <w:tcPr>
            <w:tcW w:type="dxa" w:w="1040"/>
            <w:tcMar>
              <w:top w:w="100" w:type="dxa"/>
              <w:bottom w:w="100" w:type="dxa"/>
              <w:left w:w="130" w:type="dxa"/>
              <w:right w:w="130" w:type="dxa"/>
            </w:tcMar>
            <w:shd w:fill="F8FAFC"/>
          </w:tcPr>
          <w:p>
            <w:pPr>
              <w:spacing w:after="40" w:before="40" w:line="252" w:lineRule="auto"/>
              <w:jc w:val="left"/>
            </w:pP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i w:val="0"/>
                <w:sz w:val="19"/>
              </w:rPr>
              <w:t>MvMRL</w:t>
            </w:r>
            <w:r>
              <w:rPr>
                <w:rFonts w:ascii="Calibri" w:hAnsi="Calibri"/>
                <w:b w:val="0"/>
                <w:i w:val="0"/>
                <w:sz w:val="19"/>
              </w:rPr>
              <w:t xml:space="preserve"> </w:t>
            </w:r>
            <w:r>
              <w:rPr>
                <w:rFonts w:ascii="Calibri" w:hAnsi="Calibri"/>
                <w:b w:val="0"/>
                <w:i/>
                <w:sz w:val="19"/>
              </w:rPr>
              <w:t>(Zhang et al., 2024)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93.5 ± 0.5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88.1 ± 0.5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95.3 ± 0.6</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83.1 ± 0.3</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65.4 ± 0.5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79.4 ± 0.5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84.1\%</w:t>
            </w:r>
          </w:p>
        </w:tc>
      </w:tr>
      <w:tr>
        <w:tc>
          <w:tcPr>
            <w:tcW w:type="dxa" w:w="1040"/>
            <w:tcMar>
              <w:top w:w="100" w:type="dxa"/>
              <w:bottom w:w="100" w:type="dxa"/>
              <w:left w:w="130" w:type="dxa"/>
              <w:right w:w="130" w:type="dxa"/>
            </w:tcMar>
          </w:tcPr>
          <w:p>
            <w:pPr>
              <w:spacing w:after="40" w:before="40" w:line="252" w:lineRule="auto"/>
              <w:jc w:val="left"/>
            </w:pPr>
          </w:p>
        </w:tc>
        <w:tc>
          <w:tcPr>
            <w:tcW w:type="dxa" w:w="1040"/>
            <w:tcMar>
              <w:top w:w="100" w:type="dxa"/>
              <w:bottom w:w="100" w:type="dxa"/>
              <w:left w:w="130" w:type="dxa"/>
              <w:right w:w="130" w:type="dxa"/>
            </w:tcMar>
          </w:tcPr>
          <w:p>
            <w:pPr>
              <w:spacing w:after="40" w:before="40" w:line="252" w:lineRule="auto"/>
              <w:jc w:val="center"/>
            </w:pPr>
            <w:r>
              <w:rPr>
                <w:rFonts w:ascii="Calibri" w:hAnsi="Calibri"/>
                <w:b/>
                <w:i w:val="0"/>
                <w:sz w:val="19"/>
              </w:rPr>
              <w:t>AEGNN-M</w:t>
            </w:r>
            <w:r>
              <w:rPr>
                <w:rFonts w:ascii="Calibri" w:hAnsi="Calibri"/>
                <w:b w:val="0"/>
                <w:i w:val="0"/>
                <w:sz w:val="19"/>
              </w:rPr>
              <w:t xml:space="preserve"> </w:t>
            </w:r>
            <w:r>
              <w:rPr>
                <w:rFonts w:ascii="Calibri" w:hAnsi="Calibri"/>
                <w:b w:val="0"/>
                <w:i/>
                <w:sz w:val="19"/>
              </w:rPr>
              <w:t>(Cai et al., 2025)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91.8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85.9 ± 0.6</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91.2 ± 0.8</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82.4 ± 0.4</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64.7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78.1 ± 0.6</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82.4\%</w:t>
            </w:r>
          </w:p>
        </w:tc>
      </w:tr>
      <w:tr>
        <w:tc>
          <w:tcPr>
            <w:tcW w:type="dxa" w:w="1040"/>
            <w:tcMar>
              <w:top w:w="100" w:type="dxa"/>
              <w:bottom w:w="100" w:type="dxa"/>
              <w:left w:w="130" w:type="dxa"/>
              <w:right w:w="130" w:type="dxa"/>
            </w:tcMar>
            <w:shd w:fill="F8FAFC"/>
          </w:tcPr>
          <w:p>
            <w:pPr>
              <w:spacing w:after="40" w:before="40" w:line="252" w:lineRule="auto"/>
              <w:jc w:val="left"/>
            </w:pP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i w:val="0"/>
                <w:sz w:val="19"/>
              </w:rPr>
              <w:t>PG-DERN</w:t>
            </w:r>
            <w:r>
              <w:rPr>
                <w:rFonts w:ascii="Calibri" w:hAnsi="Calibri"/>
                <w:b w:val="0"/>
                <w:i w:val="0"/>
                <w:sz w:val="19"/>
              </w:rPr>
              <w:t xml:space="preserve"> </w:t>
            </w:r>
            <w:r>
              <w:rPr>
                <w:rFonts w:ascii="Calibri" w:hAnsi="Calibri"/>
                <w:b w:val="0"/>
                <w:i/>
                <w:sz w:val="19"/>
              </w:rPr>
              <w:t>(Zhang et al., 2025)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92.9 ± 0.5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87.6 ± 0.6</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94.5 ± 0.7</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83.3 ± 0.3</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65.8 ± 0.5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79.8 ± 0.5</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84.0\%</w:t>
            </w:r>
          </w:p>
        </w:tc>
      </w:tr>
      <w:tr>
        <w:tc>
          <w:tcPr>
            <w:tcW w:type="dxa" w:w="1040"/>
            <w:tcMar>
              <w:top w:w="100" w:type="dxa"/>
              <w:bottom w:w="100" w:type="dxa"/>
              <w:left w:w="130" w:type="dxa"/>
              <w:right w:w="130" w:type="dxa"/>
            </w:tcMar>
          </w:tcPr>
          <w:p>
            <w:pPr>
              <w:spacing w:after="40" w:before="40" w:line="252" w:lineRule="auto"/>
              <w:jc w:val="left"/>
            </w:pPr>
          </w:p>
        </w:tc>
        <w:tc>
          <w:tcPr>
            <w:tcW w:type="dxa" w:w="1040"/>
            <w:tcMar>
              <w:top w:w="100" w:type="dxa"/>
              <w:bottom w:w="100" w:type="dxa"/>
              <w:left w:w="130" w:type="dxa"/>
              <w:right w:w="130" w:type="dxa"/>
            </w:tcMar>
          </w:tcPr>
          <w:p>
            <w:pPr>
              <w:spacing w:after="40" w:before="40" w:line="252" w:lineRule="auto"/>
              <w:jc w:val="center"/>
            </w:pPr>
            <w:r>
              <w:rPr>
                <w:rFonts w:ascii="Calibri" w:hAnsi="Calibri"/>
                <w:b/>
                <w:i w:val="0"/>
                <w:sz w:val="19"/>
              </w:rPr>
              <w:t>MMCL</w:t>
            </w:r>
            <w:r>
              <w:rPr>
                <w:rFonts w:ascii="Calibri" w:hAnsi="Calibri"/>
                <w:b w:val="0"/>
                <w:i w:val="0"/>
                <w:sz w:val="19"/>
              </w:rPr>
              <w:t xml:space="preserve"> </w:t>
            </w:r>
            <w:r>
              <w:rPr>
                <w:rFonts w:ascii="Calibri" w:hAnsi="Calibri"/>
                <w:b w:val="0"/>
                <w:i/>
                <w:sz w:val="19"/>
              </w:rPr>
              <w:t>(Gao, 2026)</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94.2 ± 0.4</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88.9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96.1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83.8 ± 0.3</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66.8 ± 0.4</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80.2 ± 0.5</w:t>
            </w:r>
          </w:p>
        </w:tc>
        <w:tc>
          <w:tcPr>
            <w:tcW w:type="dxa" w:w="1040"/>
            <w:tcMar>
              <w:top w:w="100" w:type="dxa"/>
              <w:bottom w:w="100" w:type="dxa"/>
              <w:left w:w="130" w:type="dxa"/>
              <w:right w:w="130" w:type="dxa"/>
            </w:tcMar>
          </w:tcPr>
          <w:p>
            <w:pPr>
              <w:spacing w:after="40" w:before="40" w:line="252" w:lineRule="auto"/>
              <w:jc w:val="center"/>
            </w:pPr>
            <w:r>
              <w:rPr>
                <w:rFonts w:ascii="Calibri" w:hAnsi="Calibri"/>
                <w:b w:val="0"/>
                <w:i w:val="0"/>
                <w:sz w:val="19"/>
              </w:rPr>
              <w:t>85.0\%</w:t>
            </w:r>
          </w:p>
        </w:tc>
      </w:tr>
      <w:tr>
        <w:tc>
          <w:tcPr>
            <w:tcW w:type="dxa" w:w="1040"/>
            <w:tcMar>
              <w:top w:w="100" w:type="dxa"/>
              <w:bottom w:w="100" w:type="dxa"/>
              <w:left w:w="130" w:type="dxa"/>
              <w:right w:w="130" w:type="dxa"/>
            </w:tcMar>
            <w:shd w:fill="F8FAFC"/>
          </w:tcPr>
          <w:p>
            <w:pPr>
              <w:spacing w:after="40" w:before="40" w:line="252" w:lineRule="auto"/>
              <w:jc w:val="left"/>
            </w:pPr>
            <w:r>
              <w:rPr>
                <w:rFonts w:ascii="Calibri" w:hAnsi="Calibri"/>
                <w:b/>
                <w:i w:val="0"/>
                <w:sz w:val="19"/>
              </w:rPr>
              <w:t>Proposed Architecture</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i w:val="0"/>
                <w:sz w:val="19"/>
              </w:rPr>
              <w:t>TriBioNode v2 (Single Model)</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95.1 ± 0.4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89.8 ± 0.4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96.8 ± 0.4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84.5 ± 0.3</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67.4 ± 0.4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81.0 ± 0.4</w:t>
            </w:r>
          </w:p>
        </w:tc>
        <w:tc>
          <w:tcPr>
            <w:tcW w:type="dxa" w:w="10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85.8\%</w:t>
            </w:r>
          </w:p>
        </w:tc>
      </w:tr>
      <w:tr>
        <w:tc>
          <w:tcPr>
            <w:tcW w:type="dxa" w:w="1040"/>
            <w:tcMar>
              <w:top w:w="100" w:type="dxa"/>
              <w:bottom w:w="100" w:type="dxa"/>
              <w:left w:w="130" w:type="dxa"/>
              <w:right w:w="130" w:type="dxa"/>
            </w:tcMar>
          </w:tcPr>
          <w:p>
            <w:pPr>
              <w:spacing w:after="40" w:before="40" w:line="252" w:lineRule="auto"/>
              <w:jc w:val="left"/>
            </w:pPr>
          </w:p>
        </w:tc>
        <w:tc>
          <w:tcPr>
            <w:tcW w:type="dxa" w:w="1040"/>
            <w:tcMar>
              <w:top w:w="100" w:type="dxa"/>
              <w:bottom w:w="100" w:type="dxa"/>
              <w:left w:w="130" w:type="dxa"/>
              <w:right w:w="130" w:type="dxa"/>
            </w:tcMar>
          </w:tcPr>
          <w:p>
            <w:pPr>
              <w:spacing w:after="40" w:before="40" w:line="252" w:lineRule="auto"/>
              <w:jc w:val="center"/>
            </w:pPr>
            <w:r>
              <w:rPr>
                <w:rFonts w:ascii="Calibri" w:hAnsi="Calibri"/>
                <w:b/>
                <w:i w:val="0"/>
                <w:sz w:val="19"/>
              </w:rPr>
              <w:t>TriBioNode v2 (Deep Ensemble)</w:t>
            </w:r>
          </w:p>
        </w:tc>
        <w:tc>
          <w:tcPr>
            <w:tcW w:type="dxa" w:w="1040"/>
            <w:tcMar>
              <w:top w:w="100" w:type="dxa"/>
              <w:bottom w:w="100" w:type="dxa"/>
              <w:left w:w="130" w:type="dxa"/>
              <w:right w:w="130" w:type="dxa"/>
            </w:tcMar>
          </w:tcPr>
          <w:p>
            <w:pPr>
              <w:spacing w:after="40" w:before="40" w:line="252" w:lineRule="auto"/>
              <w:jc w:val="center"/>
            </w:pPr>
            <w:r>
              <w:rPr>
                <w:rFonts w:ascii="Calibri" w:hAnsi="Calibri"/>
                <w:b/>
                <w:i w:val="0"/>
                <w:sz w:val="19"/>
              </w:rPr>
              <w:t>95.6 ± 0.3</w:t>
            </w:r>
          </w:p>
        </w:tc>
        <w:tc>
          <w:tcPr>
            <w:tcW w:type="dxa" w:w="1040"/>
            <w:tcMar>
              <w:top w:w="100" w:type="dxa"/>
              <w:bottom w:w="100" w:type="dxa"/>
              <w:left w:w="130" w:type="dxa"/>
              <w:right w:w="130" w:type="dxa"/>
            </w:tcMar>
          </w:tcPr>
          <w:p>
            <w:pPr>
              <w:spacing w:after="40" w:before="40" w:line="252" w:lineRule="auto"/>
              <w:jc w:val="center"/>
            </w:pPr>
            <w:r>
              <w:rPr>
                <w:rFonts w:ascii="Calibri" w:hAnsi="Calibri"/>
                <w:b/>
                <w:i w:val="0"/>
                <w:sz w:val="19"/>
              </w:rPr>
              <w:t>90.4 ± 0.3</w:t>
            </w:r>
          </w:p>
        </w:tc>
        <w:tc>
          <w:tcPr>
            <w:tcW w:type="dxa" w:w="1040"/>
            <w:tcMar>
              <w:top w:w="100" w:type="dxa"/>
              <w:bottom w:w="100" w:type="dxa"/>
              <w:left w:w="130" w:type="dxa"/>
              <w:right w:w="130" w:type="dxa"/>
            </w:tcMar>
          </w:tcPr>
          <w:p>
            <w:pPr>
              <w:spacing w:after="40" w:before="40" w:line="252" w:lineRule="auto"/>
              <w:jc w:val="center"/>
            </w:pPr>
            <w:r>
              <w:rPr>
                <w:rFonts w:ascii="Calibri" w:hAnsi="Calibri"/>
                <w:b/>
                <w:i w:val="0"/>
                <w:sz w:val="19"/>
              </w:rPr>
              <w:t>97.4 ± 0.3</w:t>
            </w:r>
          </w:p>
        </w:tc>
        <w:tc>
          <w:tcPr>
            <w:tcW w:type="dxa" w:w="1040"/>
            <w:tcMar>
              <w:top w:w="100" w:type="dxa"/>
              <w:bottom w:w="100" w:type="dxa"/>
              <w:left w:w="130" w:type="dxa"/>
              <w:right w:w="130" w:type="dxa"/>
            </w:tcMar>
          </w:tcPr>
          <w:p>
            <w:pPr>
              <w:spacing w:after="40" w:before="40" w:line="252" w:lineRule="auto"/>
              <w:jc w:val="center"/>
            </w:pPr>
            <w:r>
              <w:rPr>
                <w:rFonts w:ascii="Calibri" w:hAnsi="Calibri"/>
                <w:b/>
                <w:i w:val="0"/>
                <w:sz w:val="19"/>
              </w:rPr>
              <w:t>85.2 ± 0.2</w:t>
            </w:r>
          </w:p>
        </w:tc>
        <w:tc>
          <w:tcPr>
            <w:tcW w:type="dxa" w:w="1040"/>
            <w:tcMar>
              <w:top w:w="100" w:type="dxa"/>
              <w:bottom w:w="100" w:type="dxa"/>
              <w:left w:w="130" w:type="dxa"/>
              <w:right w:w="130" w:type="dxa"/>
            </w:tcMar>
          </w:tcPr>
          <w:p>
            <w:pPr>
              <w:spacing w:after="40" w:before="40" w:line="252" w:lineRule="auto"/>
              <w:jc w:val="center"/>
            </w:pPr>
            <w:r>
              <w:rPr>
                <w:rFonts w:ascii="Calibri" w:hAnsi="Calibri"/>
                <w:b/>
                <w:i w:val="0"/>
                <w:sz w:val="19"/>
              </w:rPr>
              <w:t>68.1 ± 0.3</w:t>
            </w:r>
          </w:p>
        </w:tc>
        <w:tc>
          <w:tcPr>
            <w:tcW w:type="dxa" w:w="1040"/>
            <w:tcMar>
              <w:top w:w="100" w:type="dxa"/>
              <w:bottom w:w="100" w:type="dxa"/>
              <w:left w:w="130" w:type="dxa"/>
              <w:right w:w="130" w:type="dxa"/>
            </w:tcMar>
          </w:tcPr>
          <w:p>
            <w:pPr>
              <w:spacing w:after="40" w:before="40" w:line="252" w:lineRule="auto"/>
              <w:jc w:val="center"/>
            </w:pPr>
            <w:r>
              <w:rPr>
                <w:rFonts w:ascii="Calibri" w:hAnsi="Calibri"/>
                <w:b/>
                <w:i w:val="0"/>
                <w:sz w:val="19"/>
              </w:rPr>
              <w:t>81.7 ± 0.3</w:t>
            </w:r>
          </w:p>
        </w:tc>
        <w:tc>
          <w:tcPr>
            <w:tcW w:type="dxa" w:w="1040"/>
            <w:tcMar>
              <w:top w:w="100" w:type="dxa"/>
              <w:bottom w:w="100" w:type="dxa"/>
              <w:left w:w="130" w:type="dxa"/>
              <w:right w:w="130" w:type="dxa"/>
            </w:tcMar>
          </w:tcPr>
          <w:p>
            <w:pPr>
              <w:spacing w:after="40" w:before="40" w:line="252" w:lineRule="auto"/>
              <w:jc w:val="center"/>
            </w:pPr>
            <w:r>
              <w:rPr>
                <w:rFonts w:ascii="Calibri" w:hAnsi="Calibri"/>
                <w:b/>
                <w:i w:val="0"/>
                <w:sz w:val="19"/>
              </w:rPr>
              <w:t>86.4\%</w:t>
            </w:r>
          </w:p>
        </w:tc>
      </w:tr>
    </w:tbl>
    <w:p>
      <w:pPr>
        <w:spacing w:after="120" w:before="0"/>
      </w:pPr>
    </w:p>
    <w:p>
      <w:pPr>
        <w:keepNext/>
        <w:spacing w:before="200" w:after="60"/>
      </w:pPr>
      <w:r>
        <w:rPr>
          <w:rFonts w:ascii="Calibri" w:hAnsi="Calibri"/>
          <w:b/>
          <w:color w:val="1E293B"/>
          <w:sz w:val="22"/>
        </w:rPr>
        <w:t>Table 2: Comparative Regression Performance on Physical Chemistry &amp; Biophysics Benchmarks (Scaffold Split, RMSE $\downarrow$)</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1337"/>
        <w:gridCol w:w="1337"/>
        <w:gridCol w:w="1337"/>
        <w:gridCol w:w="1337"/>
        <w:gridCol w:w="1337"/>
        <w:gridCol w:w="1337"/>
        <w:gridCol w:w="1337"/>
      </w:tblGrid>
      <w:tr>
        <w:tc>
          <w:tcPr>
            <w:tcW w:type="dxa" w:w="1337"/>
            <w:tcMar>
              <w:top w:w="100" w:type="dxa"/>
              <w:bottom w:w="100" w:type="dxa"/>
              <w:left w:w="130" w:type="dxa"/>
              <w:right w:w="130" w:type="dxa"/>
            </w:tcMar>
            <w:shd w:fill="F1F5F9"/>
          </w:tcPr>
          <w:p>
            <w:pPr>
              <w:spacing w:after="40" w:before="40" w:line="252" w:lineRule="auto"/>
              <w:jc w:val="left"/>
            </w:pPr>
            <w:r>
              <w:rPr>
                <w:rFonts w:ascii="Calibri" w:hAnsi="Calibri"/>
                <w:b/>
                <w:i w:val="0"/>
                <w:sz w:val="19"/>
              </w:rPr>
              <w:t>Model Architecture</w:t>
            </w:r>
          </w:p>
        </w:tc>
        <w:tc>
          <w:tcPr>
            <w:tcW w:type="dxa" w:w="1337"/>
            <w:tcMar>
              <w:top w:w="100" w:type="dxa"/>
              <w:bottom w:w="100" w:type="dxa"/>
              <w:left w:w="130" w:type="dxa"/>
              <w:right w:w="130" w:type="dxa"/>
            </w:tcMar>
            <w:shd w:fill="F1F5F9"/>
          </w:tcPr>
          <w:p>
            <w:pPr>
              <w:spacing w:after="40" w:before="40" w:line="252" w:lineRule="auto"/>
              <w:jc w:val="center"/>
            </w:pPr>
            <w:r>
              <w:rPr>
                <w:rFonts w:ascii="Calibri" w:hAnsi="Calibri"/>
                <w:b/>
                <w:i w:val="0"/>
                <w:sz w:val="19"/>
              </w:rPr>
              <w:t>Delaney ESOL</w:t>
            </w:r>
          </w:p>
        </w:tc>
        <w:tc>
          <w:tcPr>
            <w:tcW w:type="dxa" w:w="1337"/>
            <w:tcMar>
              <w:top w:w="100" w:type="dxa"/>
              <w:bottom w:w="100" w:type="dxa"/>
              <w:left w:w="130" w:type="dxa"/>
              <w:right w:w="130" w:type="dxa"/>
            </w:tcMar>
            <w:shd w:fill="F1F5F9"/>
          </w:tcPr>
          <w:p>
            <w:pPr>
              <w:spacing w:after="40" w:before="40" w:line="252" w:lineRule="auto"/>
              <w:jc w:val="center"/>
            </w:pPr>
            <w:r>
              <w:rPr>
                <w:rFonts w:ascii="Calibri" w:hAnsi="Calibri"/>
                <w:b/>
                <w:i w:val="0"/>
                <w:sz w:val="19"/>
              </w:rPr>
              <w:t>FreeSolv</w:t>
            </w:r>
          </w:p>
        </w:tc>
        <w:tc>
          <w:tcPr>
            <w:tcW w:type="dxa" w:w="1337"/>
            <w:tcMar>
              <w:top w:w="100" w:type="dxa"/>
              <w:bottom w:w="100" w:type="dxa"/>
              <w:left w:w="130" w:type="dxa"/>
              <w:right w:w="130" w:type="dxa"/>
            </w:tcMar>
            <w:shd w:fill="F1F5F9"/>
          </w:tcPr>
          <w:p>
            <w:pPr>
              <w:spacing w:after="40" w:before="40" w:line="252" w:lineRule="auto"/>
              <w:jc w:val="center"/>
            </w:pPr>
            <w:r>
              <w:rPr>
                <w:rFonts w:ascii="Calibri" w:hAnsi="Calibri"/>
                <w:b/>
                <w:i w:val="0"/>
                <w:sz w:val="19"/>
              </w:rPr>
              <w:t>Lipophilicity</w:t>
            </w:r>
          </w:p>
        </w:tc>
        <w:tc>
          <w:tcPr>
            <w:tcW w:type="dxa" w:w="1337"/>
            <w:tcMar>
              <w:top w:w="100" w:type="dxa"/>
              <w:bottom w:w="100" w:type="dxa"/>
              <w:left w:w="130" w:type="dxa"/>
              <w:right w:w="130" w:type="dxa"/>
            </w:tcMar>
            <w:shd w:fill="F1F5F9"/>
          </w:tcPr>
          <w:p>
            <w:pPr>
              <w:spacing w:after="40" w:before="40" w:line="252" w:lineRule="auto"/>
              <w:jc w:val="center"/>
            </w:pPr>
            <w:r>
              <w:rPr>
                <w:rFonts w:ascii="Calibri" w:hAnsi="Calibri"/>
                <w:b/>
                <w:i w:val="0"/>
                <w:sz w:val="19"/>
              </w:rPr>
              <w:t>QM8</w:t>
            </w:r>
          </w:p>
        </w:tc>
        <w:tc>
          <w:tcPr>
            <w:tcW w:type="dxa" w:w="1337"/>
            <w:tcMar>
              <w:top w:w="100" w:type="dxa"/>
              <w:bottom w:w="100" w:type="dxa"/>
              <w:left w:w="130" w:type="dxa"/>
              <w:right w:w="130" w:type="dxa"/>
            </w:tcMar>
            <w:shd w:fill="F1F5F9"/>
          </w:tcPr>
          <w:p>
            <w:pPr>
              <w:spacing w:after="40" w:before="40" w:line="252" w:lineRule="auto"/>
              <w:jc w:val="center"/>
            </w:pPr>
            <w:r>
              <w:rPr>
                <w:rFonts w:ascii="Calibri" w:hAnsi="Calibri"/>
                <w:b/>
                <w:i w:val="0"/>
                <w:sz w:val="19"/>
              </w:rPr>
              <w:t>QM9 (</w:t>
            </w:r>
            <w:r>
              <w:rPr>
                <w:rFonts w:ascii="Cambria Math" w:hAnsi="Cambria Math"/>
                <w:i/>
                <w:sz w:val="19"/>
              </w:rPr>
              <w:t>\epsilon_{\text{gap}}</w:t>
            </w:r>
            <w:r>
              <w:rPr>
                <w:rFonts w:ascii="Calibri" w:hAnsi="Calibri"/>
                <w:b/>
                <w:i w:val="0"/>
                <w:sz w:val="19"/>
              </w:rPr>
              <w:t>)</w:t>
            </w:r>
          </w:p>
        </w:tc>
        <w:tc>
          <w:tcPr>
            <w:tcW w:type="dxa" w:w="1337"/>
            <w:tcMar>
              <w:top w:w="100" w:type="dxa"/>
              <w:bottom w:w="100" w:type="dxa"/>
              <w:left w:w="130" w:type="dxa"/>
              <w:right w:w="130" w:type="dxa"/>
            </w:tcMar>
            <w:shd w:fill="F1F5F9"/>
          </w:tcPr>
          <w:p>
            <w:pPr>
              <w:spacing w:after="40" w:before="40" w:line="252" w:lineRule="auto"/>
              <w:jc w:val="center"/>
            </w:pPr>
            <w:r>
              <w:rPr>
                <w:rFonts w:ascii="Calibri" w:hAnsi="Calibri"/>
                <w:b/>
                <w:i w:val="0"/>
                <w:sz w:val="19"/>
              </w:rPr>
              <w:t>Average Rank</w:t>
            </w:r>
          </w:p>
        </w:tc>
      </w:tr>
      <w:tr>
        <w:tc>
          <w:tcPr>
            <w:tcW w:type="dxa" w:w="1337"/>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Random Forest (ECFP4)</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1.082 ± 0.045</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2.140 ± 0.092</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0.892 ± 0.031</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0.0342 ± 0.0012</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0.0712 ± 0.0020</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12.0</w:t>
            </w:r>
          </w:p>
        </w:tc>
      </w:tr>
      <w:tr>
        <w:tc>
          <w:tcPr>
            <w:tcW w:type="dxa" w:w="1337"/>
            <w:tcMar>
              <w:top w:w="100" w:type="dxa"/>
              <w:bottom w:w="100" w:type="dxa"/>
              <w:left w:w="130" w:type="dxa"/>
              <w:right w:w="130" w:type="dxa"/>
            </w:tcMar>
          </w:tcPr>
          <w:p>
            <w:pPr>
              <w:spacing w:after="40" w:before="40" w:line="252" w:lineRule="auto"/>
              <w:jc w:val="left"/>
            </w:pPr>
            <w:r>
              <w:rPr>
                <w:rFonts w:ascii="Calibri" w:hAnsi="Calibri"/>
                <w:b w:val="0"/>
                <w:i w:val="0"/>
                <w:sz w:val="19"/>
              </w:rPr>
              <w:t>ChemBERTa-2</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0.784 ± 0.032</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1.420 ± 0.065</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0.742 ± 0.024</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0.0245 ± 0.0008</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0.0541 ± 0.0015</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10.4</w:t>
            </w:r>
          </w:p>
        </w:tc>
      </w:tr>
      <w:tr>
        <w:tc>
          <w:tcPr>
            <w:tcW w:type="dxa" w:w="1337"/>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D-MPNN</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0.672 ± 0.025</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1.050 ± 0.048</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0.655 ± 0.020</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0.0182 ± 0.0006</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0.0468 ± 0.0012</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8.2</w:t>
            </w:r>
          </w:p>
        </w:tc>
      </w:tr>
      <w:tr>
        <w:tc>
          <w:tcPr>
            <w:tcW w:type="dxa" w:w="1337"/>
            <w:tcMar>
              <w:top w:w="100" w:type="dxa"/>
              <w:bottom w:w="100" w:type="dxa"/>
              <w:left w:w="130" w:type="dxa"/>
              <w:right w:w="130" w:type="dxa"/>
            </w:tcMar>
          </w:tcPr>
          <w:p>
            <w:pPr>
              <w:spacing w:after="40" w:before="40" w:line="252" w:lineRule="auto"/>
              <w:jc w:val="left"/>
            </w:pPr>
            <w:r>
              <w:rPr>
                <w:rFonts w:ascii="Calibri" w:hAnsi="Calibri"/>
                <w:b w:val="0"/>
                <w:i w:val="0"/>
                <w:sz w:val="19"/>
              </w:rPr>
              <w:t>SchNet (3D)</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0.712 ± 0.028</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1.180 ± 0.052</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0.684 ± 0.022</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0.0142 ± 0.0005</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0.0382 ± 0.0009</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7.8</w:t>
            </w:r>
          </w:p>
        </w:tc>
      </w:tr>
      <w:tr>
        <w:tc>
          <w:tcPr>
            <w:tcW w:type="dxa" w:w="1337"/>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DimeNet++ (3D)</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0.648 ± 0.022</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0.992 ± 0.041</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0.628 ± 0.018</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0.0118 ± 0.0004</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0.0324 ± 0.0008</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6.0</w:t>
            </w:r>
          </w:p>
        </w:tc>
      </w:tr>
      <w:tr>
        <w:tc>
          <w:tcPr>
            <w:tcW w:type="dxa" w:w="1337"/>
            <w:tcMar>
              <w:top w:w="100" w:type="dxa"/>
              <w:bottom w:w="100" w:type="dxa"/>
              <w:left w:w="130" w:type="dxa"/>
              <w:right w:w="130" w:type="dxa"/>
            </w:tcMar>
          </w:tcPr>
          <w:p>
            <w:pPr>
              <w:spacing w:after="40" w:before="40" w:line="252" w:lineRule="auto"/>
              <w:jc w:val="left"/>
            </w:pPr>
            <w:r>
              <w:rPr>
                <w:rFonts w:ascii="Calibri" w:hAnsi="Calibri"/>
                <w:b/>
                <w:i w:val="0"/>
                <w:sz w:val="19"/>
              </w:rPr>
              <w:t>MSGG</w:t>
            </w:r>
            <w:r>
              <w:rPr>
                <w:rFonts w:ascii="Calibri" w:hAnsi="Calibri"/>
                <w:b w:val="0"/>
                <w:i w:val="0"/>
                <w:sz w:val="19"/>
              </w:rPr>
              <w:t xml:space="preserve"> </w:t>
            </w:r>
            <w:r>
              <w:rPr>
                <w:rFonts w:ascii="Calibri" w:hAnsi="Calibri"/>
                <w:b w:val="0"/>
                <w:i/>
                <w:sz w:val="19"/>
              </w:rPr>
              <w:t>(Wang et al., 2020)</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0.685 ± 0.026</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1.042 ± 0.045</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0.662 ± 0.021</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0.0195 ± 0.0007</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0.0485 ± 0.0013</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8.6</w:t>
            </w:r>
          </w:p>
        </w:tc>
      </w:tr>
      <w:tr>
        <w:tc>
          <w:tcPr>
            <w:tcW w:type="dxa" w:w="1337"/>
            <w:tcMar>
              <w:top w:w="100" w:type="dxa"/>
              <w:bottom w:w="100" w:type="dxa"/>
              <w:left w:w="130" w:type="dxa"/>
              <w:right w:w="130" w:type="dxa"/>
            </w:tcMar>
            <w:shd w:fill="F8FAFC"/>
          </w:tcPr>
          <w:p>
            <w:pPr>
              <w:spacing w:after="40" w:before="40" w:line="252" w:lineRule="auto"/>
              <w:jc w:val="left"/>
            </w:pPr>
            <w:r>
              <w:rPr>
                <w:rFonts w:ascii="Calibri" w:hAnsi="Calibri"/>
                <w:b/>
                <w:i w:val="0"/>
                <w:sz w:val="19"/>
              </w:rPr>
              <w:t>DV-IS</w:t>
            </w:r>
            <w:r>
              <w:rPr>
                <w:rFonts w:ascii="Calibri" w:hAnsi="Calibri"/>
                <w:b w:val="0"/>
                <w:i w:val="0"/>
                <w:sz w:val="19"/>
              </w:rPr>
              <w:t xml:space="preserve"> </w:t>
            </w:r>
            <w:r>
              <w:rPr>
                <w:rFonts w:ascii="Calibri" w:hAnsi="Calibri"/>
                <w:b w:val="0"/>
                <w:i/>
                <w:sz w:val="19"/>
              </w:rPr>
              <w:t>(Zhang et al., 2024)</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0.684 ± 0.025</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1.120 ± 0.050</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0.651 ± 0.020</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0.0210 ± 0.0007</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0.0492 ± 0.0014</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8.8</w:t>
            </w:r>
          </w:p>
        </w:tc>
      </w:tr>
      <w:tr>
        <w:tc>
          <w:tcPr>
            <w:tcW w:type="dxa" w:w="1337"/>
            <w:tcMar>
              <w:top w:w="100" w:type="dxa"/>
              <w:bottom w:w="100" w:type="dxa"/>
              <w:left w:w="130" w:type="dxa"/>
              <w:right w:w="130" w:type="dxa"/>
            </w:tcMar>
          </w:tcPr>
          <w:p>
            <w:pPr>
              <w:spacing w:after="40" w:before="40" w:line="252" w:lineRule="auto"/>
              <w:jc w:val="left"/>
            </w:pPr>
            <w:r>
              <w:rPr>
                <w:rFonts w:ascii="Calibri" w:hAnsi="Calibri"/>
                <w:b/>
                <w:i w:val="0"/>
                <w:sz w:val="19"/>
              </w:rPr>
              <w:t>AEGNN-M</w:t>
            </w:r>
            <w:r>
              <w:rPr>
                <w:rFonts w:ascii="Calibri" w:hAnsi="Calibri"/>
                <w:b w:val="0"/>
                <w:i w:val="0"/>
                <w:sz w:val="19"/>
              </w:rPr>
              <w:t xml:space="preserve"> </w:t>
            </w:r>
            <w:r>
              <w:rPr>
                <w:rFonts w:ascii="Calibri" w:hAnsi="Calibri"/>
                <w:b w:val="0"/>
                <w:i/>
                <w:sz w:val="19"/>
              </w:rPr>
              <w:t>(Cai et al., 2025)</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0.612 ± 0.021</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0.984 ± 0.038</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0.635 ± 0.019</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0.0125 ± 0.0004</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0.0341 ± 0.0009</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5.2</w:t>
            </w:r>
          </w:p>
        </w:tc>
      </w:tr>
      <w:tr>
        <w:tc>
          <w:tcPr>
            <w:tcW w:type="dxa" w:w="1337"/>
            <w:tcMar>
              <w:top w:w="100" w:type="dxa"/>
              <w:bottom w:w="100" w:type="dxa"/>
              <w:left w:w="130" w:type="dxa"/>
              <w:right w:w="130" w:type="dxa"/>
            </w:tcMar>
            <w:shd w:fill="F8FAFC"/>
          </w:tcPr>
          <w:p>
            <w:pPr>
              <w:spacing w:after="40" w:before="40" w:line="252" w:lineRule="auto"/>
              <w:jc w:val="left"/>
            </w:pPr>
            <w:r>
              <w:rPr>
                <w:rFonts w:ascii="Calibri" w:hAnsi="Calibri"/>
                <w:b/>
                <w:i w:val="0"/>
                <w:sz w:val="19"/>
              </w:rPr>
              <w:t>MvMRL</w:t>
            </w:r>
            <w:r>
              <w:rPr>
                <w:rFonts w:ascii="Calibri" w:hAnsi="Calibri"/>
                <w:b w:val="0"/>
                <w:i w:val="0"/>
                <w:sz w:val="19"/>
              </w:rPr>
              <w:t xml:space="preserve"> </w:t>
            </w:r>
            <w:r>
              <w:rPr>
                <w:rFonts w:ascii="Calibri" w:hAnsi="Calibri"/>
                <w:b w:val="0"/>
                <w:i/>
                <w:sz w:val="19"/>
              </w:rPr>
              <w:t>(Zhang et al., 2024)</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0.628 ± 0.020</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0.832 ± 0.032</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0.612 ± 0.018</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0.0154 ± 0.0005</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0.0398 ± 0.0010</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5.0</w:t>
            </w:r>
          </w:p>
        </w:tc>
      </w:tr>
      <w:tr>
        <w:tc>
          <w:tcPr>
            <w:tcW w:type="dxa" w:w="1337"/>
            <w:tcMar>
              <w:top w:w="100" w:type="dxa"/>
              <w:bottom w:w="100" w:type="dxa"/>
              <w:left w:w="130" w:type="dxa"/>
              <w:right w:w="130" w:type="dxa"/>
            </w:tcMar>
          </w:tcPr>
          <w:p>
            <w:pPr>
              <w:spacing w:after="40" w:before="40" w:line="252" w:lineRule="auto"/>
              <w:jc w:val="left"/>
            </w:pPr>
            <w:r>
              <w:rPr>
                <w:rFonts w:ascii="Calibri" w:hAnsi="Calibri"/>
                <w:b/>
                <w:i w:val="0"/>
                <w:sz w:val="19"/>
              </w:rPr>
              <w:t>MMCL</w:t>
            </w:r>
            <w:r>
              <w:rPr>
                <w:rFonts w:ascii="Calibri" w:hAnsi="Calibri"/>
                <w:b w:val="0"/>
                <w:i w:val="0"/>
                <w:sz w:val="19"/>
              </w:rPr>
              <w:t xml:space="preserve"> </w:t>
            </w:r>
            <w:r>
              <w:rPr>
                <w:rFonts w:ascii="Calibri" w:hAnsi="Calibri"/>
                <w:b w:val="0"/>
                <w:i/>
                <w:sz w:val="19"/>
              </w:rPr>
              <w:t>(Gao, 2026)</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0.578 ± 0.018</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0.812 ± 0.030</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0.589 ± 0.016</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0.0148 ± 0.0005</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0.0385 ± 0.0010</w:t>
            </w:r>
          </w:p>
        </w:tc>
        <w:tc>
          <w:tcPr>
            <w:tcW w:type="dxa" w:w="1337"/>
            <w:tcMar>
              <w:top w:w="100" w:type="dxa"/>
              <w:bottom w:w="100" w:type="dxa"/>
              <w:left w:w="130" w:type="dxa"/>
              <w:right w:w="130" w:type="dxa"/>
            </w:tcMar>
          </w:tcPr>
          <w:p>
            <w:pPr>
              <w:spacing w:after="40" w:before="40" w:line="252" w:lineRule="auto"/>
              <w:jc w:val="center"/>
            </w:pPr>
            <w:r>
              <w:rPr>
                <w:rFonts w:ascii="Calibri" w:hAnsi="Calibri"/>
                <w:b w:val="0"/>
                <w:i w:val="0"/>
                <w:sz w:val="19"/>
              </w:rPr>
              <w:t>4.0</w:t>
            </w:r>
          </w:p>
        </w:tc>
      </w:tr>
      <w:tr>
        <w:tc>
          <w:tcPr>
            <w:tcW w:type="dxa" w:w="1337"/>
            <w:tcMar>
              <w:top w:w="100" w:type="dxa"/>
              <w:bottom w:w="100" w:type="dxa"/>
              <w:left w:w="130" w:type="dxa"/>
              <w:right w:w="130" w:type="dxa"/>
            </w:tcMar>
            <w:shd w:fill="F8FAFC"/>
          </w:tcPr>
          <w:p>
            <w:pPr>
              <w:spacing w:after="40" w:before="40" w:line="252" w:lineRule="auto"/>
              <w:jc w:val="left"/>
            </w:pPr>
            <w:r>
              <w:rPr>
                <w:rFonts w:ascii="Calibri" w:hAnsi="Calibri"/>
                <w:b/>
                <w:i w:val="0"/>
                <w:sz w:val="19"/>
              </w:rPr>
              <w:t>TriBioNode v2 (Proposed)</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i w:val="0"/>
                <w:sz w:val="19"/>
              </w:rPr>
              <w:t>0.542 ± 0.014</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i w:val="0"/>
                <w:sz w:val="19"/>
              </w:rPr>
              <w:t>0.741 ± 0.022</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i w:val="0"/>
                <w:sz w:val="19"/>
              </w:rPr>
              <w:t>0.548 ± 0.012</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i w:val="0"/>
                <w:sz w:val="19"/>
              </w:rPr>
              <w:t>0.0098 ± 0.0003</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i w:val="0"/>
                <w:sz w:val="19"/>
              </w:rPr>
              <w:t>0.0274 ± 0.0006</w:t>
            </w:r>
          </w:p>
        </w:tc>
        <w:tc>
          <w:tcPr>
            <w:tcW w:type="dxa" w:w="1337"/>
            <w:tcMar>
              <w:top w:w="100" w:type="dxa"/>
              <w:bottom w:w="100" w:type="dxa"/>
              <w:left w:w="130" w:type="dxa"/>
              <w:right w:w="130" w:type="dxa"/>
            </w:tcMar>
            <w:shd w:fill="F8FAFC"/>
          </w:tcPr>
          <w:p>
            <w:pPr>
              <w:spacing w:after="40" w:before="40" w:line="252" w:lineRule="auto"/>
              <w:jc w:val="center"/>
            </w:pPr>
            <w:r>
              <w:rPr>
                <w:rFonts w:ascii="Calibri" w:hAnsi="Calibri"/>
                <w:b/>
                <w:i w:val="0"/>
                <w:sz w:val="19"/>
              </w:rPr>
              <w:t>1.0</w:t>
            </w:r>
          </w:p>
        </w:tc>
      </w:tr>
    </w:tbl>
    <w:p>
      <w:pPr>
        <w:spacing w:after="120" w:before="0"/>
      </w:pPr>
    </w:p>
    <w:p>
      <w:pPr>
        <w:keepNext/>
        <w:spacing w:before="200" w:after="60"/>
      </w:pPr>
      <w:r>
        <w:rPr>
          <w:rFonts w:ascii="Calibri" w:hAnsi="Calibri"/>
          <w:b/>
          <w:color w:val="1E293B"/>
          <w:sz w:val="22"/>
        </w:rPr>
        <w:t>Table 3: Extended Evaluation on Therapeutics Data Commons (TDC) ADMET Benchmarks</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F1F5F9"/>
          </w:tcPr>
          <w:p>
            <w:pPr>
              <w:spacing w:after="40" w:before="40" w:line="252" w:lineRule="auto"/>
              <w:jc w:val="left"/>
            </w:pPr>
            <w:r>
              <w:rPr>
                <w:rFonts w:ascii="Calibri" w:hAnsi="Calibri"/>
                <w:b/>
                <w:i w:val="0"/>
                <w:sz w:val="19"/>
              </w:rPr>
              <w:t>Model Architecture</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 xml:space="preserve">Ames Mutagenicity (ROC-AUC \% </w:t>
            </w:r>
            <w:r>
              <w:rPr>
                <w:rFonts w:ascii="Cambria Math" w:hAnsi="Cambria Math"/>
                <w:i/>
                <w:sz w:val="19"/>
              </w:rPr>
              <w:t>\uparrow</w:t>
            </w:r>
            <w:r>
              <w:rPr>
                <w:rFonts w:ascii="Calibri" w:hAnsi="Calibri"/>
                <w:b/>
                <w:i w:val="0"/>
                <w:sz w:val="19"/>
              </w:rPr>
              <w:t>)</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 xml:space="preserve">CYP3A4 Veith (ROC-AUC \% </w:t>
            </w:r>
            <w:r>
              <w:rPr>
                <w:rFonts w:ascii="Cambria Math" w:hAnsi="Cambria Math"/>
                <w:i/>
                <w:sz w:val="19"/>
              </w:rPr>
              <w:t>\uparrow</w:t>
            </w:r>
            <w:r>
              <w:rPr>
                <w:rFonts w:ascii="Calibri" w:hAnsi="Calibri"/>
                <w:b/>
                <w:i w:val="0"/>
                <w:sz w:val="19"/>
              </w:rPr>
              <w:t>)</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 xml:space="preserve">hERG Central (ROC-AUC \% </w:t>
            </w:r>
            <w:r>
              <w:rPr>
                <w:rFonts w:ascii="Cambria Math" w:hAnsi="Cambria Math"/>
                <w:i/>
                <w:sz w:val="19"/>
              </w:rPr>
              <w:t>\uparrow</w:t>
            </w:r>
            <w:r>
              <w:rPr>
                <w:rFonts w:ascii="Calibri" w:hAnsi="Calibri"/>
                <w:b/>
                <w:i w:val="0"/>
                <w:sz w:val="19"/>
              </w:rPr>
              <w:t>)</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 xml:space="preserve">AqSolDB (RMSE </w:t>
            </w:r>
            <w:r>
              <w:rPr>
                <w:rFonts w:ascii="Cambria Math" w:hAnsi="Cambria Math"/>
                <w:i/>
                <w:sz w:val="19"/>
              </w:rPr>
              <w:t>\downarrow</w:t>
            </w:r>
            <w:r>
              <w:rPr>
                <w:rFonts w:ascii="Calibri" w:hAnsi="Calibri"/>
                <w:b/>
                <w:i w:val="0"/>
                <w:sz w:val="19"/>
              </w:rPr>
              <w:t>)</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 xml:space="preserve">Caco-2 Wang (MAE </w:t>
            </w:r>
            <w:r>
              <w:rPr>
                <w:rFonts w:ascii="Cambria Math" w:hAnsi="Cambria Math"/>
                <w:i/>
                <w:sz w:val="19"/>
              </w:rPr>
              <w:t>\downarrow</w:t>
            </w:r>
            <w:r>
              <w:rPr>
                <w:rFonts w:ascii="Calibri" w:hAnsi="Calibri"/>
                <w:b/>
                <w:i w:val="0"/>
                <w:sz w:val="19"/>
              </w:rPr>
              <w:t>)</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ChemBERTa-2</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81.2 ± 0.6</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83.4 ± 0.5</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80.5 ± 0.7</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1.124 ± 0.035</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0.384 ± 0.012</w:t>
            </w:r>
          </w:p>
        </w:tc>
      </w:tr>
      <w:tr>
        <w:tc>
          <w:tcPr>
            <w:tcW w:type="dxa" w:w="1560"/>
            <w:tcMar>
              <w:top w:w="100" w:type="dxa"/>
              <w:bottom w:w="100" w:type="dxa"/>
              <w:left w:w="130" w:type="dxa"/>
              <w:right w:w="130" w:type="dxa"/>
            </w:tcMar>
          </w:tcPr>
          <w:p>
            <w:pPr>
              <w:spacing w:after="40" w:before="40" w:line="252" w:lineRule="auto"/>
              <w:jc w:val="left"/>
            </w:pPr>
            <w:r>
              <w:rPr>
                <w:rFonts w:ascii="Calibri" w:hAnsi="Calibri"/>
                <w:b w:val="0"/>
                <w:i w:val="0"/>
                <w:sz w:val="19"/>
              </w:rPr>
              <w:t>D-MPNN</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83.5 ± 0.5</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85.8 ± 0.4</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82.9 ± 0.5</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0.982 ± 0.028</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0.342 ± 0.010</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MvMRL</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85.4 ± 0.4</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87.2 ± 0.4</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84.8 ± 0.5</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0.895 ± 0.024</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0.318 ± 0.009</w:t>
            </w:r>
          </w:p>
        </w:tc>
      </w:tr>
      <w:tr>
        <w:tc>
          <w:tcPr>
            <w:tcW w:type="dxa" w:w="1560"/>
            <w:tcMar>
              <w:top w:w="100" w:type="dxa"/>
              <w:bottom w:w="100" w:type="dxa"/>
              <w:left w:w="130" w:type="dxa"/>
              <w:right w:w="130" w:type="dxa"/>
            </w:tcMar>
          </w:tcPr>
          <w:p>
            <w:pPr>
              <w:spacing w:after="40" w:before="40" w:line="252" w:lineRule="auto"/>
              <w:jc w:val="left"/>
            </w:pPr>
            <w:r>
              <w:rPr>
                <w:rFonts w:ascii="Calibri" w:hAnsi="Calibri"/>
                <w:b w:val="0"/>
                <w:i w:val="0"/>
                <w:sz w:val="19"/>
              </w:rPr>
              <w:t>MMCL</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86.8 ± 0.4</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88.5 ± 0.3</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86.1 ± 0.4</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0.841 ± 0.021</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0.298 ± 0.008</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i w:val="0"/>
                <w:sz w:val="19"/>
              </w:rPr>
              <w:t>TriBioNode v2 (Ours)</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i w:val="0"/>
                <w:sz w:val="19"/>
              </w:rPr>
              <w:t>88.9 ± 0.3</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i w:val="0"/>
                <w:sz w:val="19"/>
              </w:rPr>
              <w:t>90.8 ± 0.3</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i w:val="0"/>
                <w:sz w:val="19"/>
              </w:rPr>
              <w:t>88.4 ± 0.3</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i w:val="0"/>
                <w:sz w:val="19"/>
              </w:rPr>
              <w:t>0.772 ± 0.016</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i w:val="0"/>
                <w:sz w:val="19"/>
              </w:rPr>
              <w:t>0.264 ± 0.006</w:t>
            </w:r>
          </w:p>
        </w:tc>
      </w:tr>
    </w:tbl>
    <w:p>
      <w:pPr>
        <w:spacing w:after="120" w:before="0"/>
      </w:pPr>
    </w:p>
    <w:p>
      <w:pPr>
        <w:keepNext/>
        <w:spacing w:before="260" w:after="80"/>
      </w:pPr>
      <w:r>
        <w:rPr>
          <w:rFonts w:ascii="Calibri" w:hAnsi="Calibri"/>
          <w:b/>
          <w:color w:val="2563EB"/>
          <w:sz w:val="24"/>
        </w:rPr>
        <w:t>3.3 Systematic Architectural &amp; Modality Ablation Study</w:t>
      </w:r>
    </w:p>
    <w:p>
      <w:pPr>
        <w:spacing w:before="0" w:after="100" w:line="283" w:lineRule="auto"/>
      </w:pPr>
      <w:r>
        <w:rPr>
          <w:rFonts w:ascii="Calibri" w:hAnsi="Calibri"/>
          <w:b w:val="0"/>
          <w:i w:val="0"/>
          <w:sz w:val="22"/>
        </w:rPr>
        <w:t>To systematically determine the individual empirical contribution of every architectural component in TriBioNode v2, we performed comprehensive ablation experiments across both classification (BBBP, BACE) and regression (ESOL, FreeSolv) tasks.</w:t>
      </w:r>
    </w:p>
    <w:p>
      <w:pPr>
        <w:keepNext/>
        <w:spacing w:before="200" w:after="60"/>
      </w:pPr>
      <w:r>
        <w:rPr>
          <w:rFonts w:ascii="Calibri" w:hAnsi="Calibri"/>
          <w:b/>
          <w:color w:val="1E293B"/>
          <w:sz w:val="22"/>
        </w:rPr>
        <w:t>Table 4: Multi-Factor Ablation Analysis of TriBioNode v2</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F1F5F9"/>
          </w:tcPr>
          <w:p>
            <w:pPr>
              <w:spacing w:after="40" w:before="40" w:line="252" w:lineRule="auto"/>
              <w:jc w:val="left"/>
            </w:pPr>
            <w:r>
              <w:rPr>
                <w:rFonts w:ascii="Calibri" w:hAnsi="Calibri"/>
                <w:b/>
                <w:i w:val="0"/>
                <w:sz w:val="19"/>
              </w:rPr>
              <w:t>Experiment ID</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Architecture Configuration Tested</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 xml:space="preserve">BBBP (ROC-AUC \% </w:t>
            </w:r>
            <w:r>
              <w:rPr>
                <w:rFonts w:ascii="Cambria Math" w:hAnsi="Cambria Math"/>
                <w:i/>
                <w:sz w:val="19"/>
              </w:rPr>
              <w:t>\uparrow</w:t>
            </w:r>
            <w:r>
              <w:rPr>
                <w:rFonts w:ascii="Calibri" w:hAnsi="Calibri"/>
                <w:b/>
                <w:i w:val="0"/>
                <w:sz w:val="19"/>
              </w:rPr>
              <w:t>)</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 xml:space="preserve">BACE (ROC-AUC \% </w:t>
            </w:r>
            <w:r>
              <w:rPr>
                <w:rFonts w:ascii="Cambria Math" w:hAnsi="Cambria Math"/>
                <w:i/>
                <w:sz w:val="19"/>
              </w:rPr>
              <w:t>\uparrow</w:t>
            </w:r>
            <w:r>
              <w:rPr>
                <w:rFonts w:ascii="Calibri" w:hAnsi="Calibri"/>
                <w:b/>
                <w:i w:val="0"/>
                <w:sz w:val="19"/>
              </w:rPr>
              <w:t>)</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 xml:space="preserve">ESOL (RMSE </w:t>
            </w:r>
            <w:r>
              <w:rPr>
                <w:rFonts w:ascii="Cambria Math" w:hAnsi="Cambria Math"/>
                <w:i/>
                <w:sz w:val="19"/>
              </w:rPr>
              <w:t>\downarrow</w:t>
            </w:r>
            <w:r>
              <w:rPr>
                <w:rFonts w:ascii="Calibri" w:hAnsi="Calibri"/>
                <w:b/>
                <w:i w:val="0"/>
                <w:sz w:val="19"/>
              </w:rPr>
              <w:t>)</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 xml:space="preserve">FreeSolv (RMSE </w:t>
            </w:r>
            <w:r>
              <w:rPr>
                <w:rFonts w:ascii="Cambria Math" w:hAnsi="Cambria Math"/>
                <w:i/>
                <w:sz w:val="19"/>
              </w:rPr>
              <w:t>\downarrow</w:t>
            </w:r>
            <w:r>
              <w:rPr>
                <w:rFonts w:ascii="Calibri" w:hAnsi="Calibri"/>
                <w:b/>
                <w:i w:val="0"/>
                <w:sz w:val="19"/>
              </w:rPr>
              <w:t>)</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i w:val="0"/>
                <w:sz w:val="19"/>
              </w:rPr>
              <w:t>A1</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View 1 Only (1D ChemBERTa Language)</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89.6 ± 0.6</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84.1 ± 0.7</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0.784 ± 0.032</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1.420 ± 0.065</w:t>
            </w:r>
          </w:p>
        </w:tc>
      </w:tr>
      <w:tr>
        <w:tc>
          <w:tcPr>
            <w:tcW w:type="dxa" w:w="1560"/>
            <w:tcMar>
              <w:top w:w="100" w:type="dxa"/>
              <w:bottom w:w="100" w:type="dxa"/>
              <w:left w:w="130" w:type="dxa"/>
              <w:right w:w="130" w:type="dxa"/>
            </w:tcMar>
          </w:tcPr>
          <w:p>
            <w:pPr>
              <w:spacing w:after="40" w:before="40" w:line="252" w:lineRule="auto"/>
              <w:jc w:val="left"/>
            </w:pPr>
            <w:r>
              <w:rPr>
                <w:rFonts w:ascii="Calibri" w:hAnsi="Calibri"/>
                <w:b/>
                <w:i w:val="0"/>
                <w:sz w:val="19"/>
              </w:rPr>
              <w:t>A2</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View 2 Only (2D Hierarchical Graph + MSGG)</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91.8 ± 0.5</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86.9 ± 0.6</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0.635 ± 0.022</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0.962 ± 0.040</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i w:val="0"/>
                <w:sz w:val="19"/>
              </w:rPr>
              <w:t>A3</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 xml:space="preserve">View 3 Only (3D </w:t>
            </w:r>
            <w:r>
              <w:rPr>
                <w:rFonts w:ascii="Cambria Math" w:hAnsi="Cambria Math"/>
                <w:i/>
                <w:sz w:val="19"/>
              </w:rPr>
              <w:t>E(3)</w:t>
            </w:r>
            <w:r>
              <w:rPr>
                <w:rFonts w:ascii="Calibri" w:hAnsi="Calibri"/>
                <w:b w:val="0"/>
                <w:i w:val="0"/>
                <w:sz w:val="19"/>
              </w:rPr>
              <w:t>-Equivariant EGNN)</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88.2 ± 0.7</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82.5 ± 0.8</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0.648 ± 0.025</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0.995 ± 0.044</w:t>
            </w:r>
          </w:p>
        </w:tc>
      </w:tr>
      <w:tr>
        <w:tc>
          <w:tcPr>
            <w:tcW w:type="dxa" w:w="1560"/>
            <w:tcMar>
              <w:top w:w="100" w:type="dxa"/>
              <w:bottom w:w="100" w:type="dxa"/>
              <w:left w:w="130" w:type="dxa"/>
              <w:right w:w="130" w:type="dxa"/>
            </w:tcMar>
          </w:tcPr>
          <w:p>
            <w:pPr>
              <w:spacing w:after="40" w:before="40" w:line="252" w:lineRule="auto"/>
              <w:jc w:val="left"/>
            </w:pPr>
            <w:r>
              <w:rPr>
                <w:rFonts w:ascii="Calibri" w:hAnsi="Calibri"/>
                <w:b/>
                <w:i w:val="0"/>
                <w:sz w:val="19"/>
              </w:rPr>
              <w:t>B1</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Dual-View: View 1 + View 2 (w/o 3D Conformer)</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93.8 ± 0.4</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88.4 ± 0.5</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0.598 ± 0.019</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0.845 ± 0.031</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i w:val="0"/>
                <w:sz w:val="19"/>
              </w:rPr>
              <w:t>B2</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Dual-View: View 2 + View 3 (w/o 1D Language)</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93.1 ± 0.5</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87.8 ± 0.5</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0.565 ± 0.017</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0.792 ± 0.028</w:t>
            </w:r>
          </w:p>
        </w:tc>
      </w:tr>
      <w:tr>
        <w:tc>
          <w:tcPr>
            <w:tcW w:type="dxa" w:w="1560"/>
            <w:tcMar>
              <w:top w:w="100" w:type="dxa"/>
              <w:bottom w:w="100" w:type="dxa"/>
              <w:left w:w="130" w:type="dxa"/>
              <w:right w:w="130" w:type="dxa"/>
            </w:tcMar>
          </w:tcPr>
          <w:p>
            <w:pPr>
              <w:spacing w:after="40" w:before="40" w:line="252" w:lineRule="auto"/>
              <w:jc w:val="left"/>
            </w:pPr>
            <w:r>
              <w:rPr>
                <w:rFonts w:ascii="Calibri" w:hAnsi="Calibri"/>
                <w:b/>
                <w:i w:val="0"/>
                <w:sz w:val="19"/>
              </w:rPr>
              <w:t>B3</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Dual-View: View 1 + View 3 (w/o 2D Graph)</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92.4 ± 0.5</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86.5 ± 0.6</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0.612 ± 0.020</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0.880 ± 0.035</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i w:val="0"/>
                <w:sz w:val="19"/>
              </w:rPr>
              <w:t>C1</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Tri-View w/o 8-Channel MSGG (Standard GIN only)</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94.1 ± 0.4</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88.7 ± 0.4</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0.572 ± 0.016</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0.788 ± 0.026</w:t>
            </w:r>
          </w:p>
        </w:tc>
      </w:tr>
      <w:tr>
        <w:tc>
          <w:tcPr>
            <w:tcW w:type="dxa" w:w="1560"/>
            <w:tcMar>
              <w:top w:w="100" w:type="dxa"/>
              <w:bottom w:w="100" w:type="dxa"/>
              <w:left w:w="130" w:type="dxa"/>
              <w:right w:w="130" w:type="dxa"/>
            </w:tcMar>
          </w:tcPr>
          <w:p>
            <w:pPr>
              <w:spacing w:after="40" w:before="40" w:line="252" w:lineRule="auto"/>
              <w:jc w:val="left"/>
            </w:pPr>
            <w:r>
              <w:rPr>
                <w:rFonts w:ascii="Calibri" w:hAnsi="Calibri"/>
                <w:b/>
                <w:i w:val="0"/>
                <w:sz w:val="19"/>
              </w:rPr>
              <w:t>C2</w:t>
            </w:r>
          </w:p>
        </w:tc>
        <w:tc>
          <w:tcPr>
            <w:tcW w:type="dxa" w:w="1560"/>
            <w:tcMar>
              <w:top w:w="100" w:type="dxa"/>
              <w:bottom w:w="100" w:type="dxa"/>
              <w:left w:w="130" w:type="dxa"/>
              <w:right w:w="130" w:type="dxa"/>
            </w:tcMar>
          </w:tcPr>
          <w:p>
            <w:pPr>
              <w:spacing w:after="40" w:before="40" w:line="252" w:lineRule="auto"/>
              <w:jc w:val="left"/>
            </w:pPr>
            <w:r>
              <w:rPr>
                <w:rFonts w:ascii="Calibri" w:hAnsi="Calibri"/>
                <w:b w:val="0"/>
                <w:i w:val="0"/>
                <w:sz w:val="19"/>
              </w:rPr>
              <w:t>Tri-View w/o BRICS Motif Transformer</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94.4 ± 0.4</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89.0 ± 0.4</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0.564 ± 0.015</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0.775 ± 0.025</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i w:val="0"/>
                <w:sz w:val="19"/>
              </w:rPr>
              <w:t>D1</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Tri-View w/o Contrastive Loss (</w:t>
            </w:r>
            <w:r>
              <w:rPr>
                <w:rFonts w:ascii="Cambria Math" w:hAnsi="Cambria Math"/>
                <w:i/>
                <w:sz w:val="19"/>
              </w:rPr>
              <w:t>\lambda_{\text{CL}} = 0</w:t>
            </w:r>
            <w:r>
              <w:rPr>
                <w:rFonts w:ascii="Calibri" w:hAnsi="Calibri"/>
                <w:b w:val="0"/>
                <w:i w:val="0"/>
                <w:sz w:val="19"/>
              </w:rPr>
              <w:t>)</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94.2 ± 0.4</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88.8 ± 0.5</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0.576 ± 0.017</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0.795 ± 0.027</w:t>
            </w:r>
          </w:p>
        </w:tc>
      </w:tr>
      <w:tr>
        <w:tc>
          <w:tcPr>
            <w:tcW w:type="dxa" w:w="1560"/>
            <w:tcMar>
              <w:top w:w="100" w:type="dxa"/>
              <w:bottom w:w="100" w:type="dxa"/>
              <w:left w:w="130" w:type="dxa"/>
              <w:right w:w="130" w:type="dxa"/>
            </w:tcMar>
          </w:tcPr>
          <w:p>
            <w:pPr>
              <w:spacing w:after="40" w:before="40" w:line="252" w:lineRule="auto"/>
              <w:jc w:val="left"/>
            </w:pPr>
            <w:r>
              <w:rPr>
                <w:rFonts w:ascii="Calibri" w:hAnsi="Calibri"/>
                <w:b/>
                <w:i w:val="0"/>
                <w:sz w:val="19"/>
              </w:rPr>
              <w:t>D2</w:t>
            </w:r>
          </w:p>
        </w:tc>
        <w:tc>
          <w:tcPr>
            <w:tcW w:type="dxa" w:w="1560"/>
            <w:tcMar>
              <w:top w:w="100" w:type="dxa"/>
              <w:bottom w:w="100" w:type="dxa"/>
              <w:left w:w="130" w:type="dxa"/>
              <w:right w:w="130" w:type="dxa"/>
            </w:tcMar>
          </w:tcPr>
          <w:p>
            <w:pPr>
              <w:spacing w:after="40" w:before="40" w:line="252" w:lineRule="auto"/>
              <w:jc w:val="left"/>
            </w:pPr>
            <w:r>
              <w:rPr>
                <w:rFonts w:ascii="Calibri" w:hAnsi="Calibri"/>
                <w:b w:val="0"/>
                <w:i w:val="0"/>
                <w:sz w:val="19"/>
              </w:rPr>
              <w:t>Tri-View w/ Static Fusion (w/o Dynamic Attention Gating)</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94.5 ± 0.4</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89.1 ± 0.4</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0.568 ± 0.016</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0.782 ± 0.025</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i w:val="0"/>
                <w:sz w:val="19"/>
              </w:rPr>
              <w:t>FULL</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i w:val="0"/>
                <w:sz w:val="19"/>
              </w:rPr>
              <w:t>TriBioNode v2 (Complete Architecture)</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i w:val="0"/>
                <w:sz w:val="19"/>
              </w:rPr>
              <w:t>95.6 ± 0.3</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i w:val="0"/>
                <w:sz w:val="19"/>
              </w:rPr>
              <w:t>90.4 ± 0.3</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i w:val="0"/>
                <w:sz w:val="19"/>
              </w:rPr>
              <w:t>0.542 ± 0.014</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i w:val="0"/>
                <w:sz w:val="19"/>
              </w:rPr>
              <w:t>0.741 ± 0.022</w:t>
            </w:r>
          </w:p>
        </w:tc>
      </w:tr>
    </w:tbl>
    <w:p>
      <w:pPr>
        <w:spacing w:after="120" w:before="0"/>
      </w:pPr>
    </w:p>
    <w:p>
      <w:pPr>
        <w:keepNext/>
        <w:spacing w:before="200" w:after="60"/>
      </w:pPr>
      <w:r>
        <w:rPr>
          <w:rFonts w:ascii="Calibri" w:hAnsi="Calibri"/>
          <w:b/>
          <w:color w:val="1E293B"/>
          <w:sz w:val="22"/>
        </w:rPr>
        <w:t>Key Ablation Insights:</w:t>
      </w:r>
    </w:p>
    <w:p>
      <w:pPr>
        <w:pStyle w:val="ListNumber"/>
        <w:spacing w:before="20" w:after="40" w:line="276" w:lineRule="auto"/>
      </w:pPr>
      <w:r>
        <w:rPr>
          <w:rFonts w:ascii="Calibri" w:hAnsi="Calibri"/>
          <w:b/>
          <w:i w:val="0"/>
          <w:sz w:val="22"/>
        </w:rPr>
        <w:t>The Critical Role of 3D Conformers for Physical Properties</w:t>
      </w:r>
      <w:r>
        <w:rPr>
          <w:rFonts w:ascii="Calibri" w:hAnsi="Calibri"/>
          <w:b w:val="0"/>
          <w:i w:val="0"/>
          <w:sz w:val="22"/>
        </w:rPr>
        <w:t xml:space="preserve">: Comparing </w:t>
      </w:r>
      <w:r>
        <w:rPr>
          <w:rFonts w:ascii="Calibri" w:hAnsi="Calibri"/>
          <w:b/>
          <w:i w:val="0"/>
          <w:sz w:val="22"/>
        </w:rPr>
        <w:t>B1</w:t>
      </w:r>
      <w:r>
        <w:rPr>
          <w:rFonts w:ascii="Calibri" w:hAnsi="Calibri"/>
          <w:b w:val="0"/>
          <w:i w:val="0"/>
          <w:sz w:val="22"/>
        </w:rPr>
        <w:t xml:space="preserve"> (w/o 3D) to </w:t>
      </w:r>
      <w:r>
        <w:rPr>
          <w:rFonts w:ascii="Calibri" w:hAnsi="Calibri"/>
          <w:b/>
          <w:i w:val="0"/>
          <w:sz w:val="22"/>
        </w:rPr>
        <w:t>FULL</w:t>
      </w:r>
      <w:r>
        <w:rPr>
          <w:rFonts w:ascii="Calibri" w:hAnsi="Calibri"/>
          <w:b w:val="0"/>
          <w:i w:val="0"/>
          <w:sz w:val="22"/>
        </w:rPr>
        <w:t xml:space="preserve"> reveals that stripping 3D conformers degrades FreeSolv RMSE by +0.104 and ESOL RMSE by +0.056. Continuous 3D geometry is vital for hydration free energies and solvent accessible surface areas.</w:t>
      </w:r>
    </w:p>
    <w:p>
      <w:pPr>
        <w:pStyle w:val="ListNumber"/>
        <w:spacing w:before="20" w:after="40" w:line="276" w:lineRule="auto"/>
      </w:pPr>
      <w:r>
        <w:rPr>
          <w:rFonts w:ascii="Calibri" w:hAnsi="Calibri"/>
          <w:b/>
          <w:i w:val="0"/>
          <w:sz w:val="22"/>
        </w:rPr>
        <w:t>The Power of 8-Channel MSGG &amp; BRICS Motifs</w:t>
      </w:r>
      <w:r>
        <w:rPr>
          <w:rFonts w:ascii="Calibri" w:hAnsi="Calibri"/>
          <w:b w:val="0"/>
          <w:i w:val="0"/>
          <w:sz w:val="22"/>
        </w:rPr>
        <w:t xml:space="preserve">: Comparing </w:t>
      </w:r>
      <w:r>
        <w:rPr>
          <w:rFonts w:ascii="Calibri" w:hAnsi="Calibri"/>
          <w:b/>
          <w:i w:val="0"/>
          <w:sz w:val="22"/>
        </w:rPr>
        <w:t>C1</w:t>
      </w:r>
      <w:r>
        <w:rPr>
          <w:rFonts w:ascii="Calibri" w:hAnsi="Calibri"/>
          <w:b w:val="0"/>
          <w:i w:val="0"/>
          <w:sz w:val="22"/>
        </w:rPr>
        <w:t xml:space="preserve"> to </w:t>
      </w:r>
      <w:r>
        <w:rPr>
          <w:rFonts w:ascii="Calibri" w:hAnsi="Calibri"/>
          <w:b/>
          <w:i w:val="0"/>
          <w:sz w:val="22"/>
        </w:rPr>
        <w:t>FULL</w:t>
      </w:r>
      <w:r>
        <w:rPr>
          <w:rFonts w:ascii="Calibri" w:hAnsi="Calibri"/>
          <w:b w:val="0"/>
          <w:i w:val="0"/>
          <w:sz w:val="22"/>
        </w:rPr>
        <w:t xml:space="preserve"> demonstrates that flat 2D message passing sacrifices +1.5\% ROC-AUC on BBBP and +1.7\% on BACE, verifying that positional isomerism channels (</w:t>
      </w:r>
      <w:r>
        <w:rPr>
          <w:rFonts w:ascii="Calibri" w:hAnsi="Calibri"/>
          <w:b w:val="0"/>
          <w:i/>
          <w:sz w:val="22"/>
        </w:rPr>
        <w:t>ortho/meta/para</w:t>
      </w:r>
      <w:r>
        <w:rPr>
          <w:rFonts w:ascii="Calibri" w:hAnsi="Calibri"/>
          <w:b w:val="0"/>
          <w:i w:val="0"/>
          <w:sz w:val="22"/>
        </w:rPr>
        <w:t>) prevent over-smoothing in conjugated rings.</w:t>
      </w:r>
    </w:p>
    <w:p>
      <w:pPr>
        <w:pStyle w:val="ListNumber"/>
        <w:spacing w:before="20" w:after="40" w:line="276" w:lineRule="auto"/>
      </w:pPr>
      <w:r>
        <w:rPr>
          <w:rFonts w:ascii="Calibri" w:hAnsi="Calibri"/>
          <w:b/>
          <w:i w:val="0"/>
          <w:sz w:val="22"/>
        </w:rPr>
        <w:t>Synergy of Dynamic Gating &amp; Contrastive Regularization</w:t>
      </w:r>
      <w:r>
        <w:rPr>
          <w:rFonts w:ascii="Calibri" w:hAnsi="Calibri"/>
          <w:b w:val="0"/>
          <w:i w:val="0"/>
          <w:sz w:val="22"/>
        </w:rPr>
        <w:t>: Disabling dynamic gating (</w:t>
      </w:r>
      <w:r>
        <w:rPr>
          <w:rFonts w:ascii="Calibri" w:hAnsi="Calibri"/>
          <w:b/>
          <w:i w:val="0"/>
          <w:sz w:val="22"/>
        </w:rPr>
        <w:t>D2</w:t>
      </w:r>
      <w:r>
        <w:rPr>
          <w:rFonts w:ascii="Calibri" w:hAnsi="Calibri"/>
          <w:b w:val="0"/>
          <w:i w:val="0"/>
          <w:sz w:val="22"/>
        </w:rPr>
        <w:t>) or contrastive alignment (</w:t>
      </w:r>
      <w:r>
        <w:rPr>
          <w:rFonts w:ascii="Calibri" w:hAnsi="Calibri"/>
          <w:b/>
          <w:i w:val="0"/>
          <w:sz w:val="22"/>
        </w:rPr>
        <w:t>D1</w:t>
      </w:r>
      <w:r>
        <w:rPr>
          <w:rFonts w:ascii="Calibri" w:hAnsi="Calibri"/>
          <w:b w:val="0"/>
          <w:i w:val="0"/>
          <w:sz w:val="22"/>
        </w:rPr>
        <w:t>) incurs a statistically significant performance drop (</w:t>
      </w:r>
      <w:r>
        <w:rPr>
          <w:rFonts w:ascii="Cambria Math" w:hAnsi="Cambria Math"/>
          <w:i/>
          <w:sz w:val="22"/>
        </w:rPr>
        <w:t>p &lt; 0.01</w:t>
      </w:r>
      <w:r>
        <w:rPr>
          <w:rFonts w:ascii="Calibri" w:hAnsi="Calibri"/>
          <w:b w:val="0"/>
          <w:i w:val="0"/>
          <w:sz w:val="22"/>
        </w:rPr>
        <w:t>), confirming that adaptive cross-modal harmonization is essential for multi-view synergy.</w:t>
      </w:r>
    </w:p>
    <w:p>
      <w:pPr>
        <w:keepNext/>
        <w:spacing w:before="260" w:after="80"/>
      </w:pPr>
      <w:r>
        <w:rPr>
          <w:rFonts w:ascii="Calibri" w:hAnsi="Calibri"/>
          <w:b/>
          <w:color w:val="2563EB"/>
          <w:sz w:val="24"/>
        </w:rPr>
        <w:t>3.4 Dynamic Attention Gating Allocation Analysis</w:t>
      </w:r>
    </w:p>
    <w:p>
      <w:pPr>
        <w:spacing w:before="0" w:after="100" w:line="283" w:lineRule="auto"/>
      </w:pPr>
      <w:r>
        <w:rPr>
          <w:rFonts w:ascii="Calibri" w:hAnsi="Calibri"/>
          <w:b w:val="0"/>
          <w:i w:val="0"/>
          <w:sz w:val="22"/>
        </w:rPr>
        <w:t xml:space="preserve">To investigate how TriBioNode v2 adaptively shifts modality reliance across diverse chemical endpoints, we extracted and analyzed the learned gating weights </w:t>
      </w:r>
      <w:r>
        <w:rPr>
          <w:rFonts w:ascii="Cambria Math" w:hAnsi="Cambria Math"/>
          <w:i/>
          <w:sz w:val="22"/>
        </w:rPr>
        <w:t>\boldsymbol{\alpha} = [\alpha_{\text{seq}}, \alpha_{\text{graph}}, \alpha_{\text{conf}}]</w:t>
      </w:r>
      <w:r>
        <w:rPr>
          <w:rFonts w:ascii="Calibri" w:hAnsi="Calibri"/>
          <w:b w:val="0"/>
          <w:i w:val="0"/>
          <w:sz w:val="22"/>
        </w:rPr>
        <w:t xml:space="preserve"> across representative task categories:</w:t>
      </w:r>
    </w:p>
    <w:p>
      <w:pPr>
        <w:spacing w:before="0" w:after="100" w:line="283" w:lineRule="auto"/>
      </w:pPr>
      <w:r>
        <w:rPr>
          <w:rFonts w:ascii="Consolas" w:hAnsi="Consolas"/>
          <w:color w:val="B4320A"/>
          <w:sz w:val="20"/>
        </w:rPr>
      </w:r>
      <w:r>
        <w:rPr>
          <w:rFonts w:ascii="Calibri" w:hAnsi="Calibri"/>
          <w:b w:val="0"/>
          <w:i w:val="0"/>
          <w:sz w:val="22"/>
        </w:rPr>
        <w:t>`</w:t>
      </w:r>
    </w:p>
    <w:p>
      <w:pPr>
        <w:spacing w:before="0" w:after="100" w:line="283" w:lineRule="auto"/>
      </w:pPr>
      <w:r>
        <w:rPr>
          <w:rFonts w:ascii="Calibri" w:hAnsi="Calibri"/>
          <w:b w:val="0"/>
          <w:i w:val="0"/>
          <w:sz w:val="22"/>
        </w:rPr>
        <w:t>+-----------------------------------------------------------------------------------------------+</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9360"/>
      </w:tblGrid>
      <w:tr>
        <w:tc>
          <w:tcPr>
            <w:tcW w:type="dxa" w:w="9360"/>
            <w:tcMar>
              <w:top w:w="100" w:type="dxa"/>
              <w:bottom w:w="100" w:type="dxa"/>
              <w:left w:w="130" w:type="dxa"/>
              <w:right w:w="130" w:type="dxa"/>
            </w:tcMar>
            <w:shd w:fill="F1F5F9"/>
          </w:tcPr>
          <w:p>
            <w:pPr>
              <w:spacing w:after="40" w:before="40" w:line="252" w:lineRule="auto"/>
              <w:jc w:val="left"/>
            </w:pPr>
            <w:r>
              <w:rPr>
                <w:rFonts w:ascii="Calibri" w:hAnsi="Calibri"/>
                <w:b/>
                <w:i w:val="0"/>
                <w:sz w:val="19"/>
              </w:rPr>
              <w:t>LEARNED DYNAMIC GATING ALLOCATION (alpha_m)</w:t>
            </w:r>
          </w:p>
        </w:tc>
      </w:tr>
    </w:tbl>
    <w:p>
      <w:pPr>
        <w:spacing w:after="120" w:before="0"/>
      </w:pPr>
    </w:p>
    <w:p>
      <w:pPr>
        <w:spacing w:before="0" w:after="100" w:line="283" w:lineRule="auto"/>
      </w:pPr>
      <w:r>
        <w:rPr>
          <w:rFonts w:ascii="Calibri" w:hAnsi="Calibri"/>
          <w:b w:val="0"/>
          <w:i w:val="0"/>
          <w:sz w:val="22"/>
        </w:rPr>
        <w:t>+--------------------------+---------------------+-----------------------+----------------------+</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F1F5F9"/>
          </w:tcPr>
          <w:p>
            <w:pPr>
              <w:spacing w:after="40" w:before="40" w:line="252" w:lineRule="auto"/>
              <w:jc w:val="left"/>
            </w:pPr>
            <w:r>
              <w:rPr>
                <w:rFonts w:ascii="Calibri" w:hAnsi="Calibri"/>
                <w:b/>
                <w:i w:val="0"/>
                <w:sz w:val="19"/>
              </w:rPr>
              <w:t>Task Category</w:t>
            </w:r>
          </w:p>
        </w:tc>
        <w:tc>
          <w:tcPr>
            <w:tcW w:type="dxa" w:w="2340"/>
            <w:tcMar>
              <w:top w:w="100" w:type="dxa"/>
              <w:bottom w:w="100" w:type="dxa"/>
              <w:left w:w="130" w:type="dxa"/>
              <w:right w:w="130" w:type="dxa"/>
            </w:tcMar>
            <w:shd w:fill="F1F5F9"/>
          </w:tcPr>
          <w:p>
            <w:pPr>
              <w:spacing w:after="40" w:before="40" w:line="252" w:lineRule="auto"/>
              <w:jc w:val="center"/>
            </w:pPr>
            <w:r>
              <w:rPr>
                <w:rFonts w:ascii="Calibri" w:hAnsi="Calibri"/>
                <w:b/>
                <w:i w:val="0"/>
                <w:sz w:val="19"/>
              </w:rPr>
              <w:t>View 1 (1D Seq)</w:t>
            </w:r>
          </w:p>
        </w:tc>
        <w:tc>
          <w:tcPr>
            <w:tcW w:type="dxa" w:w="2340"/>
            <w:tcMar>
              <w:top w:w="100" w:type="dxa"/>
              <w:bottom w:w="100" w:type="dxa"/>
              <w:left w:w="130" w:type="dxa"/>
              <w:right w:w="130" w:type="dxa"/>
            </w:tcMar>
            <w:shd w:fill="F1F5F9"/>
          </w:tcPr>
          <w:p>
            <w:pPr>
              <w:spacing w:after="40" w:before="40" w:line="252" w:lineRule="auto"/>
              <w:jc w:val="center"/>
            </w:pPr>
            <w:r>
              <w:rPr>
                <w:rFonts w:ascii="Calibri" w:hAnsi="Calibri"/>
                <w:b/>
                <w:i w:val="0"/>
                <w:sz w:val="19"/>
              </w:rPr>
              <w:t>View 2 (2D Graph)</w:t>
            </w:r>
          </w:p>
        </w:tc>
        <w:tc>
          <w:tcPr>
            <w:tcW w:type="dxa" w:w="2340"/>
            <w:tcMar>
              <w:top w:w="100" w:type="dxa"/>
              <w:bottom w:w="100" w:type="dxa"/>
              <w:left w:w="130" w:type="dxa"/>
              <w:right w:w="130" w:type="dxa"/>
            </w:tcMar>
            <w:shd w:fill="F1F5F9"/>
          </w:tcPr>
          <w:p>
            <w:pPr>
              <w:spacing w:after="40" w:before="40" w:line="252" w:lineRule="auto"/>
              <w:jc w:val="center"/>
            </w:pPr>
            <w:r>
              <w:rPr>
                <w:rFonts w:ascii="Calibri" w:hAnsi="Calibri"/>
                <w:b/>
                <w:i w:val="0"/>
                <w:sz w:val="19"/>
              </w:rPr>
              <w:t>View 3 (3D Conf)</w:t>
            </w:r>
          </w:p>
        </w:tc>
      </w:tr>
    </w:tbl>
    <w:p>
      <w:pPr>
        <w:spacing w:after="120" w:before="0"/>
      </w:pPr>
    </w:p>
    <w:p>
      <w:pPr>
        <w:spacing w:before="0" w:after="100" w:line="283" w:lineRule="auto"/>
      </w:pPr>
      <w:r>
        <w:rPr>
          <w:rFonts w:ascii="Calibri" w:hAnsi="Calibri"/>
          <w:b w:val="0"/>
          <w:i w:val="0"/>
          <w:sz w:val="22"/>
        </w:rPr>
        <w:t>+--------------------------+---------------------+-----------------------+----------------------+</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F1F5F9"/>
          </w:tcPr>
          <w:p>
            <w:pPr>
              <w:spacing w:after="40" w:before="40" w:line="252" w:lineRule="auto"/>
              <w:jc w:val="left"/>
            </w:pPr>
            <w:r>
              <w:rPr>
                <w:rFonts w:ascii="Calibri" w:hAnsi="Calibri"/>
                <w:b/>
                <w:i w:val="0"/>
                <w:sz w:val="19"/>
              </w:rPr>
              <w:t>Quantum / Electronic</w:t>
            </w:r>
          </w:p>
        </w:tc>
        <w:tc>
          <w:tcPr>
            <w:tcW w:type="dxa" w:w="2340"/>
            <w:tcMar>
              <w:top w:w="100" w:type="dxa"/>
              <w:bottom w:w="100" w:type="dxa"/>
              <w:left w:w="130" w:type="dxa"/>
              <w:right w:w="130" w:type="dxa"/>
            </w:tcMar>
            <w:shd w:fill="F1F5F9"/>
          </w:tcPr>
          <w:p>
            <w:pPr>
              <w:spacing w:after="40" w:before="40" w:line="252" w:lineRule="auto"/>
              <w:jc w:val="center"/>
            </w:pPr>
            <w:r>
              <w:rPr>
                <w:rFonts w:ascii="Calibri" w:hAnsi="Calibri"/>
                <w:b/>
                <w:i w:val="0"/>
                <w:sz w:val="19"/>
              </w:rPr>
              <w:t>14.2%</w:t>
            </w:r>
          </w:p>
        </w:tc>
        <w:tc>
          <w:tcPr>
            <w:tcW w:type="dxa" w:w="2340"/>
            <w:tcMar>
              <w:top w:w="100" w:type="dxa"/>
              <w:bottom w:w="100" w:type="dxa"/>
              <w:left w:w="130" w:type="dxa"/>
              <w:right w:w="130" w:type="dxa"/>
            </w:tcMar>
            <w:shd w:fill="F1F5F9"/>
          </w:tcPr>
          <w:p>
            <w:pPr>
              <w:spacing w:after="40" w:before="40" w:line="252" w:lineRule="auto"/>
              <w:jc w:val="center"/>
            </w:pPr>
            <w:r>
              <w:rPr>
                <w:rFonts w:ascii="Calibri" w:hAnsi="Calibri"/>
                <w:b/>
                <w:i w:val="0"/>
                <w:sz w:val="19"/>
              </w:rPr>
              <w:t>28.6%</w:t>
            </w:r>
          </w:p>
        </w:tc>
        <w:tc>
          <w:tcPr>
            <w:tcW w:type="dxa" w:w="2340"/>
            <w:tcMar>
              <w:top w:w="100" w:type="dxa"/>
              <w:bottom w:w="100" w:type="dxa"/>
              <w:left w:w="130" w:type="dxa"/>
              <w:right w:w="130" w:type="dxa"/>
            </w:tcMar>
            <w:shd w:fill="F1F5F9"/>
          </w:tcPr>
          <w:p>
            <w:pPr>
              <w:spacing w:after="40" w:before="40" w:line="252" w:lineRule="auto"/>
              <w:jc w:val="center"/>
            </w:pPr>
            <w:r>
              <w:rPr>
                <w:rFonts w:ascii="Calibri" w:hAnsi="Calibri"/>
                <w:b/>
                <w:i w:val="0"/>
                <w:sz w:val="19"/>
              </w:rPr>
              <w:t>57.2% [DOM]</w:t>
            </w:r>
          </w:p>
        </w:tc>
      </w:tr>
      <w:tr>
        <w:tc>
          <w:tcPr>
            <w:tcW w:type="dxa" w:w="23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(QM8, QM9 eps_gap)</w:t>
            </w:r>
          </w:p>
        </w:tc>
        <w:tc>
          <w:tcPr>
            <w:tcW w:type="dxa" w:w="2340"/>
            <w:tcMar>
              <w:top w:w="100" w:type="dxa"/>
              <w:bottom w:w="100" w:type="dxa"/>
              <w:left w:w="130" w:type="dxa"/>
              <w:right w:w="130" w:type="dxa"/>
            </w:tcMar>
            <w:shd w:fill="F8FAFC"/>
          </w:tcPr>
          <w:p>
            <w:pPr>
              <w:spacing w:after="40" w:before="40" w:line="252" w:lineRule="auto"/>
              <w:jc w:val="left"/>
            </w:pPr>
          </w:p>
        </w:tc>
        <w:tc>
          <w:tcPr>
            <w:tcW w:type="dxa" w:w="2340"/>
            <w:tcMar>
              <w:top w:w="100" w:type="dxa"/>
              <w:bottom w:w="100" w:type="dxa"/>
              <w:left w:w="130" w:type="dxa"/>
              <w:right w:w="130" w:type="dxa"/>
            </w:tcMar>
            <w:shd w:fill="F8FAFC"/>
          </w:tcPr>
          <w:p>
            <w:pPr>
              <w:spacing w:after="40" w:before="40" w:line="252" w:lineRule="auto"/>
              <w:jc w:val="left"/>
            </w:pPr>
          </w:p>
        </w:tc>
        <w:tc>
          <w:tcPr>
            <w:tcW w:type="dxa" w:w="2340"/>
            <w:tcMar>
              <w:top w:w="100" w:type="dxa"/>
              <w:bottom w:w="100" w:type="dxa"/>
              <w:left w:w="130" w:type="dxa"/>
              <w:right w:w="130" w:type="dxa"/>
            </w:tcMar>
            <w:shd w:fill="F8FAFC"/>
          </w:tcPr>
          <w:p>
            <w:pPr>
              <w:spacing w:after="40" w:before="40" w:line="252" w:lineRule="auto"/>
              <w:jc w:val="left"/>
            </w:pPr>
          </w:p>
        </w:tc>
      </w:tr>
      <w:tr>
        <w:tc>
          <w:tcPr>
            <w:tcW w:type="dxa" w:w="2340"/>
            <w:tcMar>
              <w:top w:w="100" w:type="dxa"/>
              <w:bottom w:w="100" w:type="dxa"/>
              <w:left w:w="130" w:type="dxa"/>
              <w:right w:w="130" w:type="dxa"/>
            </w:tcMar>
          </w:tcPr>
          <w:p>
            <w:pPr>
              <w:spacing w:after="40" w:before="40" w:line="252" w:lineRule="auto"/>
              <w:jc w:val="left"/>
            </w:pPr>
            <w:r>
              <w:rPr>
                <w:rFonts w:ascii="Calibri" w:hAnsi="Calibri"/>
                <w:b w:val="0"/>
                <w:i w:val="0"/>
                <w:sz w:val="19"/>
              </w:rPr>
              <w:t>Membrane Permeability</w:t>
            </w:r>
          </w:p>
        </w:tc>
        <w:tc>
          <w:tcPr>
            <w:tcW w:type="dxa" w:w="2340"/>
            <w:tcMar>
              <w:top w:w="100" w:type="dxa"/>
              <w:bottom w:w="100" w:type="dxa"/>
              <w:left w:w="130" w:type="dxa"/>
              <w:right w:w="130" w:type="dxa"/>
            </w:tcMar>
          </w:tcPr>
          <w:p>
            <w:pPr>
              <w:spacing w:after="40" w:before="40" w:line="252" w:lineRule="auto"/>
              <w:jc w:val="center"/>
            </w:pPr>
            <w:r>
              <w:rPr>
                <w:rFonts w:ascii="Calibri" w:hAnsi="Calibri"/>
                <w:b w:val="0"/>
                <w:i w:val="0"/>
                <w:sz w:val="19"/>
              </w:rPr>
              <w:t>22.1%</w:t>
            </w:r>
          </w:p>
        </w:tc>
        <w:tc>
          <w:tcPr>
            <w:tcW w:type="dxa" w:w="2340"/>
            <w:tcMar>
              <w:top w:w="100" w:type="dxa"/>
              <w:bottom w:w="100" w:type="dxa"/>
              <w:left w:w="130" w:type="dxa"/>
              <w:right w:w="130" w:type="dxa"/>
            </w:tcMar>
          </w:tcPr>
          <w:p>
            <w:pPr>
              <w:spacing w:after="40" w:before="40" w:line="252" w:lineRule="auto"/>
              <w:jc w:val="center"/>
            </w:pPr>
            <w:r>
              <w:rPr>
                <w:rFonts w:ascii="Calibri" w:hAnsi="Calibri"/>
                <w:b w:val="0"/>
                <w:i w:val="0"/>
                <w:sz w:val="19"/>
              </w:rPr>
              <w:t>36.4%</w:t>
            </w:r>
          </w:p>
        </w:tc>
        <w:tc>
          <w:tcPr>
            <w:tcW w:type="dxa" w:w="2340"/>
            <w:tcMar>
              <w:top w:w="100" w:type="dxa"/>
              <w:bottom w:w="100" w:type="dxa"/>
              <w:left w:w="130" w:type="dxa"/>
              <w:right w:w="130" w:type="dxa"/>
            </w:tcMar>
          </w:tcPr>
          <w:p>
            <w:pPr>
              <w:spacing w:after="40" w:before="40" w:line="252" w:lineRule="auto"/>
              <w:jc w:val="center"/>
            </w:pPr>
            <w:r>
              <w:rPr>
                <w:rFonts w:ascii="Calibri" w:hAnsi="Calibri"/>
                <w:b w:val="0"/>
                <w:i w:val="0"/>
                <w:sz w:val="19"/>
              </w:rPr>
              <w:t>41.5% [DOM]</w:t>
            </w:r>
          </w:p>
        </w:tc>
      </w:tr>
      <w:tr>
        <w:tc>
          <w:tcPr>
            <w:tcW w:type="dxa" w:w="23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(BBBP, Caco-2)</w:t>
            </w:r>
          </w:p>
        </w:tc>
        <w:tc>
          <w:tcPr>
            <w:tcW w:type="dxa" w:w="2340"/>
            <w:tcMar>
              <w:top w:w="100" w:type="dxa"/>
              <w:bottom w:w="100" w:type="dxa"/>
              <w:left w:w="130" w:type="dxa"/>
              <w:right w:w="130" w:type="dxa"/>
            </w:tcMar>
            <w:shd w:fill="F8FAFC"/>
          </w:tcPr>
          <w:p>
            <w:pPr>
              <w:spacing w:after="40" w:before="40" w:line="252" w:lineRule="auto"/>
              <w:jc w:val="left"/>
            </w:pPr>
          </w:p>
        </w:tc>
        <w:tc>
          <w:tcPr>
            <w:tcW w:type="dxa" w:w="2340"/>
            <w:tcMar>
              <w:top w:w="100" w:type="dxa"/>
              <w:bottom w:w="100" w:type="dxa"/>
              <w:left w:w="130" w:type="dxa"/>
              <w:right w:w="130" w:type="dxa"/>
            </w:tcMar>
            <w:shd w:fill="F8FAFC"/>
          </w:tcPr>
          <w:p>
            <w:pPr>
              <w:spacing w:after="40" w:before="40" w:line="252" w:lineRule="auto"/>
              <w:jc w:val="left"/>
            </w:pPr>
          </w:p>
        </w:tc>
        <w:tc>
          <w:tcPr>
            <w:tcW w:type="dxa" w:w="2340"/>
            <w:tcMar>
              <w:top w:w="100" w:type="dxa"/>
              <w:bottom w:w="100" w:type="dxa"/>
              <w:left w:w="130" w:type="dxa"/>
              <w:right w:w="130" w:type="dxa"/>
            </w:tcMar>
            <w:shd w:fill="F8FAFC"/>
          </w:tcPr>
          <w:p>
            <w:pPr>
              <w:spacing w:after="40" w:before="40" w:line="252" w:lineRule="auto"/>
              <w:jc w:val="left"/>
            </w:pPr>
          </w:p>
        </w:tc>
      </w:tr>
      <w:tr>
        <w:tc>
          <w:tcPr>
            <w:tcW w:type="dxa" w:w="2340"/>
            <w:tcMar>
              <w:top w:w="100" w:type="dxa"/>
              <w:bottom w:w="100" w:type="dxa"/>
              <w:left w:w="130" w:type="dxa"/>
              <w:right w:w="130" w:type="dxa"/>
            </w:tcMar>
          </w:tcPr>
          <w:p>
            <w:pPr>
              <w:spacing w:after="40" w:before="40" w:line="252" w:lineRule="auto"/>
              <w:jc w:val="left"/>
            </w:pPr>
            <w:r>
              <w:rPr>
                <w:rFonts w:ascii="Calibri" w:hAnsi="Calibri"/>
                <w:b w:val="0"/>
                <w:i w:val="0"/>
                <w:sz w:val="19"/>
              </w:rPr>
              <w:t>ADMET Toxicity &amp; Binding</w:t>
            </w:r>
          </w:p>
        </w:tc>
        <w:tc>
          <w:tcPr>
            <w:tcW w:type="dxa" w:w="2340"/>
            <w:tcMar>
              <w:top w:w="100" w:type="dxa"/>
              <w:bottom w:w="100" w:type="dxa"/>
              <w:left w:w="130" w:type="dxa"/>
              <w:right w:w="130" w:type="dxa"/>
            </w:tcMar>
          </w:tcPr>
          <w:p>
            <w:pPr>
              <w:spacing w:after="40" w:before="40" w:line="252" w:lineRule="auto"/>
              <w:jc w:val="center"/>
            </w:pPr>
            <w:r>
              <w:rPr>
                <w:rFonts w:ascii="Calibri" w:hAnsi="Calibri"/>
                <w:b w:val="0"/>
                <w:i w:val="0"/>
                <w:sz w:val="19"/>
              </w:rPr>
              <w:t>28.4%</w:t>
            </w:r>
          </w:p>
        </w:tc>
        <w:tc>
          <w:tcPr>
            <w:tcW w:type="dxa" w:w="2340"/>
            <w:tcMar>
              <w:top w:w="100" w:type="dxa"/>
              <w:bottom w:w="100" w:type="dxa"/>
              <w:left w:w="130" w:type="dxa"/>
              <w:right w:w="130" w:type="dxa"/>
            </w:tcMar>
          </w:tcPr>
          <w:p>
            <w:pPr>
              <w:spacing w:after="40" w:before="40" w:line="252" w:lineRule="auto"/>
              <w:jc w:val="center"/>
            </w:pPr>
            <w:r>
              <w:rPr>
                <w:rFonts w:ascii="Calibri" w:hAnsi="Calibri"/>
                <w:b w:val="0"/>
                <w:i w:val="0"/>
                <w:sz w:val="19"/>
              </w:rPr>
              <w:t>49.8% [DOM]</w:t>
            </w:r>
          </w:p>
        </w:tc>
        <w:tc>
          <w:tcPr>
            <w:tcW w:type="dxa" w:w="2340"/>
            <w:tcMar>
              <w:top w:w="100" w:type="dxa"/>
              <w:bottom w:w="100" w:type="dxa"/>
              <w:left w:w="130" w:type="dxa"/>
              <w:right w:w="130" w:type="dxa"/>
            </w:tcMar>
          </w:tcPr>
          <w:p>
            <w:pPr>
              <w:spacing w:after="40" w:before="40" w:line="252" w:lineRule="auto"/>
              <w:jc w:val="center"/>
            </w:pPr>
            <w:r>
              <w:rPr>
                <w:rFonts w:ascii="Calibri" w:hAnsi="Calibri"/>
                <w:b w:val="0"/>
                <w:i w:val="0"/>
                <w:sz w:val="19"/>
              </w:rPr>
              <w:t>21.8%</w:t>
            </w:r>
          </w:p>
        </w:tc>
      </w:tr>
      <w:tr>
        <w:tc>
          <w:tcPr>
            <w:tcW w:type="dxa" w:w="23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(Tox21, ClinTox, BACE)</w:t>
            </w:r>
          </w:p>
        </w:tc>
        <w:tc>
          <w:tcPr>
            <w:tcW w:type="dxa" w:w="2340"/>
            <w:tcMar>
              <w:top w:w="100" w:type="dxa"/>
              <w:bottom w:w="100" w:type="dxa"/>
              <w:left w:w="130" w:type="dxa"/>
              <w:right w:w="130" w:type="dxa"/>
            </w:tcMar>
            <w:shd w:fill="F8FAFC"/>
          </w:tcPr>
          <w:p>
            <w:pPr>
              <w:spacing w:after="40" w:before="40" w:line="252" w:lineRule="auto"/>
              <w:jc w:val="left"/>
            </w:pPr>
          </w:p>
        </w:tc>
        <w:tc>
          <w:tcPr>
            <w:tcW w:type="dxa" w:w="2340"/>
            <w:tcMar>
              <w:top w:w="100" w:type="dxa"/>
              <w:bottom w:w="100" w:type="dxa"/>
              <w:left w:w="130" w:type="dxa"/>
              <w:right w:w="130" w:type="dxa"/>
            </w:tcMar>
            <w:shd w:fill="F8FAFC"/>
          </w:tcPr>
          <w:p>
            <w:pPr>
              <w:spacing w:after="40" w:before="40" w:line="252" w:lineRule="auto"/>
              <w:jc w:val="left"/>
            </w:pPr>
          </w:p>
        </w:tc>
        <w:tc>
          <w:tcPr>
            <w:tcW w:type="dxa" w:w="2340"/>
            <w:tcMar>
              <w:top w:w="100" w:type="dxa"/>
              <w:bottom w:w="100" w:type="dxa"/>
              <w:left w:w="130" w:type="dxa"/>
              <w:right w:w="130" w:type="dxa"/>
            </w:tcMar>
            <w:shd w:fill="F8FAFC"/>
          </w:tcPr>
          <w:p>
            <w:pPr>
              <w:spacing w:after="40" w:before="40" w:line="252" w:lineRule="auto"/>
              <w:jc w:val="left"/>
            </w:pPr>
          </w:p>
        </w:tc>
      </w:tr>
      <w:tr>
        <w:tc>
          <w:tcPr>
            <w:tcW w:type="dxa" w:w="2340"/>
            <w:tcMar>
              <w:top w:w="100" w:type="dxa"/>
              <w:bottom w:w="100" w:type="dxa"/>
              <w:left w:w="130" w:type="dxa"/>
              <w:right w:w="130" w:type="dxa"/>
            </w:tcMar>
          </w:tcPr>
          <w:p>
            <w:pPr>
              <w:spacing w:after="40" w:before="40" w:line="252" w:lineRule="auto"/>
              <w:jc w:val="left"/>
            </w:pPr>
            <w:r>
              <w:rPr>
                <w:rFonts w:ascii="Calibri" w:hAnsi="Calibri"/>
                <w:b w:val="0"/>
                <w:i w:val="0"/>
                <w:sz w:val="19"/>
              </w:rPr>
              <w:t>Thermodynamic Solubility</w:t>
            </w:r>
          </w:p>
        </w:tc>
        <w:tc>
          <w:tcPr>
            <w:tcW w:type="dxa" w:w="2340"/>
            <w:tcMar>
              <w:top w:w="100" w:type="dxa"/>
              <w:bottom w:w="100" w:type="dxa"/>
              <w:left w:w="130" w:type="dxa"/>
              <w:right w:w="130" w:type="dxa"/>
            </w:tcMar>
          </w:tcPr>
          <w:p>
            <w:pPr>
              <w:spacing w:after="40" w:before="40" w:line="252" w:lineRule="auto"/>
              <w:jc w:val="center"/>
            </w:pPr>
            <w:r>
              <w:rPr>
                <w:rFonts w:ascii="Calibri" w:hAnsi="Calibri"/>
                <w:b w:val="0"/>
                <w:i w:val="0"/>
                <w:sz w:val="19"/>
              </w:rPr>
              <w:t>24.5%</w:t>
            </w:r>
          </w:p>
        </w:tc>
        <w:tc>
          <w:tcPr>
            <w:tcW w:type="dxa" w:w="2340"/>
            <w:tcMar>
              <w:top w:w="100" w:type="dxa"/>
              <w:bottom w:w="100" w:type="dxa"/>
              <w:left w:w="130" w:type="dxa"/>
              <w:right w:w="130" w:type="dxa"/>
            </w:tcMar>
          </w:tcPr>
          <w:p>
            <w:pPr>
              <w:spacing w:after="40" w:before="40" w:line="252" w:lineRule="auto"/>
              <w:jc w:val="center"/>
            </w:pPr>
            <w:r>
              <w:rPr>
                <w:rFonts w:ascii="Calibri" w:hAnsi="Calibri"/>
                <w:b w:val="0"/>
                <w:i w:val="0"/>
                <w:sz w:val="19"/>
              </w:rPr>
              <w:t>52.3% [DOM]</w:t>
            </w:r>
          </w:p>
        </w:tc>
        <w:tc>
          <w:tcPr>
            <w:tcW w:type="dxa" w:w="2340"/>
            <w:tcMar>
              <w:top w:w="100" w:type="dxa"/>
              <w:bottom w:w="100" w:type="dxa"/>
              <w:left w:w="130" w:type="dxa"/>
              <w:right w:w="130" w:type="dxa"/>
            </w:tcMar>
          </w:tcPr>
          <w:p>
            <w:pPr>
              <w:spacing w:after="40" w:before="40" w:line="252" w:lineRule="auto"/>
              <w:jc w:val="center"/>
            </w:pPr>
            <w:r>
              <w:rPr>
                <w:rFonts w:ascii="Calibri" w:hAnsi="Calibri"/>
                <w:b w:val="0"/>
                <w:i w:val="0"/>
                <w:sz w:val="19"/>
              </w:rPr>
              <w:t>23.2%</w:t>
            </w:r>
          </w:p>
        </w:tc>
      </w:tr>
      <w:tr>
        <w:tc>
          <w:tcPr>
            <w:tcW w:type="dxa" w:w="23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(ESOL, FreeSolv, AqSolDB)</w:t>
            </w:r>
          </w:p>
        </w:tc>
        <w:tc>
          <w:tcPr>
            <w:tcW w:type="dxa" w:w="2340"/>
            <w:tcMar>
              <w:top w:w="100" w:type="dxa"/>
              <w:bottom w:w="100" w:type="dxa"/>
              <w:left w:w="130" w:type="dxa"/>
              <w:right w:w="130" w:type="dxa"/>
            </w:tcMar>
            <w:shd w:fill="F8FAFC"/>
          </w:tcPr>
          <w:p>
            <w:pPr>
              <w:spacing w:after="40" w:before="40" w:line="252" w:lineRule="auto"/>
              <w:jc w:val="left"/>
            </w:pPr>
          </w:p>
        </w:tc>
        <w:tc>
          <w:tcPr>
            <w:tcW w:type="dxa" w:w="2340"/>
            <w:tcMar>
              <w:top w:w="100" w:type="dxa"/>
              <w:bottom w:w="100" w:type="dxa"/>
              <w:left w:w="130" w:type="dxa"/>
              <w:right w:w="130" w:type="dxa"/>
            </w:tcMar>
            <w:shd w:fill="F8FAFC"/>
          </w:tcPr>
          <w:p>
            <w:pPr>
              <w:spacing w:after="40" w:before="40" w:line="252" w:lineRule="auto"/>
              <w:jc w:val="left"/>
            </w:pPr>
          </w:p>
        </w:tc>
        <w:tc>
          <w:tcPr>
            <w:tcW w:type="dxa" w:w="2340"/>
            <w:tcMar>
              <w:top w:w="100" w:type="dxa"/>
              <w:bottom w:w="100" w:type="dxa"/>
              <w:left w:w="130" w:type="dxa"/>
              <w:right w:w="130" w:type="dxa"/>
            </w:tcMar>
            <w:shd w:fill="F8FAFC"/>
          </w:tcPr>
          <w:p>
            <w:pPr>
              <w:spacing w:after="40" w:before="40" w:line="252" w:lineRule="auto"/>
              <w:jc w:val="left"/>
            </w:pPr>
          </w:p>
        </w:tc>
      </w:tr>
    </w:tbl>
    <w:p>
      <w:pPr>
        <w:spacing w:after="120" w:before="0"/>
      </w:pPr>
    </w:p>
    <w:p>
      <w:pPr>
        <w:spacing w:before="0" w:after="100" w:line="283" w:lineRule="auto"/>
      </w:pPr>
      <w:r>
        <w:rPr>
          <w:rFonts w:ascii="Calibri" w:hAnsi="Calibri"/>
          <w:b w:val="0"/>
          <w:i w:val="0"/>
          <w:sz w:val="22"/>
        </w:rPr>
        <w:t>+--------------------------+---------------------+-----------------------+----------------------+</w:t>
      </w:r>
    </w:p>
    <w:p>
      <w:pPr>
        <w:spacing w:before="0" w:after="100" w:line="283" w:lineRule="auto"/>
      </w:pPr>
      <w:r>
        <w:rPr>
          <w:rFonts w:ascii="Consolas" w:hAnsi="Consolas"/>
          <w:color w:val="B4320A"/>
          <w:sz w:val="20"/>
        </w:rPr>
      </w:r>
      <w:r>
        <w:rPr>
          <w:rFonts w:ascii="Calibri" w:hAnsi="Calibri"/>
          <w:b w:val="0"/>
          <w:i w:val="0"/>
          <w:sz w:val="22"/>
        </w:rPr>
        <w:t>`</w:t>
      </w:r>
    </w:p>
    <w:p>
      <w:pPr>
        <w:pStyle w:val="ListBullet"/>
        <w:spacing w:before="20" w:after="40" w:line="276" w:lineRule="auto"/>
      </w:pPr>
      <w:r>
        <w:rPr>
          <w:rFonts w:ascii="Calibri" w:hAnsi="Calibri"/>
          <w:b/>
          <w:i w:val="0"/>
          <w:sz w:val="22"/>
        </w:rPr>
        <w:t>Physical Interpretation</w:t>
      </w:r>
      <w:r>
        <w:rPr>
          <w:rFonts w:ascii="Calibri" w:hAnsi="Calibri"/>
          <w:b w:val="0"/>
          <w:i w:val="0"/>
          <w:sz w:val="22"/>
        </w:rPr>
        <w:t>:</w:t>
      </w:r>
    </w:p>
    <w:p>
      <w:pPr>
        <w:pStyle w:val="ListBullet"/>
        <w:spacing w:before="20" w:after="40" w:line="276" w:lineRule="auto"/>
      </w:pPr>
      <w:r>
        <w:rPr>
          <w:rFonts w:ascii="Calibri" w:hAnsi="Calibri"/>
          <w:b w:val="0"/>
          <w:i w:val="0"/>
          <w:sz w:val="22"/>
        </w:rPr>
        <w:t xml:space="preserve">On quantum-mechanical properties (QM8/QM9), the model automatically assigns </w:t>
      </w:r>
      <w:r>
        <w:rPr>
          <w:rFonts w:ascii="Calibri" w:hAnsi="Calibri"/>
          <w:b/>
          <w:i w:val="0"/>
          <w:sz w:val="22"/>
        </w:rPr>
        <w:t>57.2\%</w:t>
      </w:r>
      <w:r>
        <w:rPr>
          <w:rFonts w:ascii="Calibri" w:hAnsi="Calibri"/>
          <w:b w:val="0"/>
          <w:i w:val="0"/>
          <w:sz w:val="22"/>
        </w:rPr>
        <w:t xml:space="preserve"> weight to View 3 (3D EGNN), correctly recognizing that orbital energies and dipole moments depend directly on Euclidean spatial coordinates.</w:t>
      </w:r>
    </w:p>
    <w:p>
      <w:pPr>
        <w:pStyle w:val="ListBullet"/>
        <w:spacing w:before="20" w:after="40" w:line="276" w:lineRule="auto"/>
      </w:pPr>
      <w:r>
        <w:rPr>
          <w:rFonts w:ascii="Calibri" w:hAnsi="Calibri"/>
          <w:b w:val="0"/>
          <w:i w:val="0"/>
          <w:sz w:val="22"/>
        </w:rPr>
        <w:t xml:space="preserve">On biological toxicity and solubility (Tox21, ESOL), the model allocates </w:t>
      </w:r>
      <w:r>
        <w:rPr>
          <w:rFonts w:ascii="Calibri" w:hAnsi="Calibri"/>
          <w:b/>
          <w:i w:val="0"/>
          <w:sz w:val="22"/>
        </w:rPr>
        <w:t>49.8\%–52.3\%</w:t>
      </w:r>
      <w:r>
        <w:rPr>
          <w:rFonts w:ascii="Calibri" w:hAnsi="Calibri"/>
          <w:b w:val="0"/>
          <w:i w:val="0"/>
          <w:sz w:val="22"/>
        </w:rPr>
        <w:t xml:space="preserve"> weight to View 2 (2D Graph + MSGG + Motifs), reflecting that hydrogen bonding motifs and toxicophoric subgraphs drive macroscopic solubility and receptor interactions.</w:t>
      </w:r>
    </w:p>
    <w:p>
      <w:pPr>
        <w:keepNext/>
        <w:spacing w:before="260" w:after="80"/>
      </w:pPr>
      <w:r>
        <w:rPr>
          <w:rFonts w:ascii="Calibri" w:hAnsi="Calibri"/>
          <w:b/>
          <w:color w:val="2563EB"/>
          <w:sz w:val="24"/>
        </w:rPr>
        <w:t>3.5 Epistemic Uncertainty Calibration &amp; Out-of-Distribution Reliability</w:t>
      </w:r>
    </w:p>
    <w:p>
      <w:pPr>
        <w:keepNext/>
        <w:spacing w:before="200" w:after="60"/>
      </w:pPr>
      <w:r>
        <w:rPr>
          <w:rFonts w:ascii="Calibri" w:hAnsi="Calibri"/>
          <w:b/>
          <w:color w:val="1E293B"/>
          <w:sz w:val="22"/>
        </w:rPr>
        <w:t>Table 5: Uncertainty Calibration Metrics across In-Distribution and Scaffold-OOD Test Sets</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F1F5F9"/>
          </w:tcPr>
          <w:p>
            <w:pPr>
              <w:spacing w:after="40" w:before="40" w:line="252" w:lineRule="auto"/>
              <w:jc w:val="left"/>
            </w:pPr>
            <w:r>
              <w:rPr>
                <w:rFonts w:ascii="Calibri" w:hAnsi="Calibri"/>
                <w:b/>
                <w:i w:val="0"/>
                <w:sz w:val="19"/>
              </w:rPr>
              <w:t>Metric Evaluated</w:t>
            </w:r>
          </w:p>
        </w:tc>
        <w:tc>
          <w:tcPr>
            <w:tcW w:type="dxa" w:w="2340"/>
            <w:tcMar>
              <w:top w:w="100" w:type="dxa"/>
              <w:bottom w:w="100" w:type="dxa"/>
              <w:left w:w="130" w:type="dxa"/>
              <w:right w:w="130" w:type="dxa"/>
            </w:tcMar>
            <w:shd w:fill="F1F5F9"/>
          </w:tcPr>
          <w:p>
            <w:pPr>
              <w:spacing w:after="40" w:before="40" w:line="252" w:lineRule="auto"/>
              <w:jc w:val="center"/>
            </w:pPr>
            <w:r>
              <w:rPr>
                <w:rFonts w:ascii="Calibri" w:hAnsi="Calibri"/>
                <w:b/>
                <w:i w:val="0"/>
                <w:sz w:val="19"/>
              </w:rPr>
              <w:t>In-Distribution (Random Split)</w:t>
            </w:r>
          </w:p>
        </w:tc>
        <w:tc>
          <w:tcPr>
            <w:tcW w:type="dxa" w:w="2340"/>
            <w:tcMar>
              <w:top w:w="100" w:type="dxa"/>
              <w:bottom w:w="100" w:type="dxa"/>
              <w:left w:w="130" w:type="dxa"/>
              <w:right w:w="130" w:type="dxa"/>
            </w:tcMar>
            <w:shd w:fill="F1F5F9"/>
          </w:tcPr>
          <w:p>
            <w:pPr>
              <w:spacing w:after="40" w:before="40" w:line="252" w:lineRule="auto"/>
              <w:jc w:val="center"/>
            </w:pPr>
            <w:r>
              <w:rPr>
                <w:rFonts w:ascii="Calibri" w:hAnsi="Calibri"/>
                <w:b/>
                <w:i w:val="0"/>
                <w:sz w:val="19"/>
              </w:rPr>
              <w:t>Scaffold-OOD (Bemis-Murcko Split)</w:t>
            </w:r>
          </w:p>
        </w:tc>
        <w:tc>
          <w:tcPr>
            <w:tcW w:type="dxa" w:w="2340"/>
            <w:tcMar>
              <w:top w:w="100" w:type="dxa"/>
              <w:bottom w:w="100" w:type="dxa"/>
              <w:left w:w="130" w:type="dxa"/>
              <w:right w:w="130" w:type="dxa"/>
            </w:tcMar>
            <w:shd w:fill="F1F5F9"/>
          </w:tcPr>
          <w:p>
            <w:pPr>
              <w:spacing w:after="40" w:before="40" w:line="252" w:lineRule="auto"/>
              <w:jc w:val="center"/>
            </w:pPr>
            <w:r>
              <w:rPr>
                <w:rFonts w:ascii="Calibri" w:hAnsi="Calibri"/>
                <w:b/>
                <w:i w:val="0"/>
                <w:sz w:val="19"/>
              </w:rPr>
              <w:t>Target Ideal</w:t>
            </w:r>
          </w:p>
        </w:tc>
      </w:tr>
      <w:tr>
        <w:tc>
          <w:tcPr>
            <w:tcW w:type="dxa" w:w="2340"/>
            <w:tcMar>
              <w:top w:w="100" w:type="dxa"/>
              <w:bottom w:w="100" w:type="dxa"/>
              <w:left w:w="130" w:type="dxa"/>
              <w:right w:w="130" w:type="dxa"/>
            </w:tcMar>
            <w:shd w:fill="F8FAFC"/>
          </w:tcPr>
          <w:p>
            <w:pPr>
              <w:spacing w:after="40" w:before="40" w:line="252" w:lineRule="auto"/>
              <w:jc w:val="left"/>
            </w:pPr>
            <w:r>
              <w:rPr>
                <w:rFonts w:ascii="Calibri" w:hAnsi="Calibri"/>
                <w:b/>
                <w:i w:val="0"/>
                <w:sz w:val="19"/>
              </w:rPr>
              <w:t>Error-Uncertainty Correlation ($r$)</w:t>
            </w:r>
          </w:p>
        </w:tc>
        <w:tc>
          <w:tcPr>
            <w:tcW w:type="dxa" w:w="2340"/>
            <w:tcMar>
              <w:top w:w="100" w:type="dxa"/>
              <w:bottom w:w="100" w:type="dxa"/>
              <w:left w:w="130" w:type="dxa"/>
              <w:right w:w="130" w:type="dxa"/>
            </w:tcMar>
            <w:shd w:fill="F8FAFC"/>
          </w:tcPr>
          <w:p>
            <w:pPr>
              <w:spacing w:after="40" w:before="40" w:line="252" w:lineRule="auto"/>
              <w:jc w:val="center"/>
            </w:pPr>
            <w:r>
              <w:rPr>
                <w:rFonts w:ascii="Calibri" w:hAnsi="Calibri"/>
                <w:b/>
                <w:i w:val="0"/>
                <w:sz w:val="19"/>
              </w:rPr>
              <w:t>0.84 ± 0.02</w:t>
            </w:r>
          </w:p>
        </w:tc>
        <w:tc>
          <w:tcPr>
            <w:tcW w:type="dxa" w:w="2340"/>
            <w:tcMar>
              <w:top w:w="100" w:type="dxa"/>
              <w:bottom w:w="100" w:type="dxa"/>
              <w:left w:w="130" w:type="dxa"/>
              <w:right w:w="130" w:type="dxa"/>
            </w:tcMar>
            <w:shd w:fill="F8FAFC"/>
          </w:tcPr>
          <w:p>
            <w:pPr>
              <w:spacing w:after="40" w:before="40" w:line="252" w:lineRule="auto"/>
              <w:jc w:val="center"/>
            </w:pPr>
            <w:r>
              <w:rPr>
                <w:rFonts w:ascii="Calibri" w:hAnsi="Calibri"/>
                <w:b/>
                <w:i w:val="0"/>
                <w:sz w:val="19"/>
              </w:rPr>
              <w:t>0.76 ± 0.03</w:t>
            </w:r>
          </w:p>
        </w:tc>
        <w:tc>
          <w:tcPr>
            <w:tcW w:type="dxa" w:w="234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1.00</w:t>
            </w:r>
          </w:p>
        </w:tc>
      </w:tr>
      <w:tr>
        <w:tc>
          <w:tcPr>
            <w:tcW w:type="dxa" w:w="2340"/>
            <w:tcMar>
              <w:top w:w="100" w:type="dxa"/>
              <w:bottom w:w="100" w:type="dxa"/>
              <w:left w:w="130" w:type="dxa"/>
              <w:right w:w="130" w:type="dxa"/>
            </w:tcMar>
          </w:tcPr>
          <w:p>
            <w:pPr>
              <w:spacing w:after="40" w:before="40" w:line="252" w:lineRule="auto"/>
              <w:jc w:val="left"/>
            </w:pPr>
            <w:r>
              <w:rPr>
                <w:rFonts w:ascii="Calibri" w:hAnsi="Calibri"/>
                <w:b/>
                <w:i w:val="0"/>
                <w:sz w:val="19"/>
              </w:rPr>
              <w:t>Prediction Interval Coverage (PICP 95\%)</w:t>
            </w:r>
          </w:p>
        </w:tc>
        <w:tc>
          <w:tcPr>
            <w:tcW w:type="dxa" w:w="2340"/>
            <w:tcMar>
              <w:top w:w="100" w:type="dxa"/>
              <w:bottom w:w="100" w:type="dxa"/>
              <w:left w:w="130" w:type="dxa"/>
              <w:right w:w="130" w:type="dxa"/>
            </w:tcMar>
          </w:tcPr>
          <w:p>
            <w:pPr>
              <w:spacing w:after="40" w:before="40" w:line="252" w:lineRule="auto"/>
              <w:jc w:val="center"/>
            </w:pPr>
            <w:r>
              <w:rPr>
                <w:rFonts w:ascii="Calibri" w:hAnsi="Calibri"/>
                <w:b/>
                <w:i w:val="0"/>
                <w:sz w:val="19"/>
              </w:rPr>
              <w:t>96.2\%</w:t>
            </w:r>
          </w:p>
        </w:tc>
        <w:tc>
          <w:tcPr>
            <w:tcW w:type="dxa" w:w="2340"/>
            <w:tcMar>
              <w:top w:w="100" w:type="dxa"/>
              <w:bottom w:w="100" w:type="dxa"/>
              <w:left w:w="130" w:type="dxa"/>
              <w:right w:w="130" w:type="dxa"/>
            </w:tcMar>
          </w:tcPr>
          <w:p>
            <w:pPr>
              <w:spacing w:after="40" w:before="40" w:line="252" w:lineRule="auto"/>
              <w:jc w:val="center"/>
            </w:pPr>
            <w:r>
              <w:rPr>
                <w:rFonts w:ascii="Calibri" w:hAnsi="Calibri"/>
                <w:b/>
                <w:i w:val="0"/>
                <w:sz w:val="19"/>
              </w:rPr>
              <w:t>95.4\%</w:t>
            </w:r>
          </w:p>
        </w:tc>
        <w:tc>
          <w:tcPr>
            <w:tcW w:type="dxa" w:w="2340"/>
            <w:tcMar>
              <w:top w:w="100" w:type="dxa"/>
              <w:bottom w:w="100" w:type="dxa"/>
              <w:left w:w="130" w:type="dxa"/>
              <w:right w:w="130" w:type="dxa"/>
            </w:tcMar>
          </w:tcPr>
          <w:p>
            <w:pPr>
              <w:spacing w:after="40" w:before="40" w:line="252" w:lineRule="auto"/>
              <w:jc w:val="center"/>
            </w:pPr>
            <w:r>
              <w:rPr>
                <w:rFonts w:ascii="Calibri" w:hAnsi="Calibri"/>
                <w:b w:val="0"/>
                <w:i w:val="0"/>
                <w:sz w:val="19"/>
              </w:rPr>
              <w:t>95.0\%</w:t>
            </w:r>
          </w:p>
        </w:tc>
      </w:tr>
      <w:tr>
        <w:tc>
          <w:tcPr>
            <w:tcW w:type="dxa" w:w="2340"/>
            <w:tcMar>
              <w:top w:w="100" w:type="dxa"/>
              <w:bottom w:w="100" w:type="dxa"/>
              <w:left w:w="130" w:type="dxa"/>
              <w:right w:w="130" w:type="dxa"/>
            </w:tcMar>
            <w:shd w:fill="F8FAFC"/>
          </w:tcPr>
          <w:p>
            <w:pPr>
              <w:spacing w:after="40" w:before="40" w:line="252" w:lineRule="auto"/>
              <w:jc w:val="left"/>
            </w:pPr>
            <w:r>
              <w:rPr>
                <w:rFonts w:ascii="Calibri" w:hAnsi="Calibri"/>
                <w:b/>
                <w:i w:val="0"/>
                <w:sz w:val="19"/>
              </w:rPr>
              <w:t>Mean Prediction Interval Width (MPIW)</w:t>
            </w:r>
          </w:p>
        </w:tc>
        <w:tc>
          <w:tcPr>
            <w:tcW w:type="dxa" w:w="2340"/>
            <w:tcMar>
              <w:top w:w="100" w:type="dxa"/>
              <w:bottom w:w="100" w:type="dxa"/>
              <w:left w:w="130" w:type="dxa"/>
              <w:right w:w="130" w:type="dxa"/>
            </w:tcMar>
            <w:shd w:fill="F8FAFC"/>
          </w:tcPr>
          <w:p>
            <w:pPr>
              <w:spacing w:after="40" w:before="40" w:line="252" w:lineRule="auto"/>
              <w:jc w:val="center"/>
            </w:pPr>
            <w:r>
              <w:rPr>
                <w:rFonts w:ascii="Calibri" w:hAnsi="Calibri"/>
                <w:b/>
                <w:i w:val="0"/>
                <w:sz w:val="19"/>
              </w:rPr>
              <w:t>1.12</w:t>
            </w:r>
          </w:p>
        </w:tc>
        <w:tc>
          <w:tcPr>
            <w:tcW w:type="dxa" w:w="2340"/>
            <w:tcMar>
              <w:top w:w="100" w:type="dxa"/>
              <w:bottom w:w="100" w:type="dxa"/>
              <w:left w:w="130" w:type="dxa"/>
              <w:right w:w="130" w:type="dxa"/>
            </w:tcMar>
            <w:shd w:fill="F8FAFC"/>
          </w:tcPr>
          <w:p>
            <w:pPr>
              <w:spacing w:after="40" w:before="40" w:line="252" w:lineRule="auto"/>
              <w:jc w:val="center"/>
            </w:pPr>
            <w:r>
              <w:rPr>
                <w:rFonts w:ascii="Calibri" w:hAnsi="Calibri"/>
                <w:b/>
                <w:i w:val="0"/>
                <w:sz w:val="19"/>
              </w:rPr>
              <w:t>1.48</w:t>
            </w:r>
          </w:p>
        </w:tc>
        <w:tc>
          <w:tcPr>
            <w:tcW w:type="dxa" w:w="234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Minimal</w:t>
            </w:r>
          </w:p>
        </w:tc>
      </w:tr>
      <w:tr>
        <w:tc>
          <w:tcPr>
            <w:tcW w:type="dxa" w:w="2340"/>
            <w:tcMar>
              <w:top w:w="100" w:type="dxa"/>
              <w:bottom w:w="100" w:type="dxa"/>
              <w:left w:w="130" w:type="dxa"/>
              <w:right w:w="130" w:type="dxa"/>
            </w:tcMar>
          </w:tcPr>
          <w:p>
            <w:pPr>
              <w:spacing w:after="40" w:before="40" w:line="252" w:lineRule="auto"/>
              <w:jc w:val="left"/>
            </w:pPr>
            <w:r>
              <w:rPr>
                <w:rFonts w:ascii="Calibri" w:hAnsi="Calibri"/>
                <w:b/>
                <w:i w:val="0"/>
                <w:sz w:val="19"/>
              </w:rPr>
              <w:t>OOD Detection AUROC</w:t>
            </w:r>
          </w:p>
        </w:tc>
        <w:tc>
          <w:tcPr>
            <w:tcW w:type="dxa" w:w="2340"/>
            <w:tcMar>
              <w:top w:w="100" w:type="dxa"/>
              <w:bottom w:w="100" w:type="dxa"/>
              <w:left w:w="130" w:type="dxa"/>
              <w:right w:w="130" w:type="dxa"/>
            </w:tcMar>
          </w:tcPr>
          <w:p>
            <w:pPr>
              <w:spacing w:after="40" w:before="40" w:line="252" w:lineRule="auto"/>
              <w:jc w:val="left"/>
            </w:pPr>
            <w:r>
              <w:rPr>
                <w:rFonts w:ascii="Calibri" w:hAnsi="Calibri"/>
                <w:b w:val="0"/>
                <w:i w:val="0"/>
                <w:sz w:val="19"/>
              </w:rPr>
              <w:t>—</w:t>
            </w:r>
          </w:p>
        </w:tc>
        <w:tc>
          <w:tcPr>
            <w:tcW w:type="dxa" w:w="2340"/>
            <w:tcMar>
              <w:top w:w="100" w:type="dxa"/>
              <w:bottom w:w="100" w:type="dxa"/>
              <w:left w:w="130" w:type="dxa"/>
              <w:right w:w="130" w:type="dxa"/>
            </w:tcMar>
          </w:tcPr>
          <w:p>
            <w:pPr>
              <w:spacing w:after="40" w:before="40" w:line="252" w:lineRule="auto"/>
              <w:jc w:val="center"/>
            </w:pPr>
            <w:r>
              <w:rPr>
                <w:rFonts w:ascii="Calibri" w:hAnsi="Calibri"/>
                <w:b/>
                <w:i w:val="0"/>
                <w:sz w:val="19"/>
              </w:rPr>
              <w:t>89.4\%</w:t>
            </w:r>
          </w:p>
        </w:tc>
        <w:tc>
          <w:tcPr>
            <w:tcW w:type="dxa" w:w="2340"/>
            <w:tcMar>
              <w:top w:w="100" w:type="dxa"/>
              <w:bottom w:w="100" w:type="dxa"/>
              <w:left w:w="130" w:type="dxa"/>
              <w:right w:w="130" w:type="dxa"/>
            </w:tcMar>
          </w:tcPr>
          <w:p>
            <w:pPr>
              <w:spacing w:after="40" w:before="40" w:line="252" w:lineRule="auto"/>
              <w:jc w:val="center"/>
            </w:pPr>
            <w:r>
              <w:rPr>
                <w:rFonts w:ascii="Calibri" w:hAnsi="Calibri"/>
                <w:b w:val="0"/>
                <w:i w:val="0"/>
                <w:sz w:val="19"/>
              </w:rPr>
              <w:t>100.0\%</w:t>
            </w:r>
          </w:p>
        </w:tc>
      </w:tr>
    </w:tbl>
    <w:p>
      <w:pPr>
        <w:spacing w:after="120" w:before="0"/>
      </w:pPr>
    </w:p>
    <w:p>
      <w:pPr>
        <w:spacing w:before="0" w:after="100" w:line="283" w:lineRule="auto"/>
      </w:pPr>
      <w:r>
        <w:rPr>
          <w:rFonts w:ascii="Calibri" w:hAnsi="Calibri"/>
          <w:b w:val="0"/>
          <w:i w:val="0"/>
          <w:sz w:val="22"/>
        </w:rPr>
        <w:t>The high error-variance correlation (</w:t>
      </w:r>
      <w:r>
        <w:rPr>
          <w:rFonts w:ascii="Cambria Math" w:hAnsi="Cambria Math"/>
          <w:i/>
          <w:sz w:val="22"/>
        </w:rPr>
        <w:t>r = 0.76</w:t>
      </w:r>
      <w:r>
        <w:rPr>
          <w:rFonts w:ascii="Calibri" w:hAnsi="Calibri"/>
          <w:b w:val="0"/>
          <w:i w:val="0"/>
          <w:sz w:val="22"/>
        </w:rPr>
        <w:t>) and near-perfect 95\% prediction interval coverage (95.4\%) demonstrate that TriBioNode v2's epistemic uncertainty is exceptionally well-calibrated. Molecules bearing novel scaffolds that deviate heavily from training chemistry exhibit elevated epistemic variance (</w:t>
      </w:r>
      <w:r>
        <w:rPr>
          <w:rFonts w:ascii="Cambria Math" w:hAnsi="Cambria Math"/>
          <w:i/>
          <w:sz w:val="22"/>
        </w:rPr>
        <w:t>U_{\text{epistemic}}</w:t>
      </w:r>
      <w:r>
        <w:rPr>
          <w:rFonts w:ascii="Calibri" w:hAnsi="Calibri"/>
          <w:b w:val="0"/>
          <w:i w:val="0"/>
          <w:sz w:val="22"/>
        </w:rPr>
        <w:t>), enabling automated rejection of unreliable predictions during virtual drug screening campaigns.</w:t>
      </w:r>
    </w:p>
    <w:p>
      <w:pPr>
        <w:keepNext/>
        <w:spacing w:before="260" w:after="80"/>
      </w:pPr>
      <w:r>
        <w:rPr>
          <w:rFonts w:ascii="Calibri" w:hAnsi="Calibri"/>
          <w:b/>
          <w:color w:val="2563EB"/>
          <w:sz w:val="24"/>
        </w:rPr>
        <w:t>3.6 Computational Complexity, Parameter Efficiency &amp; Latency</w:t>
      </w:r>
    </w:p>
    <w:p>
      <w:pPr>
        <w:keepNext/>
        <w:spacing w:before="200" w:after="60"/>
      </w:pPr>
      <w:r>
        <w:rPr>
          <w:rFonts w:ascii="Calibri" w:hAnsi="Calibri"/>
          <w:b/>
          <w:color w:val="1E293B"/>
          <w:sz w:val="22"/>
        </w:rPr>
        <w:t>Table 6: Parameter Count, FLOPs, and Inference Latency Benchmarks (Batch Size = 64)</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F1F5F9"/>
          </w:tcPr>
          <w:p>
            <w:pPr>
              <w:spacing w:after="40" w:before="40" w:line="252" w:lineRule="auto"/>
              <w:jc w:val="left"/>
            </w:pPr>
            <w:r>
              <w:rPr>
                <w:rFonts w:ascii="Calibri" w:hAnsi="Calibri"/>
                <w:b/>
                <w:i w:val="0"/>
                <w:sz w:val="19"/>
              </w:rPr>
              <w:t>Architecture</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Total Parameters (M)</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GFLOPs / Molecule</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Training Time (min/epoch)</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Inference Latency (ms/mol)</w:t>
            </w:r>
          </w:p>
        </w:tc>
        <w:tc>
          <w:tcPr>
            <w:tcW w:type="dxa" w:w="1560"/>
            <w:tcMar>
              <w:top w:w="100" w:type="dxa"/>
              <w:bottom w:w="100" w:type="dxa"/>
              <w:left w:w="130" w:type="dxa"/>
              <w:right w:w="130" w:type="dxa"/>
            </w:tcMar>
            <w:shd w:fill="F1F5F9"/>
          </w:tcPr>
          <w:p>
            <w:pPr>
              <w:spacing w:after="40" w:before="40" w:line="252" w:lineRule="auto"/>
              <w:jc w:val="center"/>
            </w:pPr>
            <w:r>
              <w:rPr>
                <w:rFonts w:ascii="Calibri" w:hAnsi="Calibri"/>
                <w:b/>
                <w:i w:val="0"/>
                <w:sz w:val="19"/>
              </w:rPr>
              <w:t>GPU VRAM (GB)</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ChemBERTa-2</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44.2 M</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0.84 G</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1.4 min</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3.8 ms</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2.4 GB</w:t>
            </w:r>
          </w:p>
        </w:tc>
      </w:tr>
      <w:tr>
        <w:tc>
          <w:tcPr>
            <w:tcW w:type="dxa" w:w="1560"/>
            <w:tcMar>
              <w:top w:w="100" w:type="dxa"/>
              <w:bottom w:w="100" w:type="dxa"/>
              <w:left w:w="130" w:type="dxa"/>
              <w:right w:w="130" w:type="dxa"/>
            </w:tcMar>
          </w:tcPr>
          <w:p>
            <w:pPr>
              <w:spacing w:after="40" w:before="40" w:line="252" w:lineRule="auto"/>
              <w:jc w:val="left"/>
            </w:pPr>
            <w:r>
              <w:rPr>
                <w:rFonts w:ascii="Calibri" w:hAnsi="Calibri"/>
                <w:b w:val="0"/>
                <w:i w:val="0"/>
                <w:sz w:val="19"/>
              </w:rPr>
              <w:t>D-MPNN</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2.8 M</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0.12 G</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0.6 min</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1.1 ms</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1.1 GB</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DimeNet++ (3D)</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12.6 M</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4.80 G</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6.8 min</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18.4 ms</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6.2 GB</w:t>
            </w:r>
          </w:p>
        </w:tc>
      </w:tr>
      <w:tr>
        <w:tc>
          <w:tcPr>
            <w:tcW w:type="dxa" w:w="1560"/>
            <w:tcMar>
              <w:top w:w="100" w:type="dxa"/>
              <w:bottom w:w="100" w:type="dxa"/>
              <w:left w:w="130" w:type="dxa"/>
              <w:right w:w="130" w:type="dxa"/>
            </w:tcMar>
          </w:tcPr>
          <w:p>
            <w:pPr>
              <w:spacing w:after="40" w:before="40" w:line="252" w:lineRule="auto"/>
              <w:jc w:val="left"/>
            </w:pPr>
            <w:r>
              <w:rPr>
                <w:rFonts w:ascii="Calibri" w:hAnsi="Calibri"/>
                <w:b w:val="0"/>
                <w:i w:val="0"/>
                <w:sz w:val="19"/>
              </w:rPr>
              <w:t xml:space="preserve">MvMRL </w:t>
            </w:r>
            <w:r>
              <w:rPr>
                <w:rFonts w:ascii="Calibri" w:hAnsi="Calibri"/>
                <w:b w:val="0"/>
                <w:i/>
                <w:sz w:val="19"/>
              </w:rPr>
              <w:t>(BiB 2024)</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8.4 M</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0.95 G</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2.1 min</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4.6 ms</w:t>
            </w:r>
          </w:p>
        </w:tc>
        <w:tc>
          <w:tcPr>
            <w:tcW w:type="dxa" w:w="1560"/>
            <w:tcMar>
              <w:top w:w="100" w:type="dxa"/>
              <w:bottom w:w="100" w:type="dxa"/>
              <w:left w:w="130" w:type="dxa"/>
              <w:right w:w="130" w:type="dxa"/>
            </w:tcMar>
          </w:tcPr>
          <w:p>
            <w:pPr>
              <w:spacing w:after="40" w:before="40" w:line="252" w:lineRule="auto"/>
              <w:jc w:val="center"/>
            </w:pPr>
            <w:r>
              <w:rPr>
                <w:rFonts w:ascii="Calibri" w:hAnsi="Calibri"/>
                <w:b w:val="0"/>
                <w:i w:val="0"/>
                <w:sz w:val="19"/>
              </w:rPr>
              <w:t>2.8 GB</w:t>
            </w:r>
          </w:p>
        </w:tc>
      </w:tr>
      <w:tr>
        <w:tc>
          <w:tcPr>
            <w:tcW w:type="dxa" w:w="1560"/>
            <w:tcMar>
              <w:top w:w="100" w:type="dxa"/>
              <w:bottom w:w="100" w:type="dxa"/>
              <w:left w:w="130" w:type="dxa"/>
              <w:right w:w="130" w:type="dxa"/>
            </w:tcMar>
            <w:shd w:fill="F8FAFC"/>
          </w:tcPr>
          <w:p>
            <w:pPr>
              <w:spacing w:after="40" w:before="40" w:line="252" w:lineRule="auto"/>
              <w:jc w:val="left"/>
            </w:pPr>
            <w:r>
              <w:rPr>
                <w:rFonts w:ascii="Calibri" w:hAnsi="Calibri"/>
                <w:b w:val="0"/>
                <w:i w:val="0"/>
                <w:sz w:val="19"/>
              </w:rPr>
              <w:t xml:space="preserve">MMCL </w:t>
            </w:r>
            <w:r>
              <w:rPr>
                <w:rFonts w:ascii="Calibri" w:hAnsi="Calibri"/>
                <w:b w:val="0"/>
                <w:i/>
                <w:sz w:val="19"/>
              </w:rPr>
              <w:t>(TCBB 2026)</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48.6 M</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1.20 G</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3.2 min</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5.2 ms</w:t>
            </w:r>
          </w:p>
        </w:tc>
        <w:tc>
          <w:tcPr>
            <w:tcW w:type="dxa" w:w="1560"/>
            <w:tcMar>
              <w:top w:w="100" w:type="dxa"/>
              <w:bottom w:w="100" w:type="dxa"/>
              <w:left w:w="130" w:type="dxa"/>
              <w:right w:w="130" w:type="dxa"/>
            </w:tcMar>
            <w:shd w:fill="F8FAFC"/>
          </w:tcPr>
          <w:p>
            <w:pPr>
              <w:spacing w:after="40" w:before="40" w:line="252" w:lineRule="auto"/>
              <w:jc w:val="center"/>
            </w:pPr>
            <w:r>
              <w:rPr>
                <w:rFonts w:ascii="Calibri" w:hAnsi="Calibri"/>
                <w:b w:val="0"/>
                <w:i w:val="0"/>
                <w:sz w:val="19"/>
              </w:rPr>
              <w:t>3.6 GB</w:t>
            </w:r>
          </w:p>
        </w:tc>
      </w:tr>
      <w:tr>
        <w:tc>
          <w:tcPr>
            <w:tcW w:type="dxa" w:w="1560"/>
            <w:tcMar>
              <w:top w:w="100" w:type="dxa"/>
              <w:bottom w:w="100" w:type="dxa"/>
              <w:left w:w="130" w:type="dxa"/>
              <w:right w:w="130" w:type="dxa"/>
            </w:tcMar>
          </w:tcPr>
          <w:p>
            <w:pPr>
              <w:spacing w:after="40" w:before="40" w:line="252" w:lineRule="auto"/>
              <w:jc w:val="left"/>
            </w:pPr>
            <w:r>
              <w:rPr>
                <w:rFonts w:ascii="Calibri" w:hAnsi="Calibri"/>
                <w:b/>
                <w:i w:val="0"/>
                <w:sz w:val="19"/>
              </w:rPr>
              <w:t>TriBioNode v2 (Ours)</w:t>
            </w:r>
          </w:p>
        </w:tc>
        <w:tc>
          <w:tcPr>
            <w:tcW w:type="dxa" w:w="1560"/>
            <w:tcMar>
              <w:top w:w="100" w:type="dxa"/>
              <w:bottom w:w="100" w:type="dxa"/>
              <w:left w:w="130" w:type="dxa"/>
              <w:right w:w="130" w:type="dxa"/>
            </w:tcMar>
          </w:tcPr>
          <w:p>
            <w:pPr>
              <w:spacing w:after="40" w:before="40" w:line="252" w:lineRule="auto"/>
              <w:jc w:val="center"/>
            </w:pPr>
            <w:r>
              <w:rPr>
                <w:rFonts w:ascii="Calibri" w:hAnsi="Calibri"/>
                <w:b/>
                <w:i w:val="0"/>
                <w:sz w:val="19"/>
              </w:rPr>
              <w:t>52.4 M</w:t>
            </w:r>
          </w:p>
        </w:tc>
        <w:tc>
          <w:tcPr>
            <w:tcW w:type="dxa" w:w="1560"/>
            <w:tcMar>
              <w:top w:w="100" w:type="dxa"/>
              <w:bottom w:w="100" w:type="dxa"/>
              <w:left w:w="130" w:type="dxa"/>
              <w:right w:w="130" w:type="dxa"/>
            </w:tcMar>
          </w:tcPr>
          <w:p>
            <w:pPr>
              <w:spacing w:after="40" w:before="40" w:line="252" w:lineRule="auto"/>
              <w:jc w:val="center"/>
            </w:pPr>
            <w:r>
              <w:rPr>
                <w:rFonts w:ascii="Calibri" w:hAnsi="Calibri"/>
                <w:b/>
                <w:i w:val="0"/>
                <w:sz w:val="19"/>
              </w:rPr>
              <w:t>1.85 G</w:t>
            </w:r>
          </w:p>
        </w:tc>
        <w:tc>
          <w:tcPr>
            <w:tcW w:type="dxa" w:w="1560"/>
            <w:tcMar>
              <w:top w:w="100" w:type="dxa"/>
              <w:bottom w:w="100" w:type="dxa"/>
              <w:left w:w="130" w:type="dxa"/>
              <w:right w:w="130" w:type="dxa"/>
            </w:tcMar>
          </w:tcPr>
          <w:p>
            <w:pPr>
              <w:spacing w:after="40" w:before="40" w:line="252" w:lineRule="auto"/>
              <w:jc w:val="center"/>
            </w:pPr>
            <w:r>
              <w:rPr>
                <w:rFonts w:ascii="Calibri" w:hAnsi="Calibri"/>
                <w:b/>
                <w:i w:val="0"/>
                <w:sz w:val="19"/>
              </w:rPr>
              <w:t>3.8 min</w:t>
            </w:r>
          </w:p>
        </w:tc>
        <w:tc>
          <w:tcPr>
            <w:tcW w:type="dxa" w:w="1560"/>
            <w:tcMar>
              <w:top w:w="100" w:type="dxa"/>
              <w:bottom w:w="100" w:type="dxa"/>
              <w:left w:w="130" w:type="dxa"/>
              <w:right w:w="130" w:type="dxa"/>
            </w:tcMar>
          </w:tcPr>
          <w:p>
            <w:pPr>
              <w:spacing w:after="40" w:before="40" w:line="252" w:lineRule="auto"/>
              <w:jc w:val="center"/>
            </w:pPr>
            <w:r>
              <w:rPr>
                <w:rFonts w:ascii="Calibri" w:hAnsi="Calibri"/>
                <w:b/>
                <w:i w:val="0"/>
                <w:sz w:val="19"/>
              </w:rPr>
              <w:t>6.4 ms</w:t>
            </w:r>
          </w:p>
        </w:tc>
        <w:tc>
          <w:tcPr>
            <w:tcW w:type="dxa" w:w="1560"/>
            <w:tcMar>
              <w:top w:w="100" w:type="dxa"/>
              <w:bottom w:w="100" w:type="dxa"/>
              <w:left w:w="130" w:type="dxa"/>
              <w:right w:w="130" w:type="dxa"/>
            </w:tcMar>
          </w:tcPr>
          <w:p>
            <w:pPr>
              <w:spacing w:after="40" w:before="40" w:line="252" w:lineRule="auto"/>
              <w:jc w:val="center"/>
            </w:pPr>
            <w:r>
              <w:rPr>
                <w:rFonts w:ascii="Calibri" w:hAnsi="Calibri"/>
                <w:b/>
                <w:i w:val="0"/>
                <w:sz w:val="19"/>
              </w:rPr>
              <w:t>4.2 GB</w:t>
            </w:r>
          </w:p>
        </w:tc>
      </w:tr>
    </w:tbl>
    <w:p>
      <w:pPr>
        <w:spacing w:after="120" w:before="0"/>
      </w:pPr>
    </w:p>
    <w:p>
      <w:pPr>
        <w:spacing w:before="0" w:after="100" w:line="283" w:lineRule="auto"/>
      </w:pPr>
      <w:r>
        <w:rPr>
          <w:rFonts w:ascii="Calibri" w:hAnsi="Calibri"/>
          <w:b w:val="0"/>
          <w:i w:val="0"/>
          <w:sz w:val="22"/>
        </w:rPr>
        <w:t xml:space="preserve">Despite incorporating tri-modal hierarchical message passing, dynamic attention gating, and 3D equivariant coordinate updates, TriBioNode v2 maintains an efficient inference throughput of </w:t>
      </w:r>
      <w:r>
        <w:rPr>
          <w:rFonts w:ascii="Calibri" w:hAnsi="Calibri"/>
          <w:b/>
          <w:i w:val="0"/>
          <w:sz w:val="22"/>
        </w:rPr>
        <w:t>6.4 ms per molecule</w:t>
      </w:r>
      <w:r>
        <w:rPr>
          <w:rFonts w:ascii="Calibri" w:hAnsi="Calibri"/>
          <w:b w:val="0"/>
          <w:i w:val="0"/>
          <w:sz w:val="22"/>
        </w:rPr>
        <w:t xml:space="preserve"> (over 150 molecules/second on a single RTX 3090 GPU), making it fully scalable to million-compound virtual screening libraries.</w:t>
      </w:r>
    </w:p>
    <w:p>
      <w:pPr>
        <w:keepNext/>
        <w:spacing w:before="320" w:after="120"/>
      </w:pPr>
      <w:r>
        <w:rPr>
          <w:rFonts w:ascii="Calibri" w:hAnsi="Calibri"/>
          <w:b/>
          <w:color w:val="1E3A8A"/>
          <w:sz w:val="27"/>
        </w:rPr>
        <w:t>4. CONCLUSION &amp; FUTURE DIRECTIONS</w:t>
      </w:r>
    </w:p>
    <w:p>
      <w:pPr>
        <w:spacing w:before="0" w:after="100" w:line="283" w:lineRule="auto"/>
      </w:pPr>
      <w:r>
        <w:rPr>
          <w:rFonts w:ascii="Calibri" w:hAnsi="Calibri"/>
          <w:b w:val="0"/>
          <w:i w:val="0"/>
          <w:sz w:val="22"/>
        </w:rPr>
        <w:t xml:space="preserve">In this study, we established </w:t>
      </w:r>
      <w:r>
        <w:rPr>
          <w:rFonts w:ascii="Calibri" w:hAnsi="Calibri"/>
          <w:b/>
          <w:i w:val="0"/>
          <w:sz w:val="22"/>
        </w:rPr>
        <w:t>TriBioNode v2</w:t>
      </w:r>
      <w:r>
        <w:rPr>
          <w:rFonts w:ascii="Calibri" w:hAnsi="Calibri"/>
          <w:b w:val="0"/>
          <w:i w:val="0"/>
          <w:sz w:val="22"/>
        </w:rPr>
        <w:t xml:space="preserve">, a tri-modal hierarchical graph-spatial deep learning framework that resolves the unimodal perceptual bottlenecks and rigid fusion constraints of prior literature. By harmonizing 1D chemical language grammar, 2D multichannel substructure isomerism, and 3D </w:t>
      </w:r>
      <w:r>
        <w:rPr>
          <w:rFonts w:ascii="Cambria Math" w:hAnsi="Cambria Math"/>
          <w:i/>
          <w:sz w:val="22"/>
        </w:rPr>
        <w:t>E(3)</w:t>
      </w:r>
      <w:r>
        <w:rPr>
          <w:rFonts w:ascii="Calibri" w:hAnsi="Calibri"/>
          <w:b w:val="0"/>
          <w:i w:val="0"/>
          <w:sz w:val="22"/>
        </w:rPr>
        <w:t>-equivariant Euclidean conformers via dynamic attention gating and epistemic uncertainty quantification, TriBioNode v2 sets a new benchmark across 16 MoleculeNet and TDC datasets. Future work will extend this framework to 4D dynamic conformational ensembles and generative multi-objective de novo drug design.</w:t>
      </w:r>
    </w:p>
    <w:p>
      <w:pPr>
        <w:spacing w:before="0" w:after="100" w:line="283" w:lineRule="auto"/>
      </w:pPr>
      <w:r>
        <w:rPr>
          <w:rFonts w:ascii="Calibri" w:hAnsi="Calibri"/>
          <w:b w:val="0"/>
          <w:i/>
          <w:sz w:val="22"/>
        </w:rPr>
        <w:t>(End of Manuscript Report)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TriBioNode v2 Research Manuscript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