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bt即为backtrader框架本身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Bt接口即为backtrader所能提供的接口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dataFeed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整个数据加载过程如下：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数据源：本地数据——》格式化：bt接口——》载入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指各种途径获取的本地数据，可以是第三方tushare，本地数据库，本地csv，无关格式，有数据就行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1找到跟自己数据源匹配的接口.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比如tushare用的是pandas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俗称数据加工，为了把本地数据跟bt里的datafeeds接口对接，对接接口如下：</w:t>
      </w:r>
    </w:p>
    <w:p>
      <w:r>
        <w:drawing>
          <wp:inline distT="0" distB="0" distL="114300" distR="114300">
            <wp:extent cx="5273040" cy="2996565"/>
            <wp:effectExtent l="0" t="0" r="381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2按bt参数要求，进行数据格式处理</w:t>
      </w:r>
      <w:r>
        <w:drawing>
          <wp:inline distT="0" distB="0" distL="114300" distR="114300">
            <wp:extent cx="2857500" cy="3886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比如：pandas的是按以上6个字段进行格式化</w:t>
      </w:r>
    </w:p>
    <w:p>
      <w:r>
        <w:drawing>
          <wp:inline distT="0" distB="0" distL="114300" distR="114300">
            <wp:extent cx="4210050" cy="2295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多数据载入，用name进行区分。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调用及生命周期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cerebro导入后，只表示在self.datas里存在多个数据集合，在next函数里买入时，仍旧需要通过data=self.getdatabyname(stock)来获取数据集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调用方案1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在datafeed被载入后，可使用self.datas来访问加载数据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Self.datas[0]或者self.data0表示第一支股票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Self.datas[1]表示第二支股票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Self.data=self.data0=self.data[0]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规范化，建议用self.data0表第一个股票，self.data1表第二支股票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调用方案2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载入adddata时，如果用了指定了股票名称，使用self.getdatabyname(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)获取数据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default"/>
          <w:b/>
          <w:lang w:val="en-US" w:eastAsia="zh-CN"/>
        </w:rPr>
        <w:t>TestStrategy</w:t>
      </w:r>
      <w:r>
        <w:rPr>
          <w:rFonts w:hint="eastAsia"/>
          <w:b/>
          <w:lang w:val="en-US" w:eastAsia="zh-CN"/>
        </w:rPr>
        <w:t>_next使用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重要参数：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Data：股票/期货种类，默认cerebro加载的第一个数据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Size：交易数量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E61A2"/>
          <w:spacing w:val="0"/>
          <w:sz w:val="24"/>
          <w:szCs w:val="24"/>
        </w:rPr>
        <w:t>self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</w:rPr>
        <w:t>.buy()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elf.sell()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elf.close()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默认data跟size是空，平仓当前data的数据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37474F"/>
          <w:spacing w:val="0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elf.cancel()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传入的参数是order,self.cancel(order)会把这个order给平掉，如果这个order还没有成交的话。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order_target_size：按仓位市值成交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arget：int，目标值，比如50000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效果：使用后，当前bar上的value就是target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order_target_percent：按仓位百分比成交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参数：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D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ata：数据对象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iCs w:val="0"/>
          <w:color w:val="37474F"/>
          <w:spacing w:val="0"/>
          <w:sz w:val="24"/>
          <w:szCs w:val="24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arget：小数点，目标值，比如0.5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37474F"/>
          <w:spacing w:val="0"/>
          <w:sz w:val="24"/>
          <w:szCs w:val="24"/>
          <w:lang w:val="en-US" w:eastAsia="zh-CN"/>
        </w:rPr>
        <w:t>效果：使用后，市值为target*self.broker.get_value()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框架解析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I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nit：self的属性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tart策略开始运行，主要用于调试用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prenext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指标生效的最小周期bar的值，在bar满足后，进入next函数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next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策略主要部分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stop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策略结束打印的输出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notify_cashvalue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 xml:space="preserve"> 获取cash和value变动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notify_order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获取订单变动，有套自己的固定打印模板即可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notify_trade</w:t>
      </w:r>
      <w:r>
        <w:rPr>
          <w:rFonts w:hint="eastAsia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  <w:t>打印交易的变动信息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21" w:lineRule="atLeast"/>
        <w:ind w:leftChars="0" w:right="0" w:rightChars="0"/>
        <w:textAlignment w:val="top"/>
        <w:rPr>
          <w:rFonts w:hint="default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函数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执行成本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order.executed.value</w:t>
      </w:r>
      <w:r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，只对buy有效，sell不准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获取一个data的持仓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 xml:space="preserve">self.getposition(self.datas[0]).size 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self.getposition().size</w:t>
      </w:r>
    </w:p>
    <w:p>
      <w:pPr>
        <w:keepNext w:val="0"/>
        <w:keepLines w:val="0"/>
        <w:widowControl/>
        <w:suppressLineNumbers w:val="0"/>
        <w:shd w:val="clear" w:fill="141322"/>
        <w:spacing w:line="285" w:lineRule="atLeast"/>
        <w:ind w:firstLine="420" w:firstLineChars="0"/>
        <w:jc w:val="left"/>
        <w:rPr>
          <w:rFonts w:ascii="Consolas" w:hAnsi="Consolas" w:eastAsia="Consolas" w:cs="Consolas"/>
          <w:b w:val="0"/>
          <w:bCs w:val="0"/>
          <w:color w:val="94B4C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4B4C4"/>
          <w:kern w:val="0"/>
          <w:sz w:val="21"/>
          <w:szCs w:val="21"/>
          <w:shd w:val="clear" w:fill="141322"/>
          <w:lang w:val="en-US" w:eastAsia="zh-CN" w:bidi="ar"/>
        </w:rPr>
        <w:t>order.executed.size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获取当前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市值。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self.broker.get_value()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获取当前现金</w:t>
      </w: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。</w:t>
      </w:r>
      <w:r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>self.broker.get_cash()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成员变量</w:t>
      </w:r>
      <w:r>
        <w:t>Open, High, Low, Close, Volume, OpenInterest</w:t>
      </w:r>
    </w:p>
    <w:p>
      <w:pPr>
        <w:numPr>
          <w:ilvl w:val="0"/>
          <w:numId w:val="2"/>
        </w:numPr>
        <w:bidi w:val="0"/>
        <w:ind w:left="420" w:leftChars="0" w:hanging="420" w:firstLineChars="0"/>
      </w:pPr>
      <w:r>
        <w:rPr>
          <w:rFonts w:hint="eastAsia"/>
          <w:lang w:val="en-US" w:eastAsia="zh-CN"/>
        </w:rPr>
        <w:t>先获取线变量集合，再从集合里按时间序列获取当日值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</w:pPr>
      <w:r>
        <w:rPr>
          <w:rFonts w:hint="eastAsia"/>
          <w:lang w:val="en-US" w:eastAsia="zh-CN"/>
        </w:rPr>
        <w:t xml:space="preserve">获取所有收盘价格 </w:t>
      </w:r>
      <w:r>
        <w:rPr>
          <w:rFonts w:hint="eastAsia" w:ascii="Courier New" w:hAnsi="Courier New" w:cs="Courier New"/>
          <w:i w:val="0"/>
          <w:iCs w:val="0"/>
          <w:caps w:val="0"/>
          <w:color w:val="3E61A2"/>
          <w:spacing w:val="0"/>
          <w:sz w:val="22"/>
          <w:szCs w:val="22"/>
          <w:lang w:val="en-US" w:eastAsia="zh-CN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E61A2"/>
          <w:spacing w:val="0"/>
          <w:sz w:val="22"/>
          <w:szCs w:val="22"/>
        </w:rPr>
        <w:t>self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.datas[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74C3C"/>
          <w:spacing w:val="0"/>
          <w:sz w:val="22"/>
          <w:szCs w:val="22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7474F"/>
          <w:spacing w:val="0"/>
          <w:sz w:val="22"/>
          <w:szCs w:val="22"/>
        </w:rPr>
        <w:t>].close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0" w:right="0" w:firstLine="0"/>
        <w:textAlignment w:val="top"/>
        <w:rPr>
          <w:rFonts w:hint="default" w:ascii="Courier New" w:hAnsi="Courier New" w:eastAsia="宋体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</w:pPr>
      <w:r>
        <w:rPr>
          <w:rFonts w:hint="eastAsia" w:ascii="Courier New" w:hAnsi="Courier New" w:cs="Courier New"/>
          <w:i w:val="0"/>
          <w:iCs w:val="0"/>
          <w:caps w:val="0"/>
          <w:color w:val="37474F"/>
          <w:spacing w:val="0"/>
          <w:sz w:val="22"/>
          <w:szCs w:val="22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JData聚宽试用版本，每天100w条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Tbquant交易开拓者，同上相互验证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万矿，wind线上平台，研究推介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Tushare，推荐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Quantopian国外基于开源框架的量化平台zipline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掘金量化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Analyzers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以下是方法/函数</w:t>
      </w:r>
    </w:p>
    <w:p>
      <w:pPr>
        <w:pStyle w:val="3"/>
        <w:bidi w:val="0"/>
        <w:rPr>
          <w:rFonts w:hint="eastAsia"/>
          <w:lang w:eastAsia="zh-CN"/>
        </w:rPr>
      </w:pPr>
      <w:r>
        <w:rPr>
          <w:rFonts w:hint="default"/>
        </w:rPr>
        <w:t>AnnualReturn</w:t>
      </w:r>
      <w:r>
        <w:rPr>
          <w:rFonts w:hint="eastAsia"/>
          <w:lang w:val="en-US" w:eastAsia="zh-CN"/>
        </w:rPr>
        <w:t>*****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作用：计算每年的年化收益，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表现：</w:t>
      </w:r>
      <w:r>
        <w:rPr>
          <w:rFonts w:hint="default"/>
          <w:lang w:val="en-US" w:eastAsia="zh-CN"/>
        </w:rPr>
        <w:t>OrderedDict([(2018, -0.02798878564000029), (2019, 0.00506726657803358), (2020, -0.02746462618830192), (2021, 0.03613008372)])</w:t>
      </w:r>
    </w:p>
    <w:p>
      <w:pPr>
        <w:pStyle w:val="3"/>
        <w:keepNext w:val="0"/>
        <w:keepLines w:val="0"/>
        <w:widowControl/>
        <w:suppressLineNumbers w:val="0"/>
        <w:spacing w:line="21" w:lineRule="atLeast"/>
        <w:ind w:left="0" w:firstLine="0"/>
        <w:rPr>
          <w:rFonts w:ascii="Helvetica" w:hAnsi="Helvetica" w:eastAsia="Helvetica" w:cs="Helvetica"/>
          <w:i w:val="0"/>
          <w:iCs w:val="0"/>
          <w:caps w:val="0"/>
          <w:spacing w:val="-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</w:rPr>
        <w:t>Calmar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作用：返回指定天数对应的收益率</w:t>
      </w:r>
    </w:p>
    <w:p>
      <w:pPr>
        <w:pStyle w:val="3"/>
        <w:bidi w:val="0"/>
        <w:rPr>
          <w:rFonts w:hint="default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-2"/>
        </w:rPr>
        <w:t>DrawD</w:t>
      </w:r>
      <w:r>
        <w:rPr>
          <w:rFonts w:hint="default"/>
        </w:rPr>
        <w:t>own</w:t>
      </w:r>
      <w:r>
        <w:rPr>
          <w:rFonts w:hint="eastAsia"/>
          <w:lang w:val="en-US" w:eastAsia="zh-CN"/>
        </w:rPr>
        <w:t>*****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作用：返回回撤值，回撤金额，最大回撤值/金额/</w:t>
      </w:r>
      <w:bookmarkStart w:id="0" w:name="_GoBack"/>
      <w:bookmarkEnd w:id="0"/>
      <w:r>
        <w:rPr>
          <w:rFonts w:hint="eastAsia"/>
          <w:lang w:val="en-US" w:eastAsia="zh-CN"/>
        </w:rPr>
        <w:t>周期</w:t>
      </w:r>
    </w:p>
    <w:p>
      <w:pPr>
        <w:bidi w:val="0"/>
      </w:pPr>
      <w:r>
        <w:rPr>
          <w:rFonts w:hint="default"/>
        </w:rPr>
        <w:t>TimeDrawDown</w:t>
      </w:r>
    </w:p>
    <w:p>
      <w:pPr>
        <w:bidi w:val="0"/>
      </w:pPr>
      <w:r>
        <w:rPr>
          <w:rFonts w:hint="default"/>
        </w:rPr>
        <w:t>GrossLeverage</w:t>
      </w:r>
    </w:p>
    <w:p>
      <w:pPr>
        <w:bidi w:val="0"/>
      </w:pPr>
      <w:r>
        <w:rPr>
          <w:rFonts w:hint="default"/>
        </w:rPr>
        <w:t>PositionsValue</w:t>
      </w:r>
    </w:p>
    <w:p>
      <w:pPr>
        <w:bidi w:val="0"/>
      </w:pPr>
      <w:r>
        <w:rPr>
          <w:rFonts w:hint="default"/>
        </w:rPr>
        <w:t>PyFolio</w:t>
      </w:r>
    </w:p>
    <w:p>
      <w:pPr>
        <w:bidi w:val="0"/>
      </w:pPr>
      <w:r>
        <w:rPr>
          <w:rFonts w:hint="default"/>
        </w:rPr>
        <w:t>LogReturnsRolling</w:t>
      </w:r>
    </w:p>
    <w:p>
      <w:pPr>
        <w:bidi w:val="0"/>
      </w:pPr>
      <w:r>
        <w:rPr>
          <w:rFonts w:hint="default"/>
        </w:rPr>
        <w:t>PeriodStats</w:t>
      </w:r>
    </w:p>
    <w:p>
      <w:pPr>
        <w:bidi w:val="0"/>
      </w:pPr>
      <w:r>
        <w:rPr>
          <w:rFonts w:hint="default"/>
        </w:rPr>
        <w:t>Returns</w:t>
      </w:r>
    </w:p>
    <w:p>
      <w:pPr>
        <w:bidi w:val="0"/>
      </w:pPr>
      <w:r>
        <w:rPr>
          <w:rFonts w:hint="default"/>
        </w:rPr>
        <w:t>SharpeRatio</w:t>
      </w:r>
    </w:p>
    <w:p>
      <w:pPr>
        <w:bidi w:val="0"/>
      </w:pPr>
      <w:r>
        <w:rPr>
          <w:rFonts w:hint="default"/>
        </w:rPr>
        <w:t>SharpeRatio_A</w:t>
      </w:r>
    </w:p>
    <w:p>
      <w:pPr>
        <w:bidi w:val="0"/>
      </w:pPr>
      <w:r>
        <w:rPr>
          <w:rFonts w:hint="default"/>
        </w:rPr>
        <w:t>SQN</w:t>
      </w:r>
    </w:p>
    <w:p>
      <w:pPr>
        <w:bidi w:val="0"/>
      </w:pPr>
      <w:r>
        <w:rPr>
          <w:rFonts w:hint="default"/>
        </w:rPr>
        <w:t>TimeReturn</w:t>
      </w:r>
    </w:p>
    <w:p>
      <w:pPr>
        <w:bidi w:val="0"/>
      </w:pPr>
      <w:r>
        <w:rPr>
          <w:rFonts w:hint="default"/>
        </w:rPr>
        <w:t>TradeAnalyzer</w:t>
      </w:r>
    </w:p>
    <w:p>
      <w:pPr>
        <w:bidi w:val="0"/>
      </w:pPr>
      <w:r>
        <w:rPr>
          <w:rFonts w:hint="default"/>
        </w:rPr>
        <w:t>Transactions</w:t>
      </w:r>
    </w:p>
    <w:p>
      <w:pPr>
        <w:bidi w:val="0"/>
      </w:pPr>
      <w:r>
        <w:rPr>
          <w:rFonts w:hint="default"/>
        </w:rPr>
        <w:t>VWR</w:t>
      </w:r>
    </w:p>
    <w:p>
      <w:pPr>
        <w:bidi w:val="0"/>
        <w:rPr>
          <w:rFonts w:hint="default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0D1783"/>
    <w:multiLevelType w:val="singleLevel"/>
    <w:tmpl w:val="9A0D17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CAB19F6"/>
    <w:multiLevelType w:val="singleLevel"/>
    <w:tmpl w:val="ECAB19F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41DCA"/>
    <w:rsid w:val="0CDC3CBD"/>
    <w:rsid w:val="1667609A"/>
    <w:rsid w:val="376417BC"/>
    <w:rsid w:val="3DF27BC8"/>
    <w:rsid w:val="3E037438"/>
    <w:rsid w:val="444C140D"/>
    <w:rsid w:val="4A15773C"/>
    <w:rsid w:val="517F5A32"/>
    <w:rsid w:val="5B9F0C7C"/>
    <w:rsid w:val="5F9C0FBE"/>
    <w:rsid w:val="66190819"/>
    <w:rsid w:val="706C6596"/>
    <w:rsid w:val="74AD2B35"/>
    <w:rsid w:val="76B7382B"/>
    <w:rsid w:val="77221132"/>
    <w:rsid w:val="7AB9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429</Words>
  <Characters>910</Characters>
  <Lines>0</Lines>
  <Paragraphs>0</Paragraphs>
  <TotalTime>0</TotalTime>
  <ScaleCrop>false</ScaleCrop>
  <LinksUpToDate>false</LinksUpToDate>
  <CharactersWithSpaces>926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2021-09-28T11:22:00Z</dcterms:created>
  <dc:creator>fkvzl</dc:creator>
  <cp:lastModifiedBy>fkvzl</cp:lastModifiedBy>
  <dcterms:modified xsi:type="dcterms:W3CDTF">2021-10-10T03:18:05Z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6C920C42072840989F38777CBE990218</vt:lpwstr>
  </property>
</Properties>
</file>