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Morbidity Tally Sheet - 12/2025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vMerge w:val="restart"/>
          </w:tcPr>
          <w:p>
            <w:r>
              <w:t xml:space="preserve">Disease</w:t>
            </w:r>
          </w:p>
        </w:tc>
        <w:tc>
          <w:tcPr>
            <w:tcW w:type="pct" w:w="10%"/>
            <w:vMerge w:val="restart"/>
          </w:tcPr>
          <w:p>
            <w:r>
              <w:t xml:space="preserve">Code</w:t>
            </w:r>
          </w:p>
        </w:tc>
        <w:tc>
          <w:tcPr>
            <w:tcW w:type="pct" w:w="37%"/>
            <w:gridSpan w:val="6"/>
          </w:tcPr>
          <w:p>
            <w:r>
              <w:t xml:space="preserve">Female</w:t>
            </w:r>
          </w:p>
        </w:tc>
        <w:tc>
          <w:tcPr>
            <w:tcW w:type="pct" w:w="37%"/>
            <w:gridSpan w:val="6"/>
          </w:tcPr>
          <w:p>
            <w:r>
              <w:t xml:space="preserve">Male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pct" w:w="6%"/>
          </w:tcPr>
          <w:p>
            <w:r>
              <w:t xml:space="preserve">&lt;1yrs</w:t>
            </w:r>
          </w:p>
        </w:tc>
        <w:tc>
          <w:tcPr>
            <w:tcW w:type="pct" w:w="6%"/>
          </w:tcPr>
          <w:p>
            <w:r>
              <w:t xml:space="preserve">1-4yrs</w:t>
            </w:r>
          </w:p>
        </w:tc>
        <w:tc>
          <w:tcPr>
            <w:tcW w:type="pct" w:w="6%"/>
          </w:tcPr>
          <w:p>
            <w:r>
              <w:t xml:space="preserve">6-14yrs</w:t>
            </w:r>
          </w:p>
        </w:tc>
        <w:tc>
          <w:tcPr>
            <w:tcW w:type="pct" w:w="6%"/>
          </w:tcPr>
          <w:p>
            <w:r>
              <w:t xml:space="preserve">15-29yrs</w:t>
            </w:r>
          </w:p>
        </w:tc>
        <w:tc>
          <w:tcPr>
            <w:tcW w:type="pct" w:w="6%"/>
          </w:tcPr>
          <w:p>
            <w:r>
              <w:t xml:space="preserve">30-64yrs</w:t>
            </w:r>
          </w:p>
        </w:tc>
        <w:tc>
          <w:tcPr>
            <w:tcW w:type="pct" w:w="6%"/>
          </w:tcPr>
          <w:p>
            <w:r>
              <w:t xml:space="preserve">&gt;=68yrs</w:t>
            </w:r>
          </w:p>
        </w:tc>
        <w:tc>
          <w:tcPr>
            <w:tcW w:type="pct" w:w="6%"/>
          </w:tcPr>
          <w:p>
            <w:r>
              <w:t xml:space="preserve">&lt;1yrs</w:t>
            </w:r>
          </w:p>
        </w:tc>
        <w:tc>
          <w:tcPr>
            <w:tcW w:type="pct" w:w="6%"/>
          </w:tcPr>
          <w:p>
            <w:r>
              <w:t xml:space="preserve">1-4yrs</w:t>
            </w:r>
          </w:p>
        </w:tc>
        <w:tc>
          <w:tcPr>
            <w:tcW w:type="pct" w:w="6%"/>
          </w:tcPr>
          <w:p>
            <w:r>
              <w:t xml:space="preserve">6-14yrs</w:t>
            </w:r>
          </w:p>
        </w:tc>
        <w:tc>
          <w:tcPr>
            <w:tcW w:type="pct" w:w="6%"/>
          </w:tcPr>
          <w:p>
            <w:r>
              <w:t xml:space="preserve">15-29yrs</w:t>
            </w:r>
          </w:p>
        </w:tc>
        <w:tc>
          <w:tcPr>
            <w:tcW w:type="pct" w:w="6%"/>
          </w:tcPr>
          <w:p>
            <w:r>
              <w:t xml:space="preserve">30-64yrs</w:t>
            </w:r>
          </w:p>
        </w:tc>
        <w:tc>
          <w:tcPr>
            <w:tcW w:type="pct" w:w="6%"/>
          </w:tcPr>
          <w:p>
            <w:r>
              <w:t xml:space="preserve">&gt;=68yrs</w:t>
            </w:r>
          </w:p>
        </w:tc>
      </w:tr>
      <w:tr>
        <w:tc>
          <w:p>
            <w:r>
              <w:t xml:space="preserve">Peptic ulcer disease</w:t>
            </w:r>
          </w:p>
        </w:tc>
        <w:tc>
          <w:p>
            <w:r>
              <w:t xml:space="preserve">DA42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CA062</w:t>
            </w:r>
          </w:p>
        </w:tc>
        <w:tc>
          <w:p>
            <w:r>
              <w:t xml:space="preserve">CA062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CA06</w:t>
            </w:r>
          </w:p>
        </w:tc>
        <w:tc>
          <w:p>
            <w:r>
              <w:t xml:space="preserve">CA06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CA00</w:t>
            </w:r>
          </w:p>
        </w:tc>
        <w:tc>
          <w:p>
            <w:r>
              <w:t xml:space="preserve">CA00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CA400</w:t>
            </w:r>
          </w:p>
        </w:tc>
        <w:tc>
          <w:p>
            <w:r>
              <w:t xml:space="preserve">CA400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CA42</w:t>
            </w:r>
          </w:p>
        </w:tc>
        <w:tc>
          <w:p>
            <w:r>
              <w:t xml:space="preserve">CA42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CA23</w:t>
            </w:r>
          </w:p>
        </w:tc>
        <w:tc>
          <w:p>
            <w:r>
              <w:t xml:space="preserve">CA23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IF41</w:t>
            </w:r>
          </w:p>
        </w:tc>
        <w:tc>
          <w:p>
            <w:r>
              <w:t xml:space="preserve">IF41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IF40</w:t>
            </w:r>
          </w:p>
        </w:tc>
        <w:tc>
          <w:p>
            <w:r>
              <w:t xml:space="preserve">IF40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IA36</w:t>
            </w:r>
          </w:p>
        </w:tc>
        <w:tc>
          <w:p>
            <w:r>
              <w:t xml:space="preserve">IA36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DIA_D_ND</w:t>
            </w:r>
          </w:p>
        </w:tc>
        <w:tc>
          <w:p>
            <w:r>
              <w:t xml:space="preserve">DIA_D_ND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IF97</w:t>
            </w:r>
          </w:p>
        </w:tc>
        <w:tc>
          <w:p>
            <w:r>
              <w:t xml:space="preserve">IF97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GC08</w:t>
            </w:r>
          </w:p>
        </w:tc>
        <w:tc>
          <w:p>
            <w:r>
              <w:t xml:space="preserve">GC08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GC07</w:t>
            </w:r>
          </w:p>
        </w:tc>
        <w:tc>
          <w:p>
            <w:r>
              <w:t xml:space="preserve">GC07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FAZ0</w:t>
            </w:r>
          </w:p>
        </w:tc>
        <w:tc>
          <w:p>
            <w:r>
              <w:t xml:space="preserve">FAZ0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IA07</w:t>
            </w:r>
          </w:p>
        </w:tc>
        <w:tc>
          <w:p>
            <w:r>
              <w:t xml:space="preserve">IA07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IC307</w:t>
            </w:r>
          </w:p>
        </w:tc>
        <w:tc>
          <w:p>
            <w:r>
              <w:t xml:space="preserve">IC307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HEAD_1</w:t>
            </w:r>
          </w:p>
        </w:tc>
        <w:tc>
          <w:p>
            <w:r>
              <w:t xml:space="preserve">HEAD_1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AGN_1</w:t>
            </w:r>
          </w:p>
        </w:tc>
        <w:tc>
          <w:p>
            <w:r>
              <w:t xml:space="preserve">AGN_1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STI_1</w:t>
            </w:r>
          </w:p>
        </w:tc>
        <w:tc>
          <w:p>
            <w:r>
              <w:t xml:space="preserve">STI_1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2025-12-30T13:37:21.958Z</dcterms:created>
  <dcterms:modified xsi:type="dcterms:W3CDTF">2025-12-30T13:37:21.958Z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