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148A8A"/>
          <w:sz w:val="20"/>
        </w:rPr>
        <w:t>EAST SUSSEX ROOFING</w:t>
      </w:r>
    </w:p>
    <w:p>
      <w:pPr>
        <w:pStyle w:val="Title"/>
      </w:pPr>
      <w:r>
        <w:t>Top 10 Quick Report</w:t>
      </w:r>
    </w:p>
    <w:p>
      <w:pPr>
        <w:pStyle w:val="Subtitle"/>
      </w:pPr>
      <w:r>
        <w:t>The ten highest-value website actions in priority order</w:t>
      </w:r>
    </w:p>
    <w:p>
      <w:r>
        <w:br/>
      </w:r>
    </w:p>
    <w:tbl>
      <w:tblPr>
        <w:tblW w:w="0" w:type="auto"/>
        <w:jc w:val="left"/>
        <w:tblLayout w:type="fixed"/>
        <w:tblLook w:val="04A0" w:firstRow="1" w:lastRow="0" w:firstColumn="1" w:lastColumn="0" w:noHBand="0" w:noVBand="1"/>
      </w:tblPr>
      <w:tblGrid>
        <w:gridCol w:w="5040"/>
        <w:gridCol w:w="5040"/>
      </w:tblGrid>
      <w:tr>
        <w:tc>
          <w:tcPr>
            <w:tcW w:w="2088" w:type="dxa"/>
            <w:shd w:fill="17365D"/>
            <w:vAlign w:val="center"/>
            <w:tcMar>
              <w:top w:w="110" w:type="dxa"/>
              <w:start w:w="120" w:type="dxa"/>
              <w:bottom w:w="110" w:type="dxa"/>
              <w:end w:w="120" w:type="dxa"/>
            </w:tcMar>
          </w:tcPr>
          <w:p>
            <w:r/>
            <w:r>
              <w:rPr>
                <w:rFonts w:ascii="Aptos" w:hAnsi="Aptos"/>
                <w:b/>
                <w:color w:val="FFFFFF"/>
                <w:sz w:val="18"/>
              </w:rPr>
              <w:t>Audience</w:t>
            </w:r>
          </w:p>
        </w:tc>
        <w:tc>
          <w:tcPr>
            <w:tcW w:w="6912" w:type="dxa"/>
            <w:vAlign w:val="center"/>
            <w:tcMar>
              <w:top w:w="110" w:type="dxa"/>
              <w:start w:w="120" w:type="dxa"/>
              <w:bottom w:w="110" w:type="dxa"/>
              <w:end w:w="120" w:type="dxa"/>
            </w:tcMar>
          </w:tcPr>
          <w:p>
            <w:r/>
            <w:r>
              <w:rPr>
                <w:rFonts w:ascii="Aptos" w:hAnsi="Aptos"/>
                <w:b w:val="0"/>
                <w:color w:val="111827"/>
                <w:sz w:val="18"/>
              </w:rPr>
              <w:t>Business owner and implementation lead</w:t>
            </w:r>
          </w:p>
        </w:tc>
      </w:tr>
      <w:tr>
        <w:tc>
          <w:tcPr>
            <w:tcW w:w="2088" w:type="dxa"/>
            <w:shd w:fill="17365D"/>
            <w:vAlign w:val="center"/>
            <w:tcMar>
              <w:top w:w="110" w:type="dxa"/>
              <w:start w:w="120" w:type="dxa"/>
              <w:bottom w:w="110" w:type="dxa"/>
              <w:end w:w="120" w:type="dxa"/>
            </w:tcMar>
          </w:tcPr>
          <w:p>
            <w:r/>
            <w:r>
              <w:rPr>
                <w:rFonts w:ascii="Aptos" w:hAnsi="Aptos"/>
                <w:b/>
                <w:color w:val="FFFFFF"/>
                <w:sz w:val="18"/>
              </w:rPr>
              <w:t>Evidence baseline</w:t>
            </w:r>
          </w:p>
        </w:tc>
        <w:tc>
          <w:tcPr>
            <w:tcW w:w="6912" w:type="dxa"/>
            <w:vAlign w:val="center"/>
            <w:tcMar>
              <w:top w:w="110" w:type="dxa"/>
              <w:start w:w="120" w:type="dxa"/>
              <w:bottom w:w="110" w:type="dxa"/>
              <w:end w:w="120" w:type="dxa"/>
            </w:tcMar>
          </w:tcPr>
          <w:p>
            <w:r/>
            <w:r>
              <w:rPr>
                <w:rFonts w:ascii="Aptos" w:hAnsi="Aptos"/>
                <w:b w:val="0"/>
                <w:color w:val="111827"/>
                <w:sz w:val="18"/>
              </w:rPr>
              <w:t>Lab collection: 14 September 2026, 16:15:48 UTC</w:t>
            </w:r>
          </w:p>
        </w:tc>
      </w:tr>
      <w:tr>
        <w:tc>
          <w:tcPr>
            <w:tcW w:w="2088" w:type="dxa"/>
            <w:shd w:fill="17365D"/>
            <w:vAlign w:val="center"/>
            <w:tcMar>
              <w:top w:w="110" w:type="dxa"/>
              <w:start w:w="120" w:type="dxa"/>
              <w:bottom w:w="110" w:type="dxa"/>
              <w:end w:w="120" w:type="dxa"/>
            </w:tcMar>
          </w:tcPr>
          <w:p>
            <w:r/>
            <w:r>
              <w:rPr>
                <w:rFonts w:ascii="Aptos" w:hAnsi="Aptos"/>
                <w:b/>
                <w:color w:val="FFFFFF"/>
                <w:sz w:val="18"/>
              </w:rPr>
              <w:t>Geographic focus</w:t>
            </w:r>
          </w:p>
        </w:tc>
        <w:tc>
          <w:tcPr>
            <w:tcW w:w="6912" w:type="dxa"/>
            <w:vAlign w:val="center"/>
            <w:tcMar>
              <w:top w:w="110" w:type="dxa"/>
              <w:start w:w="120" w:type="dxa"/>
              <w:bottom w:w="110" w:type="dxa"/>
              <w:end w:w="120" w:type="dxa"/>
            </w:tcMar>
          </w:tcPr>
          <w:p>
            <w:r/>
            <w:r>
              <w:rPr>
                <w:rFonts w:ascii="Aptos" w:hAnsi="Aptos"/>
                <w:b w:val="0"/>
                <w:color w:val="111827"/>
                <w:sz w:val="18"/>
              </w:rPr>
              <w:t>Brighton &amp; Hove and East Sussex</w:t>
            </w:r>
          </w:p>
        </w:tc>
      </w:tr>
      <w:tr>
        <w:tc>
          <w:tcPr>
            <w:tcW w:w="2088" w:type="dxa"/>
            <w:shd w:fill="17365D"/>
            <w:vAlign w:val="center"/>
            <w:tcMar>
              <w:top w:w="110" w:type="dxa"/>
              <w:start w:w="120" w:type="dxa"/>
              <w:bottom w:w="110" w:type="dxa"/>
              <w:end w:w="120" w:type="dxa"/>
            </w:tcMar>
          </w:tcPr>
          <w:p>
            <w:r/>
            <w:r>
              <w:rPr>
                <w:rFonts w:ascii="Aptos" w:hAnsi="Aptos"/>
                <w:b/>
                <w:color w:val="FFFFFF"/>
                <w:sz w:val="18"/>
              </w:rPr>
              <w:t>Document version</w:t>
            </w:r>
          </w:p>
        </w:tc>
        <w:tc>
          <w:tcPr>
            <w:tcW w:w="6912" w:type="dxa"/>
            <w:vAlign w:val="center"/>
            <w:tcMar>
              <w:top w:w="110" w:type="dxa"/>
              <w:start w:w="120" w:type="dxa"/>
              <w:bottom w:w="110" w:type="dxa"/>
              <w:end w:w="120" w:type="dxa"/>
            </w:tcMar>
          </w:tcPr>
          <w:p>
            <w:r/>
            <w:r>
              <w:rPr>
                <w:rFonts w:ascii="Aptos" w:hAnsi="Aptos"/>
                <w:b w:val="0"/>
                <w:color w:val="111827"/>
                <w:sz w:val="18"/>
              </w:rPr>
              <w:t>1.0</w:t>
            </w:r>
          </w:p>
        </w:tc>
      </w:tr>
    </w:tbl>
    <w:p>
      <w:r>
        <w:br/>
      </w:r>
    </w:p>
    <w:tbl>
      <w:tblPr>
        <w:tblW w:w="0" w:type="auto"/>
        <w:tblLook w:val="04A0" w:firstRow="1" w:lastRow="0" w:firstColumn="1" w:lastColumn="0" w:noHBand="0" w:noVBand="1"/>
      </w:tblPr>
      <w:tblGrid>
        <w:gridCol w:w="10080"/>
      </w:tblGrid>
      <w:tr>
        <w:tc>
          <w:tcPr>
            <w:tcW w:w="10080" w:type="dxa"/>
            <w:shd w:fill="EAF1F7"/>
            <w:vAlign w:val="center"/>
            <w:tcMar>
              <w:top w:w="110" w:type="dxa"/>
              <w:start w:w="120" w:type="dxa"/>
              <w:bottom w:w="110" w:type="dxa"/>
              <w:end w:w="120" w:type="dxa"/>
            </w:tcMar>
          </w:tcPr>
          <w:p>
            <w:r/>
            <w:r>
              <w:rPr>
                <w:rFonts w:ascii="Aptos" w:hAnsi="Aptos"/>
                <w:b/>
                <w:color w:val="17365D"/>
                <w:sz w:val="18"/>
              </w:rPr>
              <w:t>Evidence labels used: VERIFIED | OBSERVED | INFERRED | NOT VERIFIED | OWNER-SIDE CHECK REQUIRED</w:t>
            </w:r>
          </w:p>
        </w:tc>
      </w:tr>
    </w:tbl>
    <w:p>
      <w:r>
        <w:br w:type="page"/>
      </w:r>
    </w:p>
    <w:p>
      <w:pPr>
        <w:pStyle w:val="Heading1"/>
      </w:pPr>
      <w:r>
        <w:t>Decision summary</w:t>
      </w:r>
    </w:p>
    <w:tbl>
      <w:tblPr>
        <w:tblW w:w="0" w:type="auto"/>
        <w:jc w:val="center"/>
        <w:tblLayout w:type="fixed"/>
        <w:tblLook w:val="04A0" w:firstRow="1" w:lastRow="0" w:firstColumn="1" w:lastColumn="0" w:noHBand="0" w:noVBand="1"/>
      </w:tblPr>
      <w:tblGrid>
        <w:gridCol w:w="259"/>
        <w:gridCol w:w="9144"/>
      </w:tblGrid>
      <w:tr>
        <w:tc>
          <w:tcPr>
            <w:tcW w:w="5040" w:type="dxa"/>
            <w:shd w:fill="148A8A"/>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Top recommendation</w:t>
              <w:br/>
              <w:t>Approve the Roof Problems + Repair Services restructure, while immediately fixing the verified 320 px mobile overflow and completing the manual credibility recheck.</w:t>
            </w:r>
          </w:p>
        </w:tc>
      </w:tr>
    </w:tbl>
    <w:p>
      <w:pPr>
        <w:spacing w:after="20"/>
      </w:pPr>
    </w:p>
    <w:p>
      <w:r>
        <w:t>This quick report combines strategic recommendations with the verified lab evidence collected on 14 September 2026. “Verified” means directly shown by the lab output; “recommendation” means a proposed improvement based on the wider audit.</w:t>
      </w:r>
    </w:p>
    <w:p>
      <w:pPr>
        <w:pStyle w:val="Heading2"/>
      </w:pPr>
      <w:r>
        <w:t>1. Restructure the service menu</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RECOMMENDATION</w:t>
            </w:r>
          </w:p>
        </w:tc>
        <w:tc>
          <w:tcPr>
            <w:tcW w:w="3360" w:type="dxa"/>
            <w:shd w:fill="F4F7FA"/>
            <w:vAlign w:val="center"/>
            <w:tcMar>
              <w:top w:w="110" w:type="dxa"/>
              <w:start w:w="120" w:type="dxa"/>
              <w:bottom w:w="110" w:type="dxa"/>
              <w:end w:w="120" w:type="dxa"/>
            </w:tcMar>
          </w:tcPr>
          <w:p>
            <w:pPr>
              <w:jc w:val="center"/>
            </w:pPr>
            <w:r/>
            <w:r>
              <w:rPr>
                <w:rFonts w:ascii="Aptos" w:hAnsi="Aptos"/>
                <w:b/>
                <w:color w:val="B91C1C"/>
                <w:sz w:val="16"/>
              </w:rPr>
              <w:t>P0</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Customers search by symptoms such as leaks, missing tiles and chimney problems.</w:t>
              <w:br/>
              <w:t>Recommended action: Create Roof Problems and Repair Services hubs, cross-linked to local projects and Get a Quote.</w:t>
            </w:r>
          </w:p>
        </w:tc>
      </w:tr>
    </w:tbl>
    <w:p>
      <w:pPr>
        <w:pStyle w:val="Heading2"/>
      </w:pPr>
      <w:r>
        <w:t>2. Recheck and clean credibility defects</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NOT REVERIFIED</w:t>
            </w:r>
          </w:p>
        </w:tc>
        <w:tc>
          <w:tcPr>
            <w:tcW w:w="3360" w:type="dxa"/>
            <w:shd w:fill="F4F7FA"/>
            <w:vAlign w:val="center"/>
            <w:tcMar>
              <w:top w:w="110" w:type="dxa"/>
              <w:start w:w="120" w:type="dxa"/>
              <w:bottom w:w="110" w:type="dxa"/>
              <w:end w:w="120" w:type="dxa"/>
            </w:tcMar>
          </w:tcPr>
          <w:p>
            <w:pPr>
              <w:jc w:val="center"/>
            </w:pPr>
            <w:r/>
            <w:r>
              <w:rPr>
                <w:rFonts w:ascii="Aptos" w:hAnsi="Aptos"/>
                <w:b/>
                <w:color w:val="B91C1C"/>
                <w:sz w:val="16"/>
              </w:rPr>
              <w:t>P0</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Earlier work identified placeholder/link/counter/contact concerns, but the later passive collector did not reproduce them.</w:t>
              <w:br/>
              <w:t>Recommended action: Manually check every public page and fix only confirmed current defects.</w:t>
            </w:r>
          </w:p>
        </w:tc>
      </w:tr>
    </w:tbl>
    <w:p>
      <w:pPr>
        <w:pStyle w:val="Heading2"/>
      </w:pPr>
      <w:r>
        <w:t>3. Fix 320 px overflow and simplify the header</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VERIFIED</w:t>
            </w:r>
          </w:p>
        </w:tc>
        <w:tc>
          <w:tcPr>
            <w:tcW w:w="3360" w:type="dxa"/>
            <w:shd w:fill="F4F7FA"/>
            <w:vAlign w:val="center"/>
            <w:tcMar>
              <w:top w:w="110" w:type="dxa"/>
              <w:start w:w="120" w:type="dxa"/>
              <w:bottom w:w="110" w:type="dxa"/>
              <w:end w:w="120" w:type="dxa"/>
            </w:tcMar>
          </w:tcPr>
          <w:p>
            <w:pPr>
              <w:jc w:val="center"/>
            </w:pPr>
            <w:r/>
            <w:r>
              <w:rPr>
                <w:rFonts w:ascii="Aptos" w:hAnsi="Aptos"/>
                <w:b/>
                <w:color w:val="B91C1C"/>
                <w:sz w:val="16"/>
              </w:rPr>
              <w:t>P0</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Homepage, roof repair, gallery and contact all overflowed at 320 px; the mobile header is tall.</w:t>
              <w:br/>
              <w:t>Recommended action: Identify the overflowing selector, reduce header density and retest 320/390/430 px.</w:t>
            </w:r>
          </w:p>
        </w:tc>
      </w:tr>
    </w:tbl>
    <w:p>
      <w:pPr>
        <w:pStyle w:val="Heading2"/>
      </w:pPr>
      <w:r>
        <w:t>4. Turn the gallery into project evidence</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OBSERVED / VERIFIED</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36 images rendered per viewport; gallery overflow occurred at 320, 768 and 1440 px.</w:t>
              <w:br/>
              <w:t>Recommended action: Measure the grid and image weight, enlarge useful thumbnails, curate strong projects and add captions.</w:t>
            </w:r>
          </w:p>
        </w:tc>
      </w:tr>
    </w:tbl>
    <w:p>
      <w:pPr>
        <w:pStyle w:val="Heading2"/>
      </w:pPr>
      <w:r>
        <w:t>5. Build one strong Brighton &amp; Hove local hub</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RECOMMENDATION</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Genuine local evidence is more credible than many near-identical town pages.</w:t>
              <w:br/>
              <w:t>Recommended action: Create an Areas hub and authoritative Brighton &amp; Hove page; add town pages only with unique evidence.</w:t>
            </w:r>
          </w:p>
        </w:tc>
      </w:tr>
    </w:tbl>
    <w:p>
      <w:pPr>
        <w:pStyle w:val="Heading2"/>
      </w:pPr>
      <w:r>
        <w:t>6. Introduce branded email safely</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PARTIALLY READY</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 gated</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MX and SPF exist; DKIM is unverified; no DMARC answer was returned; routing/mailboxes are untested.</w:t>
              <w:br/>
              <w:t>Recommended action: Create quotes@ and enquiries@, then validate MX, SPF, DKIM, DMARC and WordPress delivery before publication.</w:t>
            </w:r>
          </w:p>
        </w:tc>
      </w:tr>
    </w:tbl>
    <w:p>
      <w:pPr>
        <w:pStyle w:val="Heading2"/>
      </w:pPr>
      <w:r>
        <w:t>7. Add AI-readable entity and service data</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OBSERVED / RECOMMENDATION</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No JSON-LD was detected by the passive parser.</w:t>
              <w:br/>
              <w:t>Recommended action: Validate the live source, then add accurate RoofingContractor/LocalBusiness, Service and breadcrumb data.</w:t>
            </w:r>
          </w:p>
        </w:tc>
      </w:tr>
    </w:tbl>
    <w:p>
      <w:pPr>
        <w:pStyle w:val="Heading2"/>
      </w:pPr>
      <w:r>
        <w:t>8. Complete the WordPress owner-side inventory</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OWNER-SIDE CHECK</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Core/theme/plugin versions, forms, caching, backups, analytics and consent were not verified.</w:t>
              <w:br/>
              <w:t>Recommended action: Export the inventory, remove unused components, confirm MFA, updates, backups and form ownership.</w:t>
            </w:r>
          </w:p>
        </w:tc>
      </w:tr>
    </w:tbl>
    <w:p>
      <w:pPr>
        <w:pStyle w:val="Heading2"/>
      </w:pPr>
      <w:r>
        <w:t>9. Measure performance and accessibility</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NOT VERIFIED</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Lighthouse, field CWV, Axe, contrast, keyboard and target-size results were unavailable.</w:t>
              <w:br/>
              <w:t>Recommended action: Run three mobile Lighthouse tests, field-data review, Axe and manual keyboard/reflow checks after fixes.</w:t>
            </w:r>
          </w:p>
        </w:tc>
      </w:tr>
    </w:tbl>
    <w:p>
      <w:pPr>
        <w:pStyle w:val="Heading2"/>
      </w:pPr>
      <w:r>
        <w:t>10. Standardise the business identity</w:t>
      </w:r>
    </w:p>
    <w:tbl>
      <w:tblPr>
        <w:tblStyle w:val="TableGrid"/>
        <w:tblW w:w="0" w:type="auto"/>
        <w:jc w:val="center"/>
        <w:tblLayout w:type="fixed"/>
        <w:tblLook w:val="04A0" w:firstRow="1" w:lastRow="0" w:firstColumn="1" w:lastColumn="0" w:noHBand="0" w:noVBand="1"/>
      </w:tblPr>
      <w:tblGrid>
        <w:gridCol w:w="3360"/>
        <w:gridCol w:w="3360"/>
        <w:gridCol w:w="3360"/>
      </w:tblGrid>
      <w:tr>
        <w:tc>
          <w:tcPr>
            <w:tcW w:w="3360" w:type="dxa"/>
            <w:shd w:fill="17365D"/>
            <w:vAlign w:val="center"/>
            <w:tcMar>
              <w:top w:w="110" w:type="dxa"/>
              <w:start w:w="120" w:type="dxa"/>
              <w:bottom w:w="110" w:type="dxa"/>
              <w:end w:w="120" w:type="dxa"/>
            </w:tcMar>
          </w:tcPr>
          <w:p>
            <w:r/>
            <w:r>
              <w:rPr>
                <w:rFonts w:ascii="Aptos" w:hAnsi="Aptos"/>
                <w:b/>
                <w:color w:val="FFFFFF"/>
                <w:sz w:val="16"/>
              </w:rPr>
              <w:t>Evidence status</w:t>
            </w:r>
          </w:p>
        </w:tc>
        <w:tc>
          <w:tcPr>
            <w:tcW w:w="3360" w:type="dxa"/>
            <w:vAlign w:val="center"/>
            <w:tcMar>
              <w:top w:w="110" w:type="dxa"/>
              <w:start w:w="120" w:type="dxa"/>
              <w:bottom w:w="110" w:type="dxa"/>
              <w:end w:w="120" w:type="dxa"/>
            </w:tcMar>
          </w:tcPr>
          <w:p>
            <w:r/>
            <w:r>
              <w:rPr>
                <w:rFonts w:ascii="Aptos" w:hAnsi="Aptos"/>
                <w:b/>
                <w:color w:val="148A8A"/>
                <w:sz w:val="16"/>
              </w:rPr>
              <w:t>OWNER-SIDE CHECK</w:t>
            </w:r>
          </w:p>
        </w:tc>
        <w:tc>
          <w:tcPr>
            <w:tcW w:w="3360" w:type="dxa"/>
            <w:shd w:fill="F4F7FA"/>
            <w:vAlign w:val="center"/>
            <w:tcMar>
              <w:top w:w="110" w:type="dxa"/>
              <w:start w:w="120" w:type="dxa"/>
              <w:bottom w:w="110" w:type="dxa"/>
              <w:end w:w="120" w:type="dxa"/>
            </w:tcMar>
          </w:tcPr>
          <w:p>
            <w:pPr>
              <w:jc w:val="center"/>
            </w:pPr>
            <w:r/>
            <w:r>
              <w:rPr>
                <w:rFonts w:ascii="Aptos" w:hAnsi="Aptos"/>
                <w:b/>
                <w:color w:val="D97706"/>
                <w:sz w:val="16"/>
              </w:rPr>
              <w:t>P1</w:t>
            </w:r>
          </w:p>
        </w:tc>
      </w:tr>
      <w:tr>
        <w:tc>
          <w:tcPr>
            <w:tcW w:w="10080" w:type="dxa"/>
            <w:gridSpan w:val="3"/>
            <w:vAlign w:val="center"/>
            <w:tcMar>
              <w:top w:w="110" w:type="dxa"/>
              <w:start w:w="120" w:type="dxa"/>
              <w:bottom w:w="110" w:type="dxa"/>
              <w:end w:w="120" w:type="dxa"/>
            </w:tcMar>
          </w:tcPr>
          <w:p>
            <w:r/>
            <w:r>
              <w:rPr>
                <w:rFonts w:ascii="Aptos" w:hAnsi="Aptos"/>
                <w:b w:val="0"/>
                <w:color w:val="111827"/>
                <w:sz w:val="17"/>
              </w:rPr>
              <w:t>Why it matters: The crawl extracted Gmail and two candidate phone presentations; the authoritative values need confirmation.</w:t>
              <w:br/>
              <w:t>Recommended action: Define one business name, primary phone, branded email, service-area/address presentation and hours across all controlled profiles.</w:t>
            </w:r>
          </w:p>
        </w:tc>
      </w:tr>
    </w:tbl>
    <w:p>
      <w:pPr>
        <w:pStyle w:val="Heading1"/>
      </w:pPr>
      <w:r>
        <w:t>Recommended sequence</w:t>
      </w:r>
    </w:p>
    <w:p>
      <w:r>
        <w:t>1) Verify and fix trust/mobile defects.  2) Restructure the customer journey.  3) Add project evidence and local depth.  4) Complete email, WordPress, schema, performance and accessibility work.  5) Expand only when genuine evidence exists.</w:t>
      </w:r>
    </w:p>
    <w:p>
      <w:pPr>
        <w:pStyle w:val="Heading1"/>
      </w:pPr>
      <w:r>
        <w:t>Evidence and source note</w:t>
      </w:r>
    </w:p>
    <w:p>
      <w:r>
        <w:t>The network, DNS, TLS, crawl and rendered viewport findings are taken from the user-supplied lab evidence collected on 14 September 2026. Broader content, design and market recommendations are retained from the earlier website audit. Findings that the later passive collector did not reproduce are labelled NOT VERIFIED and require a manual recheck before being treated as current defects.</w:t>
      </w:r>
    </w:p>
    <w:p>
      <w:pPr>
        <w:pStyle w:val="ListBullet"/>
      </w:pPr>
      <w:r>
        <w:t>Primary evidence: East Sussex Roofing Technical Evidence, collected 14 September 2026.</w:t>
      </w:r>
    </w:p>
    <w:p>
      <w:pPr>
        <w:pStyle w:val="ListBullet"/>
      </w:pPr>
      <w:r>
        <w:t>Primary standards referenced in the earlier audit: Google Search Central, Microsoft Bing guidance, OpenAI crawler guidance, Schema.org, W3C/WCAG and WordPress hardening guidance.</w:t>
      </w:r>
    </w:p>
    <w:p>
      <w:pPr>
        <w:pStyle w:val="ListBullet"/>
      </w:pPr>
      <w:r>
        <w:t>This report is a defensive website review, not a penetration test, legal opinion or guarantee of search ranking.</w:t>
      </w:r>
    </w:p>
    <w:sectPr w:rsidRPr="0006063C" w:rsidR="00FC693F"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8A8A"/>
        <w:sz w:val="16"/>
      </w:rPr>
      <w:t>EAST SUSSEX ROOFING  |  WEBSITE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4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val="0"/>
      <w:i/>
      <w:iCs/>
      <w:color w:val="148A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ca4b045-1887-4427-8d76-d31800fd0d81}" enabled="1" method="Standard" siteId="{2600e953-dff1-43e7-8800-7426a528ea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