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docMetadata/LabelInfo.xml" ContentType="application/vnd.ms-office.classificationlabels+xml"/>
</Types>
</file>

<file path=_rels/.rels><?xml version="1.0" encoding="utf-8" standalone="yes"?><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 Id="rId5" Type="http://schemas.microsoft.com/office/2020/02/relationships/classificationlabels" Target="docMetadata/LabelInfo.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Aptos" w:hAnsi="Aptos"/>
          <w:b/>
          <w:color w:val="148A8A"/>
          <w:sz w:val="20"/>
        </w:rPr>
        <w:t>EAST SUSSEX ROOFING</w:t>
      </w:r>
    </w:p>
    <w:p>
      <w:pPr>
        <w:pStyle w:val="Title"/>
      </w:pPr>
      <w:r>
        <w:t>Web Design &amp; Management Report</w:t>
      </w:r>
    </w:p>
    <w:p>
      <w:pPr>
        <w:pStyle w:val="Subtitle"/>
      </w:pPr>
      <w:r>
        <w:t>Business-owner decisions for a clearer, more credible and more discoverable website</w:t>
      </w:r>
    </w:p>
    <w:p>
      <w:r>
        <w:br/>
      </w:r>
    </w:p>
    <w:tbl>
      <w:tblPr>
        <w:tblW w:w="0" w:type="auto"/>
        <w:jc w:val="left"/>
        <w:tblLayout w:type="fixed"/>
        <w:tblLook w:val="04A0" w:firstRow="1" w:lastRow="0" w:firstColumn="1" w:lastColumn="0" w:noHBand="0" w:noVBand="1"/>
      </w:tblPr>
      <w:tblGrid>
        <w:gridCol w:w="5040"/>
        <w:gridCol w:w="5040"/>
      </w:tblGrid>
      <w:tr>
        <w:tc>
          <w:tcPr>
            <w:tcW w:w="2088" w:type="dxa"/>
            <w:shd w:fill="17365D"/>
            <w:vAlign w:val="center"/>
            <w:tcMar>
              <w:top w:w="110" w:type="dxa"/>
              <w:start w:w="120" w:type="dxa"/>
              <w:bottom w:w="110" w:type="dxa"/>
              <w:end w:w="120" w:type="dxa"/>
            </w:tcMar>
          </w:tcPr>
          <w:p>
            <w:r/>
            <w:r>
              <w:rPr>
                <w:rFonts w:ascii="Aptos" w:hAnsi="Aptos"/>
                <w:b/>
                <w:color w:val="FFFFFF"/>
                <w:sz w:val="18"/>
              </w:rPr>
              <w:t>Audience</w:t>
            </w:r>
          </w:p>
        </w:tc>
        <w:tc>
          <w:tcPr>
            <w:tcW w:w="6912" w:type="dxa"/>
            <w:vAlign w:val="center"/>
            <w:tcMar>
              <w:top w:w="110" w:type="dxa"/>
              <w:start w:w="120" w:type="dxa"/>
              <w:bottom w:w="110" w:type="dxa"/>
              <w:end w:w="120" w:type="dxa"/>
            </w:tcMar>
          </w:tcPr>
          <w:p>
            <w:r/>
            <w:r>
              <w:rPr>
                <w:rFonts w:ascii="Aptos" w:hAnsi="Aptos"/>
                <w:b w:val="0"/>
                <w:color w:val="111827"/>
                <w:sz w:val="18"/>
              </w:rPr>
              <w:t>Business owner / website manager</w:t>
            </w:r>
          </w:p>
        </w:tc>
      </w:tr>
      <w:tr>
        <w:tc>
          <w:tcPr>
            <w:tcW w:w="2088" w:type="dxa"/>
            <w:shd w:fill="17365D"/>
            <w:vAlign w:val="center"/>
            <w:tcMar>
              <w:top w:w="110" w:type="dxa"/>
              <w:start w:w="120" w:type="dxa"/>
              <w:bottom w:w="110" w:type="dxa"/>
              <w:end w:w="120" w:type="dxa"/>
            </w:tcMar>
          </w:tcPr>
          <w:p>
            <w:r/>
            <w:r>
              <w:rPr>
                <w:rFonts w:ascii="Aptos" w:hAnsi="Aptos"/>
                <w:b/>
                <w:color w:val="FFFFFF"/>
                <w:sz w:val="18"/>
              </w:rPr>
              <w:t>Evidence baseline</w:t>
            </w:r>
          </w:p>
        </w:tc>
        <w:tc>
          <w:tcPr>
            <w:tcW w:w="6912" w:type="dxa"/>
            <w:vAlign w:val="center"/>
            <w:tcMar>
              <w:top w:w="110" w:type="dxa"/>
              <w:start w:w="120" w:type="dxa"/>
              <w:bottom w:w="110" w:type="dxa"/>
              <w:end w:w="120" w:type="dxa"/>
            </w:tcMar>
          </w:tcPr>
          <w:p>
            <w:r/>
            <w:r>
              <w:rPr>
                <w:rFonts w:ascii="Aptos" w:hAnsi="Aptos"/>
                <w:b w:val="0"/>
                <w:color w:val="111827"/>
                <w:sz w:val="18"/>
              </w:rPr>
              <w:t>Lab collection: 14 September 2026, 16:15:48 UTC</w:t>
            </w:r>
          </w:p>
        </w:tc>
      </w:tr>
      <w:tr>
        <w:tc>
          <w:tcPr>
            <w:tcW w:w="2088" w:type="dxa"/>
            <w:shd w:fill="17365D"/>
            <w:vAlign w:val="center"/>
            <w:tcMar>
              <w:top w:w="110" w:type="dxa"/>
              <w:start w:w="120" w:type="dxa"/>
              <w:bottom w:w="110" w:type="dxa"/>
              <w:end w:w="120" w:type="dxa"/>
            </w:tcMar>
          </w:tcPr>
          <w:p>
            <w:r/>
            <w:r>
              <w:rPr>
                <w:rFonts w:ascii="Aptos" w:hAnsi="Aptos"/>
                <w:b/>
                <w:color w:val="FFFFFF"/>
                <w:sz w:val="18"/>
              </w:rPr>
              <w:t>Geographic focus</w:t>
            </w:r>
          </w:p>
        </w:tc>
        <w:tc>
          <w:tcPr>
            <w:tcW w:w="6912" w:type="dxa"/>
            <w:vAlign w:val="center"/>
            <w:tcMar>
              <w:top w:w="110" w:type="dxa"/>
              <w:start w:w="120" w:type="dxa"/>
              <w:bottom w:w="110" w:type="dxa"/>
              <w:end w:w="120" w:type="dxa"/>
            </w:tcMar>
          </w:tcPr>
          <w:p>
            <w:r/>
            <w:r>
              <w:rPr>
                <w:rFonts w:ascii="Aptos" w:hAnsi="Aptos"/>
                <w:b w:val="0"/>
                <w:color w:val="111827"/>
                <w:sz w:val="18"/>
              </w:rPr>
              <w:t>Brighton &amp; Hove and East Sussex</w:t>
            </w:r>
          </w:p>
        </w:tc>
      </w:tr>
      <w:tr>
        <w:tc>
          <w:tcPr>
            <w:tcW w:w="2088" w:type="dxa"/>
            <w:shd w:fill="17365D"/>
            <w:vAlign w:val="center"/>
            <w:tcMar>
              <w:top w:w="110" w:type="dxa"/>
              <w:start w:w="120" w:type="dxa"/>
              <w:bottom w:w="110" w:type="dxa"/>
              <w:end w:w="120" w:type="dxa"/>
            </w:tcMar>
          </w:tcPr>
          <w:p>
            <w:r/>
            <w:r>
              <w:rPr>
                <w:rFonts w:ascii="Aptos" w:hAnsi="Aptos"/>
                <w:b/>
                <w:color w:val="FFFFFF"/>
                <w:sz w:val="18"/>
              </w:rPr>
              <w:t>Document version</w:t>
            </w:r>
          </w:p>
        </w:tc>
        <w:tc>
          <w:tcPr>
            <w:tcW w:w="6912" w:type="dxa"/>
            <w:vAlign w:val="center"/>
            <w:tcMar>
              <w:top w:w="110" w:type="dxa"/>
              <w:start w:w="120" w:type="dxa"/>
              <w:bottom w:w="110" w:type="dxa"/>
              <w:end w:w="120" w:type="dxa"/>
            </w:tcMar>
          </w:tcPr>
          <w:p>
            <w:r/>
            <w:r>
              <w:rPr>
                <w:rFonts w:ascii="Aptos" w:hAnsi="Aptos"/>
                <w:b w:val="0"/>
                <w:color w:val="111827"/>
                <w:sz w:val="18"/>
              </w:rPr>
              <w:t>2.0 - lab evidence update</w:t>
            </w:r>
          </w:p>
        </w:tc>
      </w:tr>
    </w:tbl>
    <w:p>
      <w:r>
        <w:br/>
      </w:r>
    </w:p>
    <w:tbl>
      <w:tblPr>
        <w:tblW w:w="0" w:type="auto"/>
        <w:tblLook w:val="04A0" w:firstRow="1" w:lastRow="0" w:firstColumn="1" w:lastColumn="0" w:noHBand="0" w:noVBand="1"/>
      </w:tblPr>
      <w:tblGrid>
        <w:gridCol w:w="10080"/>
      </w:tblGrid>
      <w:tr>
        <w:tc>
          <w:tcPr>
            <w:tcW w:w="10080" w:type="dxa"/>
            <w:shd w:fill="EAF1F7"/>
            <w:vAlign w:val="center"/>
            <w:tcMar>
              <w:top w:w="110" w:type="dxa"/>
              <w:start w:w="120" w:type="dxa"/>
              <w:bottom w:w="110" w:type="dxa"/>
              <w:end w:w="120" w:type="dxa"/>
            </w:tcMar>
          </w:tcPr>
          <w:p>
            <w:r/>
            <w:r>
              <w:rPr>
                <w:rFonts w:ascii="Aptos" w:hAnsi="Aptos"/>
                <w:b/>
                <w:color w:val="17365D"/>
                <w:sz w:val="18"/>
              </w:rPr>
              <w:t>Evidence labels used: VERIFIED | OBSERVED | INFERRED | NOT VERIFIED | OWNER-SIDE CHECK REQUIRED</w:t>
            </w:r>
          </w:p>
        </w:tc>
      </w:tr>
    </w:tbl>
    <w:p>
      <w:r>
        <w:br w:type="page"/>
      </w:r>
    </w:p>
    <w:p>
      <w:pPr>
        <w:pStyle w:val="Heading1"/>
      </w:pPr>
      <w:r>
        <w:t>Contents</w:t>
      </w:r>
    </w:p>
    <w:p>
      <w:pPr>
        <w:pStyle w:val="ListNumber"/>
      </w:pPr>
      <w:r>
        <w:t>Executive summary</w:t>
      </w:r>
    </w:p>
    <w:p>
      <w:pPr>
        <w:pStyle w:val="ListNumber"/>
      </w:pPr>
      <w:r>
        <w:t>Business position and priorities</w:t>
      </w:r>
    </w:p>
    <w:p>
      <w:pPr>
        <w:pStyle w:val="ListNumber"/>
      </w:pPr>
      <w:r>
        <w:t>Recommended customer journey</w:t>
      </w:r>
    </w:p>
    <w:p>
      <w:pPr>
        <w:pStyle w:val="ListNumber"/>
      </w:pPr>
      <w:r>
        <w:t>Service-menu redesign</w:t>
      </w:r>
    </w:p>
    <w:p>
      <w:pPr>
        <w:pStyle w:val="ListNumber"/>
      </w:pPr>
      <w:r>
        <w:t>Recommended page routing</w:t>
      </w:r>
    </w:p>
    <w:p>
      <w:pPr>
        <w:pStyle w:val="ListNumber"/>
      </w:pPr>
      <w:r>
        <w:t>Homepage and navigation</w:t>
      </w:r>
    </w:p>
    <w:p>
      <w:pPr>
        <w:pStyle w:val="ListNumber"/>
      </w:pPr>
      <w:r>
        <w:t>Gallery and project evidence</w:t>
      </w:r>
    </w:p>
    <w:p>
      <w:pPr>
        <w:pStyle w:val="ListNumber"/>
      </w:pPr>
      <w:r>
        <w:t>Mobile experience</w:t>
      </w:r>
    </w:p>
    <w:p>
      <w:pPr>
        <w:pStyle w:val="ListNumber"/>
      </w:pPr>
      <w:r>
        <w:t>Local SEO and AI discoverability</w:t>
      </w:r>
    </w:p>
    <w:p>
      <w:pPr>
        <w:pStyle w:val="ListNumber"/>
      </w:pPr>
      <w:r>
        <w:t>Trust, branding and accessibility</w:t>
      </w:r>
    </w:p>
    <w:p>
      <w:pPr>
        <w:pStyle w:val="ListNumber"/>
      </w:pPr>
      <w:r>
        <w:t>Branded email</w:t>
      </w:r>
    </w:p>
    <w:p>
      <w:pPr>
        <w:pStyle w:val="ListNumber"/>
      </w:pPr>
      <w:r>
        <w:t>Phased plan and success measures</w:t>
      </w:r>
    </w:p>
    <w:p>
      <w:r>
        <w:br w:type="page"/>
      </w:r>
    </w:p>
    <w:p>
      <w:pPr>
        <w:pStyle w:val="Heading1"/>
      </w:pPr>
      <w:r>
        <w:t>1. Executive summary</w:t>
      </w:r>
    </w:p>
    <w:tbl>
      <w:tblPr>
        <w:tblW w:w="0" w:type="auto"/>
        <w:jc w:val="center"/>
        <w:tblLayout w:type="fixed"/>
        <w:tblLook w:val="04A0" w:firstRow="1" w:lastRow="0" w:firstColumn="1" w:lastColumn="0" w:noHBand="0" w:noVBand="1"/>
      </w:tblPr>
      <w:tblGrid>
        <w:gridCol w:w="259"/>
        <w:gridCol w:w="9144"/>
      </w:tblGrid>
      <w:tr>
        <w:tc>
          <w:tcPr>
            <w:tcW w:w="5040" w:type="dxa"/>
            <w:shd w:fill="148A8A"/>
            <w:vAlign w:val="center"/>
            <w:tcMar>
              <w:top w:w="110" w:type="dxa"/>
              <w:start w:w="120" w:type="dxa"/>
              <w:bottom w:w="110" w:type="dxa"/>
              <w:end w:w="120" w:type="dxa"/>
            </w:tcMar>
          </w:tcPr>
          <w:p>
            <w:r/>
            <w:r>
              <w:rPr>
                <w:rFonts w:ascii="Aptos" w:hAnsi="Aptos"/>
                <w:b w:val="0"/>
                <w:color w:val="FFFFFF"/>
                <w:sz w:val="2"/>
              </w:rPr>
            </w:r>
          </w:p>
        </w:tc>
        <w:tc>
          <w:tcPr>
            <w:tcW w:w="5040" w:type="dxa"/>
            <w:shd w:fill="F4F7FA"/>
            <w:vAlign w:val="center"/>
            <w:tcMar>
              <w:top w:w="110" w:type="dxa"/>
              <w:start w:w="120" w:type="dxa"/>
              <w:bottom w:w="110" w:type="dxa"/>
              <w:end w:w="120" w:type="dxa"/>
            </w:tcMar>
          </w:tcPr>
          <w:p>
            <w:r/>
            <w:r>
              <w:rPr>
                <w:rFonts w:ascii="Aptos" w:hAnsi="Aptos"/>
                <w:b w:val="0"/>
                <w:color w:val="17365D"/>
                <w:sz w:val="20"/>
              </w:rPr>
              <w:t>Primary decision</w:t>
              <w:br/>
              <w:t>Reorganise the website around the roofing problems customers recognise and the repair services the business provides. This remains the single largest strategic improvement.</w:t>
            </w:r>
          </w:p>
        </w:tc>
      </w:tr>
    </w:tbl>
    <w:p>
      <w:pPr>
        <w:spacing w:after="20"/>
      </w:pPr>
    </w:p>
    <w:p>
      <w:r>
        <w:t>The site has the raw ingredients of a strong local business website: a relevant domain, real work photography, public contact details and a Brighton &amp; Hove / East Sussex focus. The current opportunity is to make those assets easier to understand and trust.</w:t>
      </w:r>
    </w:p>
    <w:p>
      <w:r>
        <w:t>The updated lab evidence adds two practical findings. First, all four tested page types overflowed horizontally at 320 px, although no overflow was reported at 390 or 430 px. Second, the domain is only partially ready for branded email: MX and SPF records exist, but DKIM, DMARC and mailbox routing are not fully validated.</w:t>
      </w:r>
    </w:p>
    <w:tbl>
      <w:tblPr>
        <w:tblStyle w:val="TableGrid"/>
        <w:tblW w:w="0" w:type="auto"/>
        <w:jc w:val="center"/>
        <w:tblLayout w:type="fixed"/>
        <w:tblLook w:val="04A0" w:firstRow="1" w:lastRow="0" w:firstColumn="1" w:lastColumn="0" w:noHBand="0" w:noVBand="1"/>
      </w:tblPr>
      <w:tblGrid>
        <w:gridCol w:w="3360"/>
        <w:gridCol w:w="3360"/>
        <w:gridCol w:w="3360"/>
      </w:tblGrid>
      <w:tr>
        <w:trPr>
          <w:tblHeader w:val="true"/>
        </w:trPr>
        <w:tc>
          <w:tcPr>
            <w:tcW w:w="3744" w:type="dxa"/>
            <w:shd w:fill="17365D"/>
            <w:vAlign w:val="center"/>
            <w:tcMar>
              <w:top w:w="110" w:type="dxa"/>
              <w:start w:w="120" w:type="dxa"/>
              <w:bottom w:w="110" w:type="dxa"/>
              <w:end w:w="120" w:type="dxa"/>
            </w:tcMar>
          </w:tcPr>
          <w:p>
            <w:pPr>
              <w:jc w:val="center"/>
            </w:pPr>
            <w:r/>
            <w:r>
              <w:rPr>
                <w:rFonts w:ascii="Aptos" w:hAnsi="Aptos"/>
                <w:b/>
                <w:color w:val="FFFFFF"/>
                <w:sz w:val="16"/>
              </w:rPr>
              <w:t>Decision</w:t>
            </w:r>
          </w:p>
        </w:tc>
        <w:tc>
          <w:tcPr>
            <w:tcW w:w="4608" w:type="dxa"/>
            <w:shd w:fill="17365D"/>
            <w:vAlign w:val="center"/>
            <w:tcMar>
              <w:top w:w="110" w:type="dxa"/>
              <w:start w:w="120" w:type="dxa"/>
              <w:bottom w:w="110" w:type="dxa"/>
              <w:end w:w="120" w:type="dxa"/>
            </w:tcMar>
          </w:tcPr>
          <w:p>
            <w:pPr>
              <w:jc w:val="center"/>
            </w:pPr>
            <w:r/>
            <w:r>
              <w:rPr>
                <w:rFonts w:ascii="Aptos" w:hAnsi="Aptos"/>
                <w:b/>
                <w:color w:val="FFFFFF"/>
                <w:sz w:val="16"/>
              </w:rPr>
              <w:t>Business impact</w:t>
            </w:r>
          </w:p>
        </w:tc>
        <w:tc>
          <w:tcPr>
            <w:tcW w:w="1008" w:type="dxa"/>
            <w:shd w:fill="17365D"/>
            <w:vAlign w:val="center"/>
            <w:tcMar>
              <w:top w:w="110" w:type="dxa"/>
              <w:start w:w="120" w:type="dxa"/>
              <w:bottom w:w="110" w:type="dxa"/>
              <w:end w:w="120" w:type="dxa"/>
            </w:tcMar>
          </w:tcPr>
          <w:p>
            <w:pPr>
              <w:jc w:val="center"/>
            </w:pPr>
            <w:r/>
            <w:r>
              <w:rPr>
                <w:rFonts w:ascii="Aptos" w:hAnsi="Aptos"/>
                <w:b/>
                <w:color w:val="FFFFFF"/>
                <w:sz w:val="16"/>
              </w:rPr>
              <w:t>Priority</w:t>
            </w:r>
          </w:p>
        </w:tc>
      </w:tr>
      <w:tr>
        <w:tc>
          <w:tcPr>
            <w:tcW w:w="3744" w:type="dxa"/>
            <w:vAlign w:val="center"/>
            <w:tcMar>
              <w:top w:w="110" w:type="dxa"/>
              <w:start w:w="120" w:type="dxa"/>
              <w:bottom w:w="110" w:type="dxa"/>
              <w:end w:w="120" w:type="dxa"/>
            </w:tcMar>
          </w:tcPr>
          <w:p>
            <w:r/>
            <w:r>
              <w:rPr>
                <w:rFonts w:ascii="Aptos" w:hAnsi="Aptos"/>
                <w:b w:val="0"/>
                <w:color w:val="111827"/>
                <w:sz w:val="16"/>
              </w:rPr>
              <w:t>Replace repetitive service navigation with Roof Problems + Repair Services</w:t>
            </w:r>
          </w:p>
        </w:tc>
        <w:tc>
          <w:tcPr>
            <w:tcW w:w="4608" w:type="dxa"/>
            <w:vAlign w:val="center"/>
            <w:tcMar>
              <w:top w:w="110" w:type="dxa"/>
              <w:start w:w="120" w:type="dxa"/>
              <w:bottom w:w="110" w:type="dxa"/>
              <w:end w:w="120" w:type="dxa"/>
            </w:tcMar>
          </w:tcPr>
          <w:p>
            <w:r/>
            <w:r>
              <w:rPr>
                <w:rFonts w:ascii="Aptos" w:hAnsi="Aptos"/>
                <w:b w:val="0"/>
                <w:color w:val="111827"/>
                <w:sz w:val="16"/>
              </w:rPr>
              <w:t>Improves customer understanding, search relevance and AI extraction.</w:t>
            </w:r>
          </w:p>
        </w:tc>
        <w:tc>
          <w:tcPr>
            <w:tcW w:w="1008" w:type="dxa"/>
            <w:vAlign w:val="center"/>
            <w:tcMar>
              <w:top w:w="110" w:type="dxa"/>
              <w:start w:w="120" w:type="dxa"/>
              <w:bottom w:w="110" w:type="dxa"/>
              <w:end w:w="120" w:type="dxa"/>
            </w:tcMar>
          </w:tcPr>
          <w:p>
            <w:r/>
            <w:r>
              <w:rPr>
                <w:rFonts w:ascii="Aptos" w:hAnsi="Aptos"/>
                <w:b w:val="0"/>
                <w:color w:val="111827"/>
                <w:sz w:val="16"/>
              </w:rPr>
              <w:t>P0 / strategic</w:t>
            </w:r>
          </w:p>
        </w:tc>
      </w:tr>
      <w:tr>
        <w:tc>
          <w:tcPr>
            <w:tcW w:w="3744" w:type="dxa"/>
            <w:shd w:fill="F4F7FA"/>
            <w:vAlign w:val="center"/>
            <w:tcMar>
              <w:top w:w="110" w:type="dxa"/>
              <w:start w:w="120" w:type="dxa"/>
              <w:bottom w:w="110" w:type="dxa"/>
              <w:end w:w="120" w:type="dxa"/>
            </w:tcMar>
          </w:tcPr>
          <w:p>
            <w:r/>
            <w:r>
              <w:rPr>
                <w:rFonts w:ascii="Aptos" w:hAnsi="Aptos"/>
                <w:b w:val="0"/>
                <w:color w:val="111827"/>
                <w:sz w:val="16"/>
              </w:rPr>
              <w:t>Manually recheck earlier credibility issues</w:t>
            </w:r>
          </w:p>
        </w:tc>
        <w:tc>
          <w:tcPr>
            <w:tcW w:w="4608" w:type="dxa"/>
            <w:shd w:fill="F4F7FA"/>
            <w:vAlign w:val="center"/>
            <w:tcMar>
              <w:top w:w="110" w:type="dxa"/>
              <w:start w:w="120" w:type="dxa"/>
              <w:bottom w:w="110" w:type="dxa"/>
              <w:end w:w="120" w:type="dxa"/>
            </w:tcMar>
          </w:tcPr>
          <w:p>
            <w:r/>
            <w:r>
              <w:rPr>
                <w:rFonts w:ascii="Aptos" w:hAnsi="Aptos"/>
                <w:b w:val="0"/>
                <w:color w:val="111827"/>
                <w:sz w:val="16"/>
              </w:rPr>
              <w:t>Prevents historic or unverified defects being presented as current facts.</w:t>
            </w:r>
          </w:p>
        </w:tc>
        <w:tc>
          <w:tcPr>
            <w:tcW w:w="1008" w:type="dxa"/>
            <w:shd w:fill="F4F7FA"/>
            <w:vAlign w:val="center"/>
            <w:tcMar>
              <w:top w:w="110" w:type="dxa"/>
              <w:start w:w="120" w:type="dxa"/>
              <w:bottom w:w="110" w:type="dxa"/>
              <w:end w:w="120" w:type="dxa"/>
            </w:tcMar>
          </w:tcPr>
          <w:p>
            <w:r/>
            <w:r>
              <w:rPr>
                <w:rFonts w:ascii="Aptos" w:hAnsi="Aptos"/>
                <w:b w:val="0"/>
                <w:color w:val="111827"/>
                <w:sz w:val="16"/>
              </w:rPr>
              <w:t>P0</w:t>
            </w:r>
          </w:p>
        </w:tc>
      </w:tr>
      <w:tr>
        <w:tc>
          <w:tcPr>
            <w:tcW w:w="3744" w:type="dxa"/>
            <w:vAlign w:val="center"/>
            <w:tcMar>
              <w:top w:w="110" w:type="dxa"/>
              <w:start w:w="120" w:type="dxa"/>
              <w:bottom w:w="110" w:type="dxa"/>
              <w:end w:w="120" w:type="dxa"/>
            </w:tcMar>
          </w:tcPr>
          <w:p>
            <w:r/>
            <w:r>
              <w:rPr>
                <w:rFonts w:ascii="Aptos" w:hAnsi="Aptos"/>
                <w:b w:val="0"/>
                <w:color w:val="111827"/>
                <w:sz w:val="16"/>
              </w:rPr>
              <w:t>Fix narrow-mobile overflow and reduce header density</w:t>
            </w:r>
          </w:p>
        </w:tc>
        <w:tc>
          <w:tcPr>
            <w:tcW w:w="4608" w:type="dxa"/>
            <w:vAlign w:val="center"/>
            <w:tcMar>
              <w:top w:w="110" w:type="dxa"/>
              <w:start w:w="120" w:type="dxa"/>
              <w:bottom w:w="110" w:type="dxa"/>
              <w:end w:w="120" w:type="dxa"/>
            </w:tcMar>
          </w:tcPr>
          <w:p>
            <w:r/>
            <w:r>
              <w:rPr>
                <w:rFonts w:ascii="Aptos" w:hAnsi="Aptos"/>
                <w:b w:val="0"/>
                <w:color w:val="111827"/>
                <w:sz w:val="16"/>
              </w:rPr>
              <w:t>Protects phone-based enquiries and accessibility at small widths.</w:t>
            </w:r>
          </w:p>
        </w:tc>
        <w:tc>
          <w:tcPr>
            <w:tcW w:w="1008" w:type="dxa"/>
            <w:vAlign w:val="center"/>
            <w:tcMar>
              <w:top w:w="110" w:type="dxa"/>
              <w:start w:w="120" w:type="dxa"/>
              <w:bottom w:w="110" w:type="dxa"/>
              <w:end w:w="120" w:type="dxa"/>
            </w:tcMar>
          </w:tcPr>
          <w:p>
            <w:r/>
            <w:r>
              <w:rPr>
                <w:rFonts w:ascii="Aptos" w:hAnsi="Aptos"/>
                <w:b w:val="0"/>
                <w:color w:val="111827"/>
                <w:sz w:val="16"/>
              </w:rPr>
              <w:t>P0</w:t>
            </w:r>
          </w:p>
        </w:tc>
      </w:tr>
      <w:tr>
        <w:tc>
          <w:tcPr>
            <w:tcW w:w="3744" w:type="dxa"/>
            <w:shd w:fill="F4F7FA"/>
            <w:vAlign w:val="center"/>
            <w:tcMar>
              <w:top w:w="110" w:type="dxa"/>
              <w:start w:w="120" w:type="dxa"/>
              <w:bottom w:w="110" w:type="dxa"/>
              <w:end w:w="120" w:type="dxa"/>
            </w:tcMar>
          </w:tcPr>
          <w:p>
            <w:r/>
            <w:r>
              <w:rPr>
                <w:rFonts w:ascii="Aptos" w:hAnsi="Aptos"/>
                <w:b w:val="0"/>
                <w:color w:val="111827"/>
                <w:sz w:val="16"/>
              </w:rPr>
              <w:t>Turn the gallery into project evidence</w:t>
            </w:r>
          </w:p>
        </w:tc>
        <w:tc>
          <w:tcPr>
            <w:tcW w:w="4608" w:type="dxa"/>
            <w:shd w:fill="F4F7FA"/>
            <w:vAlign w:val="center"/>
            <w:tcMar>
              <w:top w:w="110" w:type="dxa"/>
              <w:start w:w="120" w:type="dxa"/>
              <w:bottom w:w="110" w:type="dxa"/>
              <w:end w:w="120" w:type="dxa"/>
            </w:tcMar>
          </w:tcPr>
          <w:p>
            <w:r/>
            <w:r>
              <w:rPr>
                <w:rFonts w:ascii="Aptos" w:hAnsi="Aptos"/>
                <w:b w:val="0"/>
                <w:color w:val="111827"/>
                <w:sz w:val="16"/>
              </w:rPr>
              <w:t>Shows what was wrong, what was repaired and where.</w:t>
            </w:r>
          </w:p>
        </w:tc>
        <w:tc>
          <w:tcPr>
            <w:tcW w:w="1008" w:type="dxa"/>
            <w:shd w:fill="F4F7FA"/>
            <w:vAlign w:val="center"/>
            <w:tcMar>
              <w:top w:w="110" w:type="dxa"/>
              <w:start w:w="120" w:type="dxa"/>
              <w:bottom w:w="110" w:type="dxa"/>
              <w:end w:w="120" w:type="dxa"/>
            </w:tcMar>
          </w:tcPr>
          <w:p>
            <w:r/>
            <w:r>
              <w:rPr>
                <w:rFonts w:ascii="Aptos" w:hAnsi="Aptos"/>
                <w:b w:val="0"/>
                <w:color w:val="111827"/>
                <w:sz w:val="16"/>
              </w:rPr>
              <w:t>P1</w:t>
            </w:r>
          </w:p>
        </w:tc>
      </w:tr>
      <w:tr>
        <w:tc>
          <w:tcPr>
            <w:tcW w:w="3744" w:type="dxa"/>
            <w:vAlign w:val="center"/>
            <w:tcMar>
              <w:top w:w="110" w:type="dxa"/>
              <w:start w:w="120" w:type="dxa"/>
              <w:bottom w:w="110" w:type="dxa"/>
              <w:end w:w="120" w:type="dxa"/>
            </w:tcMar>
          </w:tcPr>
          <w:p>
            <w:r/>
            <w:r>
              <w:rPr>
                <w:rFonts w:ascii="Aptos" w:hAnsi="Aptos"/>
                <w:b w:val="0"/>
                <w:color w:val="111827"/>
                <w:sz w:val="16"/>
              </w:rPr>
              <w:t>Build one strong Brighton &amp; Hove local hub</w:t>
            </w:r>
          </w:p>
        </w:tc>
        <w:tc>
          <w:tcPr>
            <w:tcW w:w="4608" w:type="dxa"/>
            <w:vAlign w:val="center"/>
            <w:tcMar>
              <w:top w:w="110" w:type="dxa"/>
              <w:start w:w="120" w:type="dxa"/>
              <w:bottom w:w="110" w:type="dxa"/>
              <w:end w:w="120" w:type="dxa"/>
            </w:tcMar>
          </w:tcPr>
          <w:p>
            <w:r/>
            <w:r>
              <w:rPr>
                <w:rFonts w:ascii="Aptos" w:hAnsi="Aptos"/>
                <w:b w:val="0"/>
                <w:color w:val="111827"/>
                <w:sz w:val="16"/>
              </w:rPr>
              <w:t>More credible than many thin, similar town pages.</w:t>
            </w:r>
          </w:p>
        </w:tc>
        <w:tc>
          <w:tcPr>
            <w:tcW w:w="1008" w:type="dxa"/>
            <w:vAlign w:val="center"/>
            <w:tcMar>
              <w:top w:w="110" w:type="dxa"/>
              <w:start w:w="120" w:type="dxa"/>
              <w:bottom w:w="110" w:type="dxa"/>
              <w:end w:w="120" w:type="dxa"/>
            </w:tcMar>
          </w:tcPr>
          <w:p>
            <w:r/>
            <w:r>
              <w:rPr>
                <w:rFonts w:ascii="Aptos" w:hAnsi="Aptos"/>
                <w:b w:val="0"/>
                <w:color w:val="111827"/>
                <w:sz w:val="16"/>
              </w:rPr>
              <w:t>P1</w:t>
            </w:r>
          </w:p>
        </w:tc>
      </w:tr>
      <w:tr>
        <w:tc>
          <w:tcPr>
            <w:tcW w:w="3744" w:type="dxa"/>
            <w:shd w:fill="F4F7FA"/>
            <w:vAlign w:val="center"/>
            <w:tcMar>
              <w:top w:w="110" w:type="dxa"/>
              <w:start w:w="120" w:type="dxa"/>
              <w:bottom w:w="110" w:type="dxa"/>
              <w:end w:w="120" w:type="dxa"/>
            </w:tcMar>
          </w:tcPr>
          <w:p>
            <w:r/>
            <w:r>
              <w:rPr>
                <w:rFonts w:ascii="Aptos" w:hAnsi="Aptos"/>
                <w:b w:val="0"/>
                <w:color w:val="111827"/>
                <w:sz w:val="16"/>
              </w:rPr>
              <w:t>Introduce branded email after technical validation</w:t>
            </w:r>
          </w:p>
        </w:tc>
        <w:tc>
          <w:tcPr>
            <w:tcW w:w="4608" w:type="dxa"/>
            <w:shd w:fill="F4F7FA"/>
            <w:vAlign w:val="center"/>
            <w:tcMar>
              <w:top w:w="110" w:type="dxa"/>
              <w:start w:w="120" w:type="dxa"/>
              <w:bottom w:w="110" w:type="dxa"/>
              <w:end w:w="120" w:type="dxa"/>
            </w:tcMar>
          </w:tcPr>
          <w:p>
            <w:r/>
            <w:r>
              <w:rPr>
                <w:rFonts w:ascii="Aptos" w:hAnsi="Aptos"/>
                <w:b w:val="0"/>
                <w:color w:val="111827"/>
                <w:sz w:val="16"/>
              </w:rPr>
              <w:t>Improves identity and continuity without risking delivery.</w:t>
            </w:r>
          </w:p>
        </w:tc>
        <w:tc>
          <w:tcPr>
            <w:tcW w:w="1008" w:type="dxa"/>
            <w:shd w:fill="F4F7FA"/>
            <w:vAlign w:val="center"/>
            <w:tcMar>
              <w:top w:w="110" w:type="dxa"/>
              <w:start w:w="120" w:type="dxa"/>
              <w:bottom w:w="110" w:type="dxa"/>
              <w:end w:w="120" w:type="dxa"/>
            </w:tcMar>
          </w:tcPr>
          <w:p>
            <w:r/>
            <w:r>
              <w:rPr>
                <w:rFonts w:ascii="Aptos" w:hAnsi="Aptos"/>
                <w:b w:val="0"/>
                <w:color w:val="111827"/>
                <w:sz w:val="16"/>
              </w:rPr>
              <w:t>P1 gated</w:t>
            </w:r>
          </w:p>
        </w:tc>
      </w:tr>
    </w:tbl>
    <w:p>
      <w:pPr>
        <w:spacing w:after="20"/>
      </w:pPr>
    </w:p>
    <w:p>
      <w:pPr>
        <w:pStyle w:val="Heading1"/>
      </w:pPr>
      <w:r>
        <w:t>2. Business position and priorities</w:t>
      </w:r>
    </w:p>
    <w:p>
      <w:pPr>
        <w:pStyle w:val="Heading2"/>
      </w:pPr>
      <w:r>
        <w:t>2.1 What should not change first</w:t>
      </w:r>
    </w:p>
    <w:p>
      <w:r>
        <w:t>A complete visual rebrand is not the first priority. The white-on-black van branding can remain a later design discussion, except where text contrast or readability needs immediate correction.</w:t>
      </w:r>
    </w:p>
    <w:p>
      <w:pPr>
        <w:pStyle w:val="Heading2"/>
      </w:pPr>
      <w:r>
        <w:t>2.2 What should change first</w:t>
      </w:r>
    </w:p>
    <w:p>
      <w:pPr>
        <w:pStyle w:val="ListBullet"/>
      </w:pPr>
      <w:r>
        <w:t>Clean and confirm the live content and contact details.</w:t>
      </w:r>
    </w:p>
    <w:p>
      <w:pPr>
        <w:pStyle w:val="ListBullet"/>
      </w:pPr>
      <w:r>
        <w:t>Make it easy for a customer to identify their roof problem.</w:t>
      </w:r>
    </w:p>
    <w:p>
      <w:pPr>
        <w:pStyle w:val="ListBullet"/>
      </w:pPr>
      <w:r>
        <w:t>Show the matching repair service and real local evidence.</w:t>
      </w:r>
    </w:p>
    <w:p>
      <w:pPr>
        <w:pStyle w:val="ListBullet"/>
      </w:pPr>
      <w:r>
        <w:t>Make Call and Get a Quote obvious on mobile.</w:t>
      </w:r>
    </w:p>
    <w:p>
      <w:pPr>
        <w:pStyle w:val="ListBullet"/>
      </w:pPr>
      <w:r>
        <w:t>Build a controlled, authenticated business-email route.</w:t>
      </w:r>
    </w:p>
    <w:p>
      <w:pPr>
        <w:pStyle w:val="Heading2"/>
      </w:pPr>
      <w:r>
        <w:t>2.3 Evidence boundary</w:t>
      </w:r>
    </w:p>
    <w:p>
      <w:r>
        <w:t>Earlier review work identified possible placeholder text, example.com/fragment links, zero counters and contact inconsistencies. The later passive collector did not reverify those items. They must be manually checked on the current live site before they are presented as active defects or used in a scope of work.</w:t>
      </w:r>
    </w:p>
    <w:p>
      <w:pPr>
        <w:pStyle w:val="Heading1"/>
      </w:pPr>
      <w:r>
        <w:t>3. Recommended customer journey</w:t>
      </w:r>
    </w:p>
    <w:tbl>
      <w:tblPr>
        <w:tblStyle w:val="TableGrid"/>
        <w:tblW w:w="0" w:type="auto"/>
        <w:jc w:val="center"/>
        <w:tblLayout w:type="fixed"/>
        <w:tblLook w:val="04A0" w:firstRow="1" w:lastRow="0" w:firstColumn="1" w:lastColumn="0" w:noHBand="0" w:noVBand="1"/>
      </w:tblPr>
      <w:tblGrid>
        <w:gridCol w:w="3360"/>
        <w:gridCol w:w="3360"/>
        <w:gridCol w:w="3360"/>
      </w:tblGrid>
      <w:tr>
        <w:trPr>
          <w:tblHeader w:val="true"/>
        </w:trPr>
        <w:tc>
          <w:tcPr>
            <w:tcW w:w="2880" w:type="dxa"/>
            <w:shd w:fill="17365D"/>
            <w:vAlign w:val="center"/>
            <w:tcMar>
              <w:top w:w="110" w:type="dxa"/>
              <w:start w:w="120" w:type="dxa"/>
              <w:bottom w:w="110" w:type="dxa"/>
              <w:end w:w="120" w:type="dxa"/>
            </w:tcMar>
          </w:tcPr>
          <w:p>
            <w:pPr>
              <w:jc w:val="center"/>
            </w:pPr>
            <w:r/>
            <w:r>
              <w:rPr>
                <w:rFonts w:ascii="Aptos" w:hAnsi="Aptos"/>
                <w:b/>
                <w:color w:val="FFFFFF"/>
                <w:sz w:val="17"/>
              </w:rPr>
              <w:t>Customer question</w:t>
            </w:r>
          </w:p>
        </w:tc>
        <w:tc>
          <w:tcPr>
            <w:tcW w:w="4176" w:type="dxa"/>
            <w:shd w:fill="17365D"/>
            <w:vAlign w:val="center"/>
            <w:tcMar>
              <w:top w:w="110" w:type="dxa"/>
              <w:start w:w="120" w:type="dxa"/>
              <w:bottom w:w="110" w:type="dxa"/>
              <w:end w:w="120" w:type="dxa"/>
            </w:tcMar>
          </w:tcPr>
          <w:p>
            <w:pPr>
              <w:jc w:val="center"/>
            </w:pPr>
            <w:r/>
            <w:r>
              <w:rPr>
                <w:rFonts w:ascii="Aptos" w:hAnsi="Aptos"/>
                <w:b/>
                <w:color w:val="FFFFFF"/>
                <w:sz w:val="17"/>
              </w:rPr>
              <w:t>Website answer</w:t>
            </w:r>
          </w:p>
        </w:tc>
        <w:tc>
          <w:tcPr>
            <w:tcW w:w="2304" w:type="dxa"/>
            <w:shd w:fill="17365D"/>
            <w:vAlign w:val="center"/>
            <w:tcMar>
              <w:top w:w="110" w:type="dxa"/>
              <w:start w:w="120" w:type="dxa"/>
              <w:bottom w:w="110" w:type="dxa"/>
              <w:end w:w="120" w:type="dxa"/>
            </w:tcMar>
          </w:tcPr>
          <w:p>
            <w:pPr>
              <w:jc w:val="center"/>
            </w:pPr>
            <w:r/>
            <w:r>
              <w:rPr>
                <w:rFonts w:ascii="Aptos" w:hAnsi="Aptos"/>
                <w:b/>
                <w:color w:val="FFFFFF"/>
                <w:sz w:val="17"/>
              </w:rPr>
              <w:t>Next action</w:t>
            </w:r>
          </w:p>
        </w:tc>
      </w:tr>
      <w:tr>
        <w:tc>
          <w:tcPr>
            <w:tcW w:w="2880" w:type="dxa"/>
            <w:vAlign w:val="center"/>
            <w:tcMar>
              <w:top w:w="110" w:type="dxa"/>
              <w:start w:w="120" w:type="dxa"/>
              <w:bottom w:w="110" w:type="dxa"/>
              <w:end w:w="120" w:type="dxa"/>
            </w:tcMar>
          </w:tcPr>
          <w:p>
            <w:r/>
            <w:r>
              <w:rPr>
                <w:rFonts w:ascii="Aptos" w:hAnsi="Aptos"/>
                <w:b w:val="0"/>
                <w:color w:val="111827"/>
                <w:sz w:val="17"/>
              </w:rPr>
              <w:t>What is happening to my roof?</w:t>
            </w:r>
          </w:p>
        </w:tc>
        <w:tc>
          <w:tcPr>
            <w:tcW w:w="4176" w:type="dxa"/>
            <w:vAlign w:val="center"/>
            <w:tcMar>
              <w:top w:w="110" w:type="dxa"/>
              <w:start w:w="120" w:type="dxa"/>
              <w:bottom w:w="110" w:type="dxa"/>
              <w:end w:w="120" w:type="dxa"/>
            </w:tcMar>
          </w:tcPr>
          <w:p>
            <w:r/>
            <w:r>
              <w:rPr>
                <w:rFonts w:ascii="Aptos" w:hAnsi="Aptos"/>
                <w:b w:val="0"/>
                <w:color w:val="111827"/>
                <w:sz w:val="17"/>
              </w:rPr>
              <w:t>A clear Roof Problems section using customer language.</w:t>
            </w:r>
          </w:p>
        </w:tc>
        <w:tc>
          <w:tcPr>
            <w:tcW w:w="2304" w:type="dxa"/>
            <w:vAlign w:val="center"/>
            <w:tcMar>
              <w:top w:w="110" w:type="dxa"/>
              <w:start w:w="120" w:type="dxa"/>
              <w:bottom w:w="110" w:type="dxa"/>
              <w:end w:w="120" w:type="dxa"/>
            </w:tcMar>
          </w:tcPr>
          <w:p>
            <w:r/>
            <w:r>
              <w:rPr>
                <w:rFonts w:ascii="Aptos" w:hAnsi="Aptos"/>
                <w:b w:val="0"/>
                <w:color w:val="111827"/>
                <w:sz w:val="17"/>
              </w:rPr>
              <w:t>Open the relevant problem page.</w:t>
            </w:r>
          </w:p>
        </w:tc>
      </w:tr>
      <w:tr>
        <w:tc>
          <w:tcPr>
            <w:tcW w:w="2880" w:type="dxa"/>
            <w:shd w:fill="F4F7FA"/>
            <w:vAlign w:val="center"/>
            <w:tcMar>
              <w:top w:w="110" w:type="dxa"/>
              <w:start w:w="120" w:type="dxa"/>
              <w:bottom w:w="110" w:type="dxa"/>
              <w:end w:w="120" w:type="dxa"/>
            </w:tcMar>
          </w:tcPr>
          <w:p>
            <w:r/>
            <w:r>
              <w:rPr>
                <w:rFonts w:ascii="Aptos" w:hAnsi="Aptos"/>
                <w:b w:val="0"/>
                <w:color w:val="111827"/>
                <w:sz w:val="17"/>
              </w:rPr>
              <w:t>What repair might I need?</w:t>
            </w:r>
          </w:p>
        </w:tc>
        <w:tc>
          <w:tcPr>
            <w:tcW w:w="4176" w:type="dxa"/>
            <w:shd w:fill="F4F7FA"/>
            <w:vAlign w:val="center"/>
            <w:tcMar>
              <w:top w:w="110" w:type="dxa"/>
              <w:start w:w="120" w:type="dxa"/>
              <w:bottom w:w="110" w:type="dxa"/>
              <w:end w:w="120" w:type="dxa"/>
            </w:tcMar>
          </w:tcPr>
          <w:p>
            <w:r/>
            <w:r>
              <w:rPr>
                <w:rFonts w:ascii="Aptos" w:hAnsi="Aptos"/>
                <w:b w:val="0"/>
                <w:color w:val="111827"/>
                <w:sz w:val="17"/>
              </w:rPr>
              <w:t>A specific repair-service page linked from the problem.</w:t>
            </w:r>
          </w:p>
        </w:tc>
        <w:tc>
          <w:tcPr>
            <w:tcW w:w="2304" w:type="dxa"/>
            <w:shd w:fill="F4F7FA"/>
            <w:vAlign w:val="center"/>
            <w:tcMar>
              <w:top w:w="110" w:type="dxa"/>
              <w:start w:w="120" w:type="dxa"/>
              <w:bottom w:w="110" w:type="dxa"/>
              <w:end w:w="120" w:type="dxa"/>
            </w:tcMar>
          </w:tcPr>
          <w:p>
            <w:r/>
            <w:r>
              <w:rPr>
                <w:rFonts w:ascii="Aptos" w:hAnsi="Aptos"/>
                <w:b w:val="0"/>
                <w:color w:val="111827"/>
                <w:sz w:val="17"/>
              </w:rPr>
              <w:t>Review process and related projects.</w:t>
            </w:r>
          </w:p>
        </w:tc>
      </w:tr>
      <w:tr>
        <w:tc>
          <w:tcPr>
            <w:tcW w:w="2880" w:type="dxa"/>
            <w:vAlign w:val="center"/>
            <w:tcMar>
              <w:top w:w="110" w:type="dxa"/>
              <w:start w:w="120" w:type="dxa"/>
              <w:bottom w:w="110" w:type="dxa"/>
              <w:end w:w="120" w:type="dxa"/>
            </w:tcMar>
          </w:tcPr>
          <w:p>
            <w:r/>
            <w:r>
              <w:rPr>
                <w:rFonts w:ascii="Aptos" w:hAnsi="Aptos"/>
                <w:b w:val="0"/>
                <w:color w:val="111827"/>
                <w:sz w:val="17"/>
              </w:rPr>
              <w:t>Do you work near me?</w:t>
            </w:r>
          </w:p>
        </w:tc>
        <w:tc>
          <w:tcPr>
            <w:tcW w:w="4176" w:type="dxa"/>
            <w:vAlign w:val="center"/>
            <w:tcMar>
              <w:top w:w="110" w:type="dxa"/>
              <w:start w:w="120" w:type="dxa"/>
              <w:bottom w:w="110" w:type="dxa"/>
              <w:end w:w="120" w:type="dxa"/>
            </w:tcMar>
          </w:tcPr>
          <w:p>
            <w:r/>
            <w:r>
              <w:rPr>
                <w:rFonts w:ascii="Aptos" w:hAnsi="Aptos"/>
                <w:b w:val="0"/>
                <w:color w:val="111827"/>
                <w:sz w:val="17"/>
              </w:rPr>
              <w:t>Brighton &amp; Hove / East Sussex coverage with genuine examples.</w:t>
            </w:r>
          </w:p>
        </w:tc>
        <w:tc>
          <w:tcPr>
            <w:tcW w:w="2304" w:type="dxa"/>
            <w:vAlign w:val="center"/>
            <w:tcMar>
              <w:top w:w="110" w:type="dxa"/>
              <w:start w:w="120" w:type="dxa"/>
              <w:bottom w:w="110" w:type="dxa"/>
              <w:end w:w="120" w:type="dxa"/>
            </w:tcMar>
          </w:tcPr>
          <w:p>
            <w:r/>
            <w:r>
              <w:rPr>
                <w:rFonts w:ascii="Aptos" w:hAnsi="Aptos"/>
                <w:b w:val="0"/>
                <w:color w:val="111827"/>
                <w:sz w:val="17"/>
              </w:rPr>
              <w:t>See local evidence.</w:t>
            </w:r>
          </w:p>
        </w:tc>
      </w:tr>
      <w:tr>
        <w:tc>
          <w:tcPr>
            <w:tcW w:w="2880" w:type="dxa"/>
            <w:shd w:fill="F4F7FA"/>
            <w:vAlign w:val="center"/>
            <w:tcMar>
              <w:top w:w="110" w:type="dxa"/>
              <w:start w:w="120" w:type="dxa"/>
              <w:bottom w:w="110" w:type="dxa"/>
              <w:end w:w="120" w:type="dxa"/>
            </w:tcMar>
          </w:tcPr>
          <w:p>
            <w:r/>
            <w:r>
              <w:rPr>
                <w:rFonts w:ascii="Aptos" w:hAnsi="Aptos"/>
                <w:b w:val="0"/>
                <w:color w:val="111827"/>
                <w:sz w:val="17"/>
              </w:rPr>
              <w:t>Can I trust the business?</w:t>
            </w:r>
          </w:p>
        </w:tc>
        <w:tc>
          <w:tcPr>
            <w:tcW w:w="4176" w:type="dxa"/>
            <w:shd w:fill="F4F7FA"/>
            <w:vAlign w:val="center"/>
            <w:tcMar>
              <w:top w:w="110" w:type="dxa"/>
              <w:start w:w="120" w:type="dxa"/>
              <w:bottom w:w="110" w:type="dxa"/>
              <w:end w:w="120" w:type="dxa"/>
            </w:tcMar>
          </w:tcPr>
          <w:p>
            <w:r/>
            <w:r>
              <w:rPr>
                <w:rFonts w:ascii="Aptos" w:hAnsi="Aptos"/>
                <w:b w:val="0"/>
                <w:color w:val="111827"/>
                <w:sz w:val="17"/>
              </w:rPr>
              <w:t>Verified reviews, real projects, consistent identity and clear policies.</w:t>
            </w:r>
          </w:p>
        </w:tc>
        <w:tc>
          <w:tcPr>
            <w:tcW w:w="2304" w:type="dxa"/>
            <w:shd w:fill="F4F7FA"/>
            <w:vAlign w:val="center"/>
            <w:tcMar>
              <w:top w:w="110" w:type="dxa"/>
              <w:start w:w="120" w:type="dxa"/>
              <w:bottom w:w="110" w:type="dxa"/>
              <w:end w:w="120" w:type="dxa"/>
            </w:tcMar>
          </w:tcPr>
          <w:p>
            <w:r/>
            <w:r>
              <w:rPr>
                <w:rFonts w:ascii="Aptos" w:hAnsi="Aptos"/>
                <w:b w:val="0"/>
                <w:color w:val="111827"/>
                <w:sz w:val="17"/>
              </w:rPr>
              <w:t>Call or request a quote.</w:t>
            </w:r>
          </w:p>
        </w:tc>
      </w:tr>
      <w:tr>
        <w:tc>
          <w:tcPr>
            <w:tcW w:w="2880" w:type="dxa"/>
            <w:vAlign w:val="center"/>
            <w:tcMar>
              <w:top w:w="110" w:type="dxa"/>
              <w:start w:w="120" w:type="dxa"/>
              <w:bottom w:w="110" w:type="dxa"/>
              <w:end w:w="120" w:type="dxa"/>
            </w:tcMar>
          </w:tcPr>
          <w:p>
            <w:r/>
            <w:r>
              <w:rPr>
                <w:rFonts w:ascii="Aptos" w:hAnsi="Aptos"/>
                <w:b w:val="0"/>
                <w:color w:val="111827"/>
                <w:sz w:val="17"/>
              </w:rPr>
              <w:t>How do I contact you?</w:t>
            </w:r>
          </w:p>
        </w:tc>
        <w:tc>
          <w:tcPr>
            <w:tcW w:w="4176" w:type="dxa"/>
            <w:vAlign w:val="center"/>
            <w:tcMar>
              <w:top w:w="110" w:type="dxa"/>
              <w:start w:w="120" w:type="dxa"/>
              <w:bottom w:w="110" w:type="dxa"/>
              <w:end w:w="120" w:type="dxa"/>
            </w:tcMar>
          </w:tcPr>
          <w:p>
            <w:r/>
            <w:r>
              <w:rPr>
                <w:rFonts w:ascii="Aptos" w:hAnsi="Aptos"/>
                <w:b w:val="0"/>
                <w:color w:val="111827"/>
                <w:sz w:val="17"/>
              </w:rPr>
              <w:t>One primary phone and branded quote/general email.</w:t>
            </w:r>
          </w:p>
        </w:tc>
        <w:tc>
          <w:tcPr>
            <w:tcW w:w="2304" w:type="dxa"/>
            <w:vAlign w:val="center"/>
            <w:tcMar>
              <w:top w:w="110" w:type="dxa"/>
              <w:start w:w="120" w:type="dxa"/>
              <w:bottom w:w="110" w:type="dxa"/>
              <w:end w:w="120" w:type="dxa"/>
            </w:tcMar>
          </w:tcPr>
          <w:p>
            <w:r/>
            <w:r>
              <w:rPr>
                <w:rFonts w:ascii="Aptos" w:hAnsi="Aptos"/>
                <w:b w:val="0"/>
                <w:color w:val="111827"/>
                <w:sz w:val="17"/>
              </w:rPr>
              <w:t>Call, email or submit the form.</w:t>
            </w:r>
          </w:p>
        </w:tc>
      </w:tr>
    </w:tbl>
    <w:p>
      <w:pPr>
        <w:spacing w:after="20"/>
      </w:pPr>
    </w:p>
    <w:p>
      <w:pPr>
        <w:pStyle w:val="Heading1"/>
      </w:pPr>
      <w:r>
        <w:t>4. Why the service menu should change</w:t>
      </w:r>
    </w:p>
    <w:p>
      <w:r>
        <w:t>The existing broad categories - installation, repair and renovation - overlap. Customers normally arrive with a symptom: a leak, missing tiles, water around a chimney, storm damage, a flat-roof problem or overflowing gutters. The navigation should begin with that language.</w:t>
      </w:r>
    </w:p>
    <w:tbl>
      <w:tblPr>
        <w:tblW w:w="0" w:type="auto"/>
        <w:jc w:val="center"/>
        <w:tblLayout w:type="fixed"/>
        <w:tblLook w:val="04A0" w:firstRow="1" w:lastRow="0" w:firstColumn="1" w:lastColumn="0" w:noHBand="0" w:noVBand="1"/>
      </w:tblPr>
      <w:tblGrid>
        <w:gridCol w:w="259"/>
        <w:gridCol w:w="9144"/>
      </w:tblGrid>
      <w:tr>
        <w:tc>
          <w:tcPr>
            <w:tcW w:w="5040" w:type="dxa"/>
            <w:shd w:fill="1F4E78"/>
            <w:vAlign w:val="center"/>
            <w:tcMar>
              <w:top w:w="110" w:type="dxa"/>
              <w:start w:w="120" w:type="dxa"/>
              <w:bottom w:w="110" w:type="dxa"/>
              <w:end w:w="120" w:type="dxa"/>
            </w:tcMar>
          </w:tcPr>
          <w:p>
            <w:r/>
            <w:r>
              <w:rPr>
                <w:rFonts w:ascii="Aptos" w:hAnsi="Aptos"/>
                <w:b w:val="0"/>
                <w:color w:val="FFFFFF"/>
                <w:sz w:val="2"/>
              </w:rPr>
            </w:r>
          </w:p>
        </w:tc>
        <w:tc>
          <w:tcPr>
            <w:tcW w:w="5040" w:type="dxa"/>
            <w:shd w:fill="F4F7FA"/>
            <w:vAlign w:val="center"/>
            <w:tcMar>
              <w:top w:w="110" w:type="dxa"/>
              <w:start w:w="120" w:type="dxa"/>
              <w:bottom w:w="110" w:type="dxa"/>
              <w:end w:w="120" w:type="dxa"/>
            </w:tcMar>
          </w:tcPr>
          <w:p>
            <w:r/>
            <w:r>
              <w:rPr>
                <w:rFonts w:ascii="Aptos" w:hAnsi="Aptos"/>
                <w:b w:val="0"/>
                <w:color w:val="17365D"/>
                <w:sz w:val="20"/>
              </w:rPr>
              <w:t>Why this is a major improvement</w:t>
              <w:br/>
              <w:t>One restructuring decision improves usability, SEO and AI discoverability at the same time. It aligns the website with how customers describe urgent roofing problems and gives every page a clearer purpose.</w:t>
            </w:r>
          </w:p>
        </w:tc>
      </w:tr>
    </w:tbl>
    <w:p>
      <w:pPr>
        <w:spacing w:after="20"/>
      </w:pPr>
    </w:p>
    <w:p>
      <w:pPr>
        <w:pStyle w:val="Heading2"/>
      </w:pPr>
      <w:r>
        <w:t>4.1 Roof Problems</w:t>
      </w:r>
    </w:p>
    <w:p>
      <w:pPr>
        <w:pStyle w:val="ListBullet"/>
      </w:pPr>
      <w:r>
        <w:t>Leaking roof / water ingress</w:t>
      </w:r>
    </w:p>
    <w:p>
      <w:pPr>
        <w:pStyle w:val="ListBullet"/>
      </w:pPr>
      <w:r>
        <w:t>Missing, slipped or broken tiles and slates</w:t>
      </w:r>
    </w:p>
    <w:p>
      <w:pPr>
        <w:pStyle w:val="ListBullet"/>
      </w:pPr>
      <w:r>
        <w:t>Storm or wind damage</w:t>
      </w:r>
    </w:p>
    <w:p>
      <w:pPr>
        <w:pStyle w:val="ListBullet"/>
      </w:pPr>
      <w:r>
        <w:t>Damp patches and ceiling stains</w:t>
      </w:r>
    </w:p>
    <w:p>
      <w:pPr>
        <w:pStyle w:val="ListBullet"/>
      </w:pPr>
      <w:r>
        <w:t>Flat-roof cracking, bubbling or standing water</w:t>
      </w:r>
    </w:p>
    <w:p>
      <w:pPr>
        <w:pStyle w:val="ListBullet"/>
      </w:pPr>
      <w:r>
        <w:t>Chimney or flashing leaks</w:t>
      </w:r>
    </w:p>
    <w:p>
      <w:pPr>
        <w:pStyle w:val="ListBullet"/>
      </w:pPr>
      <w:r>
        <w:t>Damaged ridges, verges or valleys</w:t>
      </w:r>
    </w:p>
    <w:p>
      <w:pPr>
        <w:pStyle w:val="ListBullet"/>
      </w:pPr>
      <w:r>
        <w:t>Overflowing or damaged gutters</w:t>
      </w:r>
    </w:p>
    <w:p>
      <w:pPr>
        <w:pStyle w:val="Heading2"/>
      </w:pPr>
      <w:r>
        <w:t>4.2 Repair Services</w:t>
      </w:r>
    </w:p>
    <w:p>
      <w:pPr>
        <w:pStyle w:val="ListBullet"/>
      </w:pPr>
      <w:r>
        <w:t>Roof Leak Repairs</w:t>
      </w:r>
    </w:p>
    <w:p>
      <w:pPr>
        <w:pStyle w:val="ListBullet"/>
      </w:pPr>
      <w:r>
        <w:t>Tile and Slate Repairs</w:t>
      </w:r>
    </w:p>
    <w:p>
      <w:pPr>
        <w:pStyle w:val="ListBullet"/>
      </w:pPr>
      <w:r>
        <w:t>Ridge, Verge and Valley Repairs</w:t>
      </w:r>
    </w:p>
    <w:p>
      <w:pPr>
        <w:pStyle w:val="ListBullet"/>
      </w:pPr>
      <w:r>
        <w:t>Chimney and Leadwork Repairs</w:t>
      </w:r>
    </w:p>
    <w:p>
      <w:pPr>
        <w:pStyle w:val="ListBullet"/>
      </w:pPr>
      <w:r>
        <w:t>Flat Roof Repairs</w:t>
      </w:r>
    </w:p>
    <w:p>
      <w:pPr>
        <w:pStyle w:val="ListBullet"/>
      </w:pPr>
      <w:r>
        <w:t>Guttering, Fascias and Soffits</w:t>
      </w:r>
    </w:p>
    <w:p>
      <w:pPr>
        <w:pStyle w:val="ListBullet"/>
      </w:pPr>
      <w:r>
        <w:t>Emergency Make-Safe - only if genuinely offered</w:t>
      </w:r>
    </w:p>
    <w:p>
      <w:pPr>
        <w:pStyle w:val="ListBullet"/>
      </w:pPr>
      <w:r>
        <w:t>Roof Inspections</w:t>
      </w:r>
    </w:p>
    <w:p>
      <w:pPr>
        <w:pStyle w:val="ListBullet"/>
      </w:pPr>
      <w:r>
        <w:t>New Roofs and Re-roofing</w:t>
      </w:r>
    </w:p>
    <w:p>
      <w:r>
        <w:t>Only publish services, guarantees and response times the business can verify.</w:t>
      </w:r>
    </w:p>
    <w:p>
      <w:pPr>
        <w:pStyle w:val="Heading1"/>
      </w:pPr>
      <w:r>
        <w:t>5. Recommended page routing</w:t>
      </w:r>
    </w:p>
    <w:p>
      <w:r>
        <w:t>The information architecture below preserves the earlier routing concept: customers may enter through the problem they recognise or the service they need, but both routes lead to local evidence and a clear quote path.</w:t>
      </w:r>
    </w:p>
    <w:tbl>
      <w:tblPr>
        <w:tblStyle w:val="TableGrid"/>
        <w:tblW w:w="0" w:type="auto"/>
        <w:jc w:val="center"/>
        <w:tblLayout w:type="fixed"/>
        <w:tblLook w:val="04A0" w:firstRow="1" w:lastRow="0" w:firstColumn="1" w:lastColumn="0" w:noHBand="0" w:noVBand="1"/>
      </w:tblPr>
      <w:tblGrid>
        <w:gridCol w:w="1260"/>
        <w:gridCol w:w="1260"/>
        <w:gridCol w:w="1260"/>
        <w:gridCol w:w="1260"/>
        <w:gridCol w:w="1260"/>
        <w:gridCol w:w="1260"/>
        <w:gridCol w:w="1260"/>
        <w:gridCol w:w="1260"/>
      </w:tblGrid>
      <w:tr>
        <w:trPr>
          <w:tblHeader w:val="true"/>
        </w:trPr>
        <w:tc>
          <w:tcPr>
            <w:tcW w:w="835" w:type="dxa"/>
            <w:shd w:fill="17365D"/>
            <w:vAlign w:val="center"/>
            <w:tcMar>
              <w:top w:w="110" w:type="dxa"/>
              <w:start w:w="120" w:type="dxa"/>
              <w:bottom w:w="110" w:type="dxa"/>
              <w:end w:w="120" w:type="dxa"/>
            </w:tcMar>
          </w:tcPr>
          <w:p>
            <w:pPr>
              <w:jc w:val="center"/>
            </w:pPr>
            <w:r/>
            <w:r>
              <w:rPr>
                <w:rFonts w:ascii="Aptos" w:hAnsi="Aptos"/>
                <w:b/>
                <w:color w:val="FFFFFF"/>
                <w:sz w:val="13"/>
              </w:rPr>
              <w:t>HOME</w:t>
            </w:r>
          </w:p>
        </w:tc>
        <w:tc>
          <w:tcPr>
            <w:tcW w:w="1325" w:type="dxa"/>
            <w:shd w:fill="17365D"/>
            <w:vAlign w:val="center"/>
            <w:tcMar>
              <w:top w:w="110" w:type="dxa"/>
              <w:start w:w="120" w:type="dxa"/>
              <w:bottom w:w="110" w:type="dxa"/>
              <w:end w:w="120" w:type="dxa"/>
            </w:tcMar>
          </w:tcPr>
          <w:p>
            <w:pPr>
              <w:jc w:val="center"/>
            </w:pPr>
            <w:r/>
            <w:r>
              <w:rPr>
                <w:rFonts w:ascii="Aptos" w:hAnsi="Aptos"/>
                <w:b/>
                <w:color w:val="FFFFFF"/>
                <w:sz w:val="13"/>
              </w:rPr>
              <w:t>ROOF PROBLEMS</w:t>
            </w:r>
          </w:p>
        </w:tc>
        <w:tc>
          <w:tcPr>
            <w:tcW w:w="1440" w:type="dxa"/>
            <w:shd w:fill="17365D"/>
            <w:vAlign w:val="center"/>
            <w:tcMar>
              <w:top w:w="110" w:type="dxa"/>
              <w:start w:w="120" w:type="dxa"/>
              <w:bottom w:w="110" w:type="dxa"/>
              <w:end w:w="120" w:type="dxa"/>
            </w:tcMar>
          </w:tcPr>
          <w:p>
            <w:pPr>
              <w:jc w:val="center"/>
            </w:pPr>
            <w:r/>
            <w:r>
              <w:rPr>
                <w:rFonts w:ascii="Aptos" w:hAnsi="Aptos"/>
                <w:b/>
                <w:color w:val="FFFFFF"/>
                <w:sz w:val="13"/>
              </w:rPr>
              <w:t>REPAIR SERVICES</w:t>
            </w:r>
          </w:p>
        </w:tc>
        <w:tc>
          <w:tcPr>
            <w:tcW w:w="1037" w:type="dxa"/>
            <w:shd w:fill="17365D"/>
            <w:vAlign w:val="center"/>
            <w:tcMar>
              <w:top w:w="110" w:type="dxa"/>
              <w:start w:w="120" w:type="dxa"/>
              <w:bottom w:w="110" w:type="dxa"/>
              <w:end w:w="120" w:type="dxa"/>
            </w:tcMar>
          </w:tcPr>
          <w:p>
            <w:pPr>
              <w:jc w:val="center"/>
            </w:pPr>
            <w:r/>
            <w:r>
              <w:rPr>
                <w:rFonts w:ascii="Aptos" w:hAnsi="Aptos"/>
                <w:b/>
                <w:color w:val="FFFFFF"/>
                <w:sz w:val="13"/>
              </w:rPr>
              <w:t>NEW ROOFS</w:t>
            </w:r>
          </w:p>
        </w:tc>
        <w:tc>
          <w:tcPr>
            <w:tcW w:w="792" w:type="dxa"/>
            <w:shd w:fill="17365D"/>
            <w:vAlign w:val="center"/>
            <w:tcMar>
              <w:top w:w="110" w:type="dxa"/>
              <w:start w:w="120" w:type="dxa"/>
              <w:bottom w:w="110" w:type="dxa"/>
              <w:end w:w="120" w:type="dxa"/>
            </w:tcMar>
          </w:tcPr>
          <w:p>
            <w:pPr>
              <w:jc w:val="center"/>
            </w:pPr>
            <w:r/>
            <w:r>
              <w:rPr>
                <w:rFonts w:ascii="Aptos" w:hAnsi="Aptos"/>
                <w:b/>
                <w:color w:val="FFFFFF"/>
                <w:sz w:val="13"/>
              </w:rPr>
              <w:t>AREAS</w:t>
            </w:r>
          </w:p>
        </w:tc>
        <w:tc>
          <w:tcPr>
            <w:tcW w:w="979" w:type="dxa"/>
            <w:shd w:fill="17365D"/>
            <w:vAlign w:val="center"/>
            <w:tcMar>
              <w:top w:w="110" w:type="dxa"/>
              <w:start w:w="120" w:type="dxa"/>
              <w:bottom w:w="110" w:type="dxa"/>
              <w:end w:w="120" w:type="dxa"/>
            </w:tcMar>
          </w:tcPr>
          <w:p>
            <w:pPr>
              <w:jc w:val="center"/>
            </w:pPr>
            <w:r/>
            <w:r>
              <w:rPr>
                <w:rFonts w:ascii="Aptos" w:hAnsi="Aptos"/>
                <w:b/>
                <w:color w:val="FFFFFF"/>
                <w:sz w:val="13"/>
              </w:rPr>
              <w:t>PROJECTS</w:t>
            </w:r>
          </w:p>
        </w:tc>
        <w:tc>
          <w:tcPr>
            <w:tcW w:w="792" w:type="dxa"/>
            <w:shd w:fill="17365D"/>
            <w:vAlign w:val="center"/>
            <w:tcMar>
              <w:top w:w="110" w:type="dxa"/>
              <w:start w:w="120" w:type="dxa"/>
              <w:bottom w:w="110" w:type="dxa"/>
              <w:end w:w="120" w:type="dxa"/>
            </w:tcMar>
          </w:tcPr>
          <w:p>
            <w:pPr>
              <w:jc w:val="center"/>
            </w:pPr>
            <w:r/>
            <w:r>
              <w:rPr>
                <w:rFonts w:ascii="Aptos" w:hAnsi="Aptos"/>
                <w:b/>
                <w:color w:val="FFFFFF"/>
                <w:sz w:val="13"/>
              </w:rPr>
              <w:t>ABOUT</w:t>
            </w:r>
          </w:p>
        </w:tc>
        <w:tc>
          <w:tcPr>
            <w:tcW w:w="1181" w:type="dxa"/>
            <w:shd w:fill="17365D"/>
            <w:vAlign w:val="center"/>
            <w:tcMar>
              <w:top w:w="110" w:type="dxa"/>
              <w:start w:w="120" w:type="dxa"/>
              <w:bottom w:w="110" w:type="dxa"/>
              <w:end w:w="120" w:type="dxa"/>
            </w:tcMar>
          </w:tcPr>
          <w:p>
            <w:pPr>
              <w:jc w:val="center"/>
            </w:pPr>
            <w:r/>
            <w:r>
              <w:rPr>
                <w:rFonts w:ascii="Aptos" w:hAnsi="Aptos"/>
                <w:b/>
                <w:color w:val="FFFFFF"/>
                <w:sz w:val="13"/>
              </w:rPr>
              <w:t>GET A QUOTE</w:t>
            </w:r>
          </w:p>
        </w:tc>
      </w:tr>
      <w:tr>
        <w:tc>
          <w:tcPr>
            <w:tcW w:w="835" w:type="dxa"/>
            <w:vAlign w:val="center"/>
            <w:tcMar>
              <w:top w:w="110" w:type="dxa"/>
              <w:start w:w="120" w:type="dxa"/>
              <w:bottom w:w="110" w:type="dxa"/>
              <w:end w:w="120" w:type="dxa"/>
            </w:tcMar>
            <w:shd w:fill="EAF1F7"/>
          </w:tcPr>
          <w:p>
            <w:pPr>
              <w:jc w:val="center"/>
            </w:pPr>
            <w:r/>
            <w:r>
              <w:rPr>
                <w:rFonts w:ascii="Aptos" w:hAnsi="Aptos"/>
                <w:b/>
                <w:color w:val="148A8A"/>
                <w:sz w:val="22"/>
              </w:rPr>
              <w:t>↓</w:t>
            </w:r>
          </w:p>
        </w:tc>
        <w:tc>
          <w:tcPr>
            <w:tcW w:w="1325" w:type="dxa"/>
            <w:vAlign w:val="center"/>
            <w:tcMar>
              <w:top w:w="110" w:type="dxa"/>
              <w:start w:w="120" w:type="dxa"/>
              <w:bottom w:w="110" w:type="dxa"/>
              <w:end w:w="120" w:type="dxa"/>
            </w:tcMar>
            <w:shd w:fill="EAF1F7"/>
          </w:tcPr>
          <w:p>
            <w:pPr>
              <w:jc w:val="center"/>
            </w:pPr>
            <w:r/>
            <w:r>
              <w:rPr>
                <w:rFonts w:ascii="Aptos" w:hAnsi="Aptos"/>
                <w:b/>
                <w:color w:val="148A8A"/>
                <w:sz w:val="22"/>
              </w:rPr>
              <w:t>↓</w:t>
            </w:r>
          </w:p>
        </w:tc>
        <w:tc>
          <w:tcPr>
            <w:tcW w:w="1440" w:type="dxa"/>
            <w:vAlign w:val="center"/>
            <w:tcMar>
              <w:top w:w="110" w:type="dxa"/>
              <w:start w:w="120" w:type="dxa"/>
              <w:bottom w:w="110" w:type="dxa"/>
              <w:end w:w="120" w:type="dxa"/>
            </w:tcMar>
            <w:shd w:fill="EAF1F7"/>
          </w:tcPr>
          <w:p>
            <w:pPr>
              <w:jc w:val="center"/>
            </w:pPr>
            <w:r/>
            <w:r>
              <w:rPr>
                <w:rFonts w:ascii="Aptos" w:hAnsi="Aptos"/>
                <w:b/>
                <w:color w:val="148A8A"/>
                <w:sz w:val="22"/>
              </w:rPr>
              <w:t>↓</w:t>
            </w:r>
          </w:p>
        </w:tc>
        <w:tc>
          <w:tcPr>
            <w:tcW w:w="1037" w:type="dxa"/>
            <w:vAlign w:val="center"/>
            <w:tcMar>
              <w:top w:w="110" w:type="dxa"/>
              <w:start w:w="120" w:type="dxa"/>
              <w:bottom w:w="110" w:type="dxa"/>
              <w:end w:w="120" w:type="dxa"/>
            </w:tcMar>
            <w:shd w:fill="EAF1F7"/>
          </w:tcPr>
          <w:p>
            <w:pPr>
              <w:jc w:val="center"/>
            </w:pPr>
            <w:r/>
            <w:r>
              <w:rPr>
                <w:rFonts w:ascii="Aptos" w:hAnsi="Aptos"/>
                <w:b/>
                <w:color w:val="148A8A"/>
                <w:sz w:val="22"/>
              </w:rPr>
              <w:t>↓</w:t>
            </w:r>
          </w:p>
        </w:tc>
        <w:tc>
          <w:tcPr>
            <w:tcW w:w="792" w:type="dxa"/>
            <w:vAlign w:val="center"/>
            <w:tcMar>
              <w:top w:w="110" w:type="dxa"/>
              <w:start w:w="120" w:type="dxa"/>
              <w:bottom w:w="110" w:type="dxa"/>
              <w:end w:w="120" w:type="dxa"/>
            </w:tcMar>
            <w:shd w:fill="EAF1F7"/>
          </w:tcPr>
          <w:p>
            <w:pPr>
              <w:jc w:val="center"/>
            </w:pPr>
            <w:r/>
            <w:r>
              <w:rPr>
                <w:rFonts w:ascii="Aptos" w:hAnsi="Aptos"/>
                <w:b/>
                <w:color w:val="148A8A"/>
                <w:sz w:val="22"/>
              </w:rPr>
              <w:t>↓</w:t>
            </w:r>
          </w:p>
        </w:tc>
        <w:tc>
          <w:tcPr>
            <w:tcW w:w="979" w:type="dxa"/>
            <w:vAlign w:val="center"/>
            <w:tcMar>
              <w:top w:w="110" w:type="dxa"/>
              <w:start w:w="120" w:type="dxa"/>
              <w:bottom w:w="110" w:type="dxa"/>
              <w:end w:w="120" w:type="dxa"/>
            </w:tcMar>
            <w:shd w:fill="EAF1F7"/>
          </w:tcPr>
          <w:p>
            <w:pPr>
              <w:jc w:val="center"/>
            </w:pPr>
            <w:r/>
            <w:r>
              <w:rPr>
                <w:rFonts w:ascii="Aptos" w:hAnsi="Aptos"/>
                <w:b/>
                <w:color w:val="148A8A"/>
                <w:sz w:val="22"/>
              </w:rPr>
              <w:t>↓</w:t>
            </w:r>
          </w:p>
        </w:tc>
        <w:tc>
          <w:tcPr>
            <w:tcW w:w="792" w:type="dxa"/>
            <w:vAlign w:val="center"/>
            <w:tcMar>
              <w:top w:w="110" w:type="dxa"/>
              <w:start w:w="120" w:type="dxa"/>
              <w:bottom w:w="110" w:type="dxa"/>
              <w:end w:w="120" w:type="dxa"/>
            </w:tcMar>
            <w:shd w:fill="EAF1F7"/>
          </w:tcPr>
          <w:p>
            <w:pPr>
              <w:jc w:val="center"/>
            </w:pPr>
            <w:r/>
            <w:r>
              <w:rPr>
                <w:rFonts w:ascii="Aptos" w:hAnsi="Aptos"/>
                <w:b/>
                <w:color w:val="148A8A"/>
                <w:sz w:val="22"/>
              </w:rPr>
              <w:t>↓</w:t>
            </w:r>
          </w:p>
        </w:tc>
        <w:tc>
          <w:tcPr>
            <w:tcW w:w="1181" w:type="dxa"/>
            <w:vAlign w:val="center"/>
            <w:tcMar>
              <w:top w:w="110" w:type="dxa"/>
              <w:start w:w="120" w:type="dxa"/>
              <w:bottom w:w="110" w:type="dxa"/>
              <w:end w:w="120" w:type="dxa"/>
            </w:tcMar>
            <w:shd w:fill="EAF1F7"/>
          </w:tcPr>
          <w:p>
            <w:pPr>
              <w:jc w:val="center"/>
            </w:pPr>
            <w:r/>
            <w:r>
              <w:rPr>
                <w:rFonts w:ascii="Aptos" w:hAnsi="Aptos"/>
                <w:b/>
                <w:color w:val="148A8A"/>
                <w:sz w:val="22"/>
              </w:rPr>
              <w:t>↓</w:t>
            </w:r>
          </w:p>
        </w:tc>
      </w:tr>
    </w:tbl>
    <w:p>
      <w:pPr>
        <w:spacing w:after="20"/>
      </w:pPr>
    </w:p>
    <w:tbl>
      <w:tblPr>
        <w:tblStyle w:val="TableGrid"/>
        <w:tblW w:w="0" w:type="auto"/>
        <w:jc w:val="center"/>
        <w:tblLayout w:type="fixed"/>
        <w:tblLook w:val="04A0" w:firstRow="1" w:lastRow="0" w:firstColumn="1" w:lastColumn="0" w:noHBand="0" w:noVBand="1"/>
      </w:tblPr>
      <w:tblGrid>
        <w:gridCol w:w="3360"/>
        <w:gridCol w:w="3360"/>
        <w:gridCol w:w="3360"/>
      </w:tblGrid>
      <w:tr>
        <w:tc>
          <w:tcPr>
            <w:tcW w:w="3096" w:type="dxa"/>
            <w:shd w:fill="D97706"/>
            <w:vAlign w:val="center"/>
            <w:tcMar>
              <w:top w:w="110" w:type="dxa"/>
              <w:start w:w="120" w:type="dxa"/>
              <w:bottom w:w="110" w:type="dxa"/>
              <w:end w:w="120" w:type="dxa"/>
            </w:tcMar>
          </w:tcPr>
          <w:p>
            <w:pPr>
              <w:jc w:val="center"/>
            </w:pPr>
            <w:r/>
            <w:r>
              <w:rPr>
                <w:rFonts w:ascii="Aptos" w:hAnsi="Aptos"/>
                <w:b/>
                <w:color w:val="FFFFFF"/>
                <w:sz w:val="16"/>
              </w:rPr>
              <w:t>CUSTOMER-RECOGNISED PROBLEMS</w:t>
            </w:r>
          </w:p>
        </w:tc>
        <w:tc>
          <w:tcPr>
            <w:tcW w:w="3096" w:type="dxa"/>
            <w:shd w:fill="1F4E78"/>
            <w:vAlign w:val="center"/>
            <w:tcMar>
              <w:top w:w="110" w:type="dxa"/>
              <w:start w:w="120" w:type="dxa"/>
              <w:bottom w:w="110" w:type="dxa"/>
              <w:end w:w="120" w:type="dxa"/>
            </w:tcMar>
          </w:tcPr>
          <w:p>
            <w:pPr>
              <w:jc w:val="center"/>
            </w:pPr>
            <w:r/>
            <w:r>
              <w:rPr>
                <w:rFonts w:ascii="Aptos" w:hAnsi="Aptos"/>
                <w:b/>
                <w:color w:val="FFFFFF"/>
                <w:sz w:val="16"/>
              </w:rPr>
              <w:t>MATCHING REPAIR SERVICES</w:t>
            </w:r>
          </w:p>
        </w:tc>
        <w:tc>
          <w:tcPr>
            <w:tcW w:w="3096" w:type="dxa"/>
            <w:shd w:fill="2E7D32"/>
            <w:vAlign w:val="center"/>
            <w:tcMar>
              <w:top w:w="110" w:type="dxa"/>
              <w:start w:w="120" w:type="dxa"/>
              <w:bottom w:w="110" w:type="dxa"/>
              <w:end w:w="120" w:type="dxa"/>
            </w:tcMar>
          </w:tcPr>
          <w:p>
            <w:pPr>
              <w:jc w:val="center"/>
            </w:pPr>
            <w:r/>
            <w:r>
              <w:rPr>
                <w:rFonts w:ascii="Aptos" w:hAnsi="Aptos"/>
                <w:b/>
                <w:color w:val="FFFFFF"/>
                <w:sz w:val="16"/>
              </w:rPr>
              <w:t>EVIDENCE &amp; CONVERSION</w:t>
            </w:r>
          </w:p>
        </w:tc>
      </w:tr>
      <w:tr>
        <w:tc>
          <w:tcPr>
            <w:tcW w:w="3360" w:type="dxa"/>
            <w:vAlign w:val="center"/>
            <w:tcMar>
              <w:top w:w="110" w:type="dxa"/>
              <w:start w:w="120" w:type="dxa"/>
              <w:bottom w:w="110" w:type="dxa"/>
              <w:end w:w="120" w:type="dxa"/>
            </w:tcMar>
            <w:shd w:fill="FFF4E5"/>
          </w:tcPr>
          <w:p>
            <w:r/>
            <w:r>
              <w:rPr>
                <w:rFonts w:ascii="Aptos" w:hAnsi="Aptos"/>
                <w:b w:val="0"/>
                <w:color w:val="111827"/>
                <w:sz w:val="17"/>
              </w:rPr>
              <w:t>Leaking roof</w:t>
              <w:br/>
              <w:t>Broken or missing tiles</w:t>
              <w:br/>
              <w:t>Storm damage</w:t>
              <w:br/>
              <w:t>Damp / stains</w:t>
              <w:br/>
              <w:t>Flat-roof problems</w:t>
              <w:br/>
              <w:t>Chimney / flashing</w:t>
              <w:br/>
              <w:t>Gutters</w:t>
            </w:r>
          </w:p>
        </w:tc>
        <w:tc>
          <w:tcPr>
            <w:tcW w:w="3360" w:type="dxa"/>
            <w:vAlign w:val="center"/>
            <w:tcMar>
              <w:top w:w="110" w:type="dxa"/>
              <w:start w:w="120" w:type="dxa"/>
              <w:bottom w:w="110" w:type="dxa"/>
              <w:end w:w="120" w:type="dxa"/>
            </w:tcMar>
            <w:shd w:fill="EAF1F7"/>
          </w:tcPr>
          <w:p>
            <w:r/>
            <w:r>
              <w:rPr>
                <w:rFonts w:ascii="Aptos" w:hAnsi="Aptos"/>
                <w:b w:val="0"/>
                <w:color w:val="111827"/>
                <w:sz w:val="17"/>
              </w:rPr>
              <w:t>Leak repairs</w:t>
              <w:br/>
              <w:t>Tile and slate repairs</w:t>
              <w:br/>
              <w:t>Ridge / verge / valley</w:t>
              <w:br/>
              <w:t>Chimney and leadwork</w:t>
              <w:br/>
              <w:t>Flat-roof repairs</w:t>
              <w:br/>
              <w:t>Guttering / fascias</w:t>
              <w:br/>
              <w:t>Roof inspections</w:t>
            </w:r>
          </w:p>
        </w:tc>
        <w:tc>
          <w:tcPr>
            <w:tcW w:w="3360" w:type="dxa"/>
            <w:vAlign w:val="center"/>
            <w:tcMar>
              <w:top w:w="110" w:type="dxa"/>
              <w:start w:w="120" w:type="dxa"/>
              <w:bottom w:w="110" w:type="dxa"/>
              <w:end w:w="120" w:type="dxa"/>
            </w:tcMar>
            <w:shd w:fill="EAF6EA"/>
          </w:tcPr>
          <w:p>
            <w:r/>
            <w:r>
              <w:rPr>
                <w:rFonts w:ascii="Aptos" w:hAnsi="Aptos"/>
                <w:b w:val="0"/>
                <w:color w:val="111827"/>
                <w:sz w:val="17"/>
              </w:rPr>
              <w:t>Brighton &amp; Hove evidence</w:t>
              <w:br/>
              <w:t>East Sussex projects</w:t>
              <w:br/>
              <w:t>Verified reviews</w:t>
              <w:br/>
              <w:t>Clear process</w:t>
              <w:br/>
              <w:t>Call</w:t>
              <w:br/>
              <w:t>Get a Quote</w:t>
            </w:r>
          </w:p>
        </w:tc>
      </w:tr>
    </w:tbl>
    <w:p>
      <w:r>
        <w:t>Figure 1. East Sussex Roofing Website Information Architecture. Customer problems and repair services converge on local evidence and a quote path.</w:t>
      </w:r>
    </w:p>
    <w:p>
      <w:r>
        <w:t>Avoid creating a separate page for every problem × roof type × town combination. Build fewer, stronger pages and add genuine local examples.</w:t>
      </w:r>
    </w:p>
    <w:p>
      <w:pPr>
        <w:pStyle w:val="Heading1"/>
      </w:pPr>
      <w:r>
        <w:t>6. Homepage and navigation recommendations</w:t>
      </w:r>
    </w:p>
    <w:p>
      <w:pPr>
        <w:pStyle w:val="ListNumber"/>
      </w:pPr>
      <w:r>
        <w:t>Hero: “Roof Repairs in Brighton &amp; Hove”, one supporting sentence, Call and Get a Quote.</w:t>
      </w:r>
    </w:p>
    <w:p>
      <w:pPr>
        <w:pStyle w:val="ListNumber"/>
      </w:pPr>
      <w:r>
        <w:t>Common Roof Problems: six or eight clear cards in customer language.</w:t>
      </w:r>
    </w:p>
    <w:p>
      <w:pPr>
        <w:pStyle w:val="ListNumber"/>
      </w:pPr>
      <w:r>
        <w:t>Roofing Services: concise cards linking to specific service pages.</w:t>
      </w:r>
    </w:p>
    <w:p>
      <w:pPr>
        <w:pStyle w:val="ListNumber"/>
      </w:pPr>
      <w:r>
        <w:t>Recent Projects: three or four strong local examples with problem and outcome.</w:t>
      </w:r>
    </w:p>
    <w:p>
      <w:pPr>
        <w:pStyle w:val="ListNumber"/>
      </w:pPr>
      <w:r>
        <w:t>Why East Sussex Roofing: verified facts only.</w:t>
      </w:r>
    </w:p>
    <w:p>
      <w:pPr>
        <w:pStyle w:val="ListNumber"/>
      </w:pPr>
      <w:r>
        <w:t>Customer Feedback: attributable, permitted reviews.</w:t>
      </w:r>
    </w:p>
    <w:p>
      <w:pPr>
        <w:pStyle w:val="ListNumber"/>
      </w:pPr>
      <w:r>
        <w:t>Areas Covered: Brighton &amp; Hove first, then genuine East Sussex coverage.</w:t>
      </w:r>
    </w:p>
    <w:p>
      <w:pPr>
        <w:pStyle w:val="ListNumber"/>
      </w:pPr>
      <w:r>
        <w:t>Quote: simple form with visible privacy information.</w:t>
      </w:r>
    </w:p>
    <w:p>
      <w:r>
        <w:t>Replace vague link labels such as “Know More” with descriptive actions: “View roof leak repairs”, “See flat-roof projects” or “Request a roof inspection”.</w:t>
      </w:r>
    </w:p>
    <w:p>
      <w:pPr>
        <w:pStyle w:val="Heading1"/>
      </w:pPr>
      <w:r>
        <w:t>7. Gallery and project evidence</w:t>
      </w:r>
    </w:p>
    <w:p>
      <w:r>
        <w:t>The lab evidence observed 36 images at every tested viewport and verified gallery overflow at 320, 768 and 1440 px. It did not reliably classify the current column count or lightbox behaviour. The redesign should therefore begin with measurement, not an arbitrary fixed grid.</w:t>
      </w:r>
    </w:p>
    <w:tbl>
      <w:tblPr>
        <w:tblStyle w:val="TableGrid"/>
        <w:tblW w:w="0" w:type="auto"/>
        <w:jc w:val="center"/>
        <w:tblLayout w:type="fixed"/>
        <w:tblLook w:val="04A0" w:firstRow="1" w:lastRow="0" w:firstColumn="1" w:lastColumn="0" w:noHBand="0" w:noVBand="1"/>
      </w:tblPr>
      <w:tblGrid>
        <w:gridCol w:w="5040"/>
        <w:gridCol w:w="5040"/>
      </w:tblGrid>
      <w:tr>
        <w:trPr>
          <w:tblHeader w:val="true"/>
        </w:trPr>
        <w:tc>
          <w:tcPr>
            <w:tcW w:w="3600" w:type="dxa"/>
            <w:shd w:fill="17365D"/>
            <w:vAlign w:val="center"/>
            <w:tcMar>
              <w:top w:w="110" w:type="dxa"/>
              <w:start w:w="120" w:type="dxa"/>
              <w:bottom w:w="110" w:type="dxa"/>
              <w:end w:w="120" w:type="dxa"/>
            </w:tcMar>
          </w:tcPr>
          <w:p>
            <w:pPr>
              <w:jc w:val="center"/>
            </w:pPr>
            <w:r/>
            <w:r>
              <w:rPr>
                <w:rFonts w:ascii="Aptos" w:hAnsi="Aptos"/>
                <w:b/>
                <w:color w:val="FFFFFF"/>
                <w:sz w:val="17"/>
              </w:rPr>
              <w:t>Current opportunity</w:t>
            </w:r>
          </w:p>
        </w:tc>
        <w:tc>
          <w:tcPr>
            <w:tcW w:w="5760" w:type="dxa"/>
            <w:shd w:fill="17365D"/>
            <w:vAlign w:val="center"/>
            <w:tcMar>
              <w:top w:w="110" w:type="dxa"/>
              <w:start w:w="120" w:type="dxa"/>
              <w:bottom w:w="110" w:type="dxa"/>
              <w:end w:w="120" w:type="dxa"/>
            </w:tcMar>
          </w:tcPr>
          <w:p>
            <w:pPr>
              <w:jc w:val="center"/>
            </w:pPr>
            <w:r/>
            <w:r>
              <w:rPr>
                <w:rFonts w:ascii="Aptos" w:hAnsi="Aptos"/>
                <w:b/>
                <w:color w:val="FFFFFF"/>
                <w:sz w:val="17"/>
              </w:rPr>
              <w:t>Recommended management decision</w:t>
            </w:r>
          </w:p>
        </w:tc>
      </w:tr>
      <w:tr>
        <w:tc>
          <w:tcPr>
            <w:tcW w:w="3600" w:type="dxa"/>
            <w:vAlign w:val="center"/>
            <w:tcMar>
              <w:top w:w="110" w:type="dxa"/>
              <w:start w:w="120" w:type="dxa"/>
              <w:bottom w:w="110" w:type="dxa"/>
              <w:end w:w="120" w:type="dxa"/>
            </w:tcMar>
          </w:tcPr>
          <w:p>
            <w:r/>
            <w:r>
              <w:rPr>
                <w:rFonts w:ascii="Aptos" w:hAnsi="Aptos"/>
                <w:b w:val="0"/>
                <w:color w:val="111827"/>
                <w:sz w:val="17"/>
              </w:rPr>
              <w:t>Thumbnails may be too small to show repair detail</w:t>
            </w:r>
          </w:p>
        </w:tc>
        <w:tc>
          <w:tcPr>
            <w:tcW w:w="5760" w:type="dxa"/>
            <w:vAlign w:val="center"/>
            <w:tcMar>
              <w:top w:w="110" w:type="dxa"/>
              <w:start w:w="120" w:type="dxa"/>
              <w:bottom w:w="110" w:type="dxa"/>
              <w:end w:w="120" w:type="dxa"/>
            </w:tcMar>
          </w:tcPr>
          <w:p>
            <w:r/>
            <w:r>
              <w:rPr>
                <w:rFonts w:ascii="Aptos" w:hAnsi="Aptos"/>
                <w:b w:val="0"/>
                <w:color w:val="111827"/>
                <w:sz w:val="17"/>
              </w:rPr>
              <w:t>Use larger, measured responsive cards; choose exact columns after checking desktop grid and download weight.</w:t>
            </w:r>
          </w:p>
        </w:tc>
      </w:tr>
      <w:tr>
        <w:tc>
          <w:tcPr>
            <w:tcW w:w="3600" w:type="dxa"/>
            <w:shd w:fill="F4F7FA"/>
            <w:vAlign w:val="center"/>
            <w:tcMar>
              <w:top w:w="110" w:type="dxa"/>
              <w:start w:w="120" w:type="dxa"/>
              <w:bottom w:w="110" w:type="dxa"/>
              <w:end w:w="120" w:type="dxa"/>
            </w:tcMar>
          </w:tcPr>
          <w:p>
            <w:r/>
            <w:r>
              <w:rPr>
                <w:rFonts w:ascii="Aptos" w:hAnsi="Aptos"/>
                <w:b w:val="0"/>
                <w:color w:val="111827"/>
                <w:sz w:val="17"/>
              </w:rPr>
              <w:t>Image wall lacks explanation</w:t>
            </w:r>
          </w:p>
        </w:tc>
        <w:tc>
          <w:tcPr>
            <w:tcW w:w="5760" w:type="dxa"/>
            <w:shd w:fill="F4F7FA"/>
            <w:vAlign w:val="center"/>
            <w:tcMar>
              <w:top w:w="110" w:type="dxa"/>
              <w:start w:w="120" w:type="dxa"/>
              <w:bottom w:w="110" w:type="dxa"/>
              <w:end w:w="120" w:type="dxa"/>
            </w:tcMar>
          </w:tcPr>
          <w:p>
            <w:r/>
            <w:r>
              <w:rPr>
                <w:rFonts w:ascii="Aptos" w:hAnsi="Aptos"/>
                <w:b w:val="0"/>
                <w:color w:val="111827"/>
                <w:sz w:val="17"/>
              </w:rPr>
              <w:t>Add location, customer-visible problem, work completed and outcome.</w:t>
            </w:r>
          </w:p>
        </w:tc>
      </w:tr>
      <w:tr>
        <w:tc>
          <w:tcPr>
            <w:tcW w:w="3600" w:type="dxa"/>
            <w:vAlign w:val="center"/>
            <w:tcMar>
              <w:top w:w="110" w:type="dxa"/>
              <w:start w:w="120" w:type="dxa"/>
              <w:bottom w:w="110" w:type="dxa"/>
              <w:end w:w="120" w:type="dxa"/>
            </w:tcMar>
          </w:tcPr>
          <w:p>
            <w:r/>
            <w:r>
              <w:rPr>
                <w:rFonts w:ascii="Aptos" w:hAnsi="Aptos"/>
                <w:b w:val="0"/>
                <w:color w:val="111827"/>
                <w:sz w:val="17"/>
              </w:rPr>
              <w:t>Some photographs are weak/repetitive</w:t>
            </w:r>
          </w:p>
        </w:tc>
        <w:tc>
          <w:tcPr>
            <w:tcW w:w="5760" w:type="dxa"/>
            <w:vAlign w:val="center"/>
            <w:tcMar>
              <w:top w:w="110" w:type="dxa"/>
              <w:start w:w="120" w:type="dxa"/>
              <w:bottom w:w="110" w:type="dxa"/>
              <w:end w:w="120" w:type="dxa"/>
            </w:tcMar>
          </w:tcPr>
          <w:p>
            <w:r/>
            <w:r>
              <w:rPr>
                <w:rFonts w:ascii="Aptos" w:hAnsi="Aptos"/>
                <w:b w:val="0"/>
                <w:color w:val="111827"/>
                <w:sz w:val="17"/>
              </w:rPr>
              <w:t>Curate the strongest 12-20 projects initially.</w:t>
            </w:r>
          </w:p>
        </w:tc>
      </w:tr>
      <w:tr>
        <w:tc>
          <w:tcPr>
            <w:tcW w:w="3600" w:type="dxa"/>
            <w:shd w:fill="F4F7FA"/>
            <w:vAlign w:val="center"/>
            <w:tcMar>
              <w:top w:w="110" w:type="dxa"/>
              <w:start w:w="120" w:type="dxa"/>
              <w:bottom w:w="110" w:type="dxa"/>
              <w:end w:w="120" w:type="dxa"/>
            </w:tcMar>
          </w:tcPr>
          <w:p>
            <w:r/>
            <w:r>
              <w:rPr>
                <w:rFonts w:ascii="Aptos" w:hAnsi="Aptos"/>
                <w:b w:val="0"/>
                <w:color w:val="111827"/>
                <w:sz w:val="17"/>
              </w:rPr>
              <w:t>Performance matters</w:t>
            </w:r>
          </w:p>
        </w:tc>
        <w:tc>
          <w:tcPr>
            <w:tcW w:w="5760" w:type="dxa"/>
            <w:shd w:fill="F4F7FA"/>
            <w:vAlign w:val="center"/>
            <w:tcMar>
              <w:top w:w="110" w:type="dxa"/>
              <w:start w:w="120" w:type="dxa"/>
              <w:bottom w:w="110" w:type="dxa"/>
              <w:end w:w="120" w:type="dxa"/>
            </w:tcMar>
          </w:tcPr>
          <w:p>
            <w:r/>
            <w:r>
              <w:rPr>
                <w:rFonts w:ascii="Aptos" w:hAnsi="Aptos"/>
                <w:b w:val="0"/>
                <w:color w:val="111827"/>
                <w:sz w:val="17"/>
              </w:rPr>
              <w:t>Use WordPress responsive variants and load an image close to its displayed size; do not load every full original.</w:t>
            </w:r>
          </w:p>
        </w:tc>
      </w:tr>
      <w:tr>
        <w:tc>
          <w:tcPr>
            <w:tcW w:w="3600" w:type="dxa"/>
            <w:vAlign w:val="center"/>
            <w:tcMar>
              <w:top w:w="110" w:type="dxa"/>
              <w:start w:w="120" w:type="dxa"/>
              <w:bottom w:w="110" w:type="dxa"/>
              <w:end w:w="120" w:type="dxa"/>
            </w:tcMar>
          </w:tcPr>
          <w:p>
            <w:r/>
            <w:r>
              <w:rPr>
                <w:rFonts w:ascii="Aptos" w:hAnsi="Aptos"/>
                <w:b w:val="0"/>
                <w:color w:val="111827"/>
                <w:sz w:val="17"/>
              </w:rPr>
              <w:t>Carousel works reasonably well</w:t>
            </w:r>
          </w:p>
        </w:tc>
        <w:tc>
          <w:tcPr>
            <w:tcW w:w="5760" w:type="dxa"/>
            <w:vAlign w:val="center"/>
            <w:tcMar>
              <w:top w:w="110" w:type="dxa"/>
              <w:start w:w="120" w:type="dxa"/>
              <w:bottom w:w="110" w:type="dxa"/>
              <w:end w:w="120" w:type="dxa"/>
            </w:tcMar>
          </w:tcPr>
          <w:p>
            <w:r/>
            <w:r>
              <w:rPr>
                <w:rFonts w:ascii="Aptos" w:hAnsi="Aptos"/>
                <w:b w:val="0"/>
                <w:color w:val="111827"/>
                <w:sz w:val="17"/>
              </w:rPr>
              <w:t>Retain as detail viewer, but keep a useful grid and accessible controls.</w:t>
            </w:r>
          </w:p>
        </w:tc>
      </w:tr>
    </w:tbl>
    <w:p>
      <w:pPr>
        <w:spacing w:after="20"/>
      </w:pPr>
    </w:p>
    <w:p>
      <w:pPr>
        <w:pStyle w:val="Heading2"/>
      </w:pPr>
      <w:r>
        <w:t>7.1 Recommended project card</w:t>
      </w:r>
    </w:p>
    <w:tbl>
      <w:tblPr>
        <w:tblW w:w="0" w:type="auto"/>
        <w:jc w:val="center"/>
        <w:tblLayout w:type="fixed"/>
        <w:tblLook w:val="04A0" w:firstRow="1" w:lastRow="0" w:firstColumn="1" w:lastColumn="0" w:noHBand="0" w:noVBand="1"/>
      </w:tblPr>
      <w:tblGrid>
        <w:gridCol w:w="259"/>
        <w:gridCol w:w="9144"/>
      </w:tblGrid>
      <w:tr>
        <w:tc>
          <w:tcPr>
            <w:tcW w:w="5040" w:type="dxa"/>
            <w:shd w:fill="2E7D32"/>
            <w:vAlign w:val="center"/>
            <w:tcMar>
              <w:top w:w="110" w:type="dxa"/>
              <w:start w:w="120" w:type="dxa"/>
              <w:bottom w:w="110" w:type="dxa"/>
              <w:end w:w="120" w:type="dxa"/>
            </w:tcMar>
          </w:tcPr>
          <w:p>
            <w:r/>
            <w:r>
              <w:rPr>
                <w:rFonts w:ascii="Aptos" w:hAnsi="Aptos"/>
                <w:b w:val="0"/>
                <w:color w:val="FFFFFF"/>
                <w:sz w:val="2"/>
              </w:rPr>
            </w:r>
          </w:p>
        </w:tc>
        <w:tc>
          <w:tcPr>
            <w:tcW w:w="5040" w:type="dxa"/>
            <w:shd w:fill="F4F7FA"/>
            <w:vAlign w:val="center"/>
            <w:tcMar>
              <w:top w:w="110" w:type="dxa"/>
              <w:start w:w="120" w:type="dxa"/>
              <w:bottom w:w="110" w:type="dxa"/>
              <w:end w:w="120" w:type="dxa"/>
            </w:tcMar>
          </w:tcPr>
          <w:p>
            <w:r/>
            <w:r>
              <w:rPr>
                <w:rFonts w:ascii="Aptos" w:hAnsi="Aptos"/>
                <w:b w:val="0"/>
                <w:color w:val="17365D"/>
                <w:sz w:val="20"/>
              </w:rPr>
              <w:t>Hove - leaking tiled roof</w:t>
              <w:br/>
              <w:t>Water ingress traced to failed detailing around the chimney. Repair summary and before/after images should be added only where factually accurate and approved.</w:t>
            </w:r>
          </w:p>
        </w:tc>
      </w:tr>
    </w:tbl>
    <w:p>
      <w:pPr>
        <w:spacing w:after="20"/>
      </w:pPr>
    </w:p>
    <w:p>
      <w:pPr>
        <w:pStyle w:val="Heading1"/>
      </w:pPr>
      <w:r>
        <w:t>8. Mobile experience</w:t>
      </w:r>
    </w:p>
    <w:tbl>
      <w:tblPr>
        <w:tblW w:w="0" w:type="auto"/>
        <w:jc w:val="center"/>
        <w:tblLayout w:type="fixed"/>
        <w:tblLook w:val="04A0" w:firstRow="1" w:lastRow="0" w:firstColumn="1" w:lastColumn="0" w:noHBand="0" w:noVBand="1"/>
      </w:tblPr>
      <w:tblGrid>
        <w:gridCol w:w="259"/>
        <w:gridCol w:w="9144"/>
      </w:tblGrid>
      <w:tr>
        <w:tc>
          <w:tcPr>
            <w:tcW w:w="5040" w:type="dxa"/>
            <w:shd w:fill="B91C1C"/>
            <w:vAlign w:val="center"/>
            <w:tcMar>
              <w:top w:w="110" w:type="dxa"/>
              <w:start w:w="120" w:type="dxa"/>
              <w:bottom w:w="110" w:type="dxa"/>
              <w:end w:w="120" w:type="dxa"/>
            </w:tcMar>
          </w:tcPr>
          <w:p>
            <w:r/>
            <w:r>
              <w:rPr>
                <w:rFonts w:ascii="Aptos" w:hAnsi="Aptos"/>
                <w:b w:val="0"/>
                <w:color w:val="FFFFFF"/>
                <w:sz w:val="2"/>
              </w:rPr>
            </w:r>
          </w:p>
        </w:tc>
        <w:tc>
          <w:tcPr>
            <w:tcW w:w="5040" w:type="dxa"/>
            <w:shd w:fill="F4F7FA"/>
            <w:vAlign w:val="center"/>
            <w:tcMar>
              <w:top w:w="110" w:type="dxa"/>
              <w:start w:w="120" w:type="dxa"/>
              <w:bottom w:w="110" w:type="dxa"/>
              <w:end w:w="120" w:type="dxa"/>
            </w:tcMar>
          </w:tcPr>
          <w:p>
            <w:r/>
            <w:r>
              <w:rPr>
                <w:rFonts w:ascii="Aptos" w:hAnsi="Aptos"/>
                <w:b w:val="0"/>
                <w:color w:val="17365D"/>
                <w:sz w:val="20"/>
              </w:rPr>
              <w:t>Verified narrow-mobile issue</w:t>
              <w:br/>
              <w:t>At 320 px, homepage, roof repair, gallery and contact all exceeded the viewport width. No horizontal overflow was reported at 390 or 430 px.</w:t>
            </w:r>
          </w:p>
        </w:tc>
      </w:tr>
    </w:tbl>
    <w:p>
      <w:pPr>
        <w:spacing w:after="20"/>
      </w:pPr>
    </w:p>
    <w:p>
      <w:r>
        <w:t>The header occupied approximately 189-196 px at 320 px, 207-214 px at 390 px and 218-225 px at 430 px. The growing height suggests wrapping or breakpoint behaviour that should be simplified, especially because a roofing customer may be trying to call quickly.</w:t>
      </w:r>
    </w:p>
    <w:p>
      <w:pPr>
        <w:pStyle w:val="Heading2"/>
      </w:pPr>
      <w:r>
        <w:t>8.1 Recommended mobile header</w:t>
      </w:r>
    </w:p>
    <w:p>
      <w:r>
        <w:t>Logo  |  Call  |  Get a Quote  |  Menu</w:t>
      </w:r>
    </w:p>
    <w:p>
      <w:pPr>
        <w:pStyle w:val="ListBullet"/>
      </w:pPr>
      <w:r>
        <w:t>Move full email, address and secondary number into the menu/footer.</w:t>
      </w:r>
    </w:p>
    <w:p>
      <w:pPr>
        <w:pStyle w:val="ListBullet"/>
      </w:pPr>
      <w:r>
        <w:t>Test 320, 390 and 430 px plus 200% zoom.</w:t>
      </w:r>
    </w:p>
    <w:p>
      <w:pPr>
        <w:pStyle w:val="ListBullet"/>
      </w:pPr>
      <w:r>
        <w:t>Keep quote forms in one column with persistent labels and clear errors.</w:t>
      </w:r>
    </w:p>
    <w:p>
      <w:pPr>
        <w:pStyle w:val="ListBullet"/>
      </w:pPr>
      <w:r>
        <w:t>Ensure gallery, menu, lightbox and any cookie/chat overlay do not cover important controls.</w:t>
      </w:r>
    </w:p>
    <w:p>
      <w:pPr>
        <w:pStyle w:val="ListBullet"/>
      </w:pPr>
      <w:r>
        <w:t>Use comfortably large tap targets for call, quote, menu, gallery and carousel controls.</w:t>
      </w:r>
    </w:p>
    <w:p>
      <w:pPr>
        <w:pStyle w:val="Heading1"/>
      </w:pPr>
      <w:r>
        <w:t>9. Brighton &amp; Hove local SEO and AI discoverability</w:t>
      </w:r>
    </w:p>
    <w:p>
      <w:pPr>
        <w:pStyle w:val="Heading2"/>
      </w:pPr>
      <w:r>
        <w:t>9.1 Local page strategy</w:t>
      </w:r>
    </w:p>
    <w:p>
      <w:r>
        <w:t>Create one strong Areas We Cover hub and one authoritative Brighton &amp; Hove page first. Add further town pages only when there is genuine local evidence, not merely rewritten boilerplate.</w:t>
      </w:r>
    </w:p>
    <w:p>
      <w:pPr>
        <w:pStyle w:val="ListBullet"/>
      </w:pPr>
      <w:r>
        <w:t>Neighbourhoods genuinely covered.</w:t>
      </w:r>
    </w:p>
    <w:p>
      <w:pPr>
        <w:pStyle w:val="ListBullet"/>
      </w:pPr>
      <w:r>
        <w:t>Roof and property types encountered locally.</w:t>
      </w:r>
    </w:p>
    <w:p>
      <w:pPr>
        <w:pStyle w:val="ListBullet"/>
      </w:pPr>
      <w:r>
        <w:t>Two to four local project examples.</w:t>
      </w:r>
    </w:p>
    <w:p>
      <w:pPr>
        <w:pStyle w:val="ListBullet"/>
      </w:pPr>
      <w:r>
        <w:t>Links to relevant repair services.</w:t>
      </w:r>
    </w:p>
    <w:p>
      <w:pPr>
        <w:pStyle w:val="ListBullet"/>
      </w:pPr>
      <w:r>
        <w:t>Consistent business name, phone, email, hours and service-area presentation.</w:t>
      </w:r>
    </w:p>
    <w:p>
      <w:pPr>
        <w:pStyle w:val="Heading2"/>
      </w:pPr>
      <w:r>
        <w:t>9.2 AI discoverability in business terms</w:t>
      </w:r>
    </w:p>
    <w:p>
      <w:r>
        <w:t>Search and answer engines need clear facts: who the business is, where it works, which problems it solves, which services it provides and what evidence supports those statements. The lab parser detected no JSON-LD in its sample. The technical team should validate this and add accurate business/service structured data if absent.</w:t>
      </w:r>
    </w:p>
    <w:p>
      <w:r>
        <w:t>No schema or content format guarantees an AI citation. The aim is to make the site accurate, crawlable and easy to interpret.</w:t>
      </w:r>
    </w:p>
    <w:p>
      <w:pPr>
        <w:pStyle w:val="Heading1"/>
      </w:pPr>
      <w:r>
        <w:t>10. Trust, aesthetics and accessibility</w:t>
      </w:r>
    </w:p>
    <w:p>
      <w:pPr>
        <w:pStyle w:val="Heading2"/>
      </w:pPr>
      <w:r>
        <w:t>10.1 Trust cleanup</w:t>
      </w:r>
    </w:p>
    <w:p>
      <w:pPr>
        <w:pStyle w:val="ListBullet"/>
      </w:pPr>
      <w:r>
        <w:t>Manually recheck all earlier placeholder, example.com, fragment-link, zero-counter and contact-consistency findings before presenting them as current.</w:t>
      </w:r>
    </w:p>
    <w:p>
      <w:pPr>
        <w:pStyle w:val="ListBullet"/>
      </w:pPr>
      <w:r>
        <w:t>Remove any active placeholder or non-functional item confirmed by the manual check.</w:t>
      </w:r>
    </w:p>
    <w:p>
      <w:pPr>
        <w:pStyle w:val="ListBullet"/>
      </w:pPr>
      <w:r>
        <w:t>Use verified projects, reviews and business facts instead of generic “best” claims.</w:t>
      </w:r>
    </w:p>
    <w:p>
      <w:pPr>
        <w:pStyle w:val="ListBullet"/>
      </w:pPr>
      <w:r>
        <w:t>Make phone, email, address/service area and hours consistent across the site and controlled listings.</w:t>
      </w:r>
    </w:p>
    <w:p>
      <w:pPr>
        <w:pStyle w:val="Heading2"/>
      </w:pPr>
      <w:r>
        <w:t>10.2 Aesthetics</w:t>
      </w:r>
    </w:p>
    <w:p>
      <w:r>
        <w:t>The site does not need a ground-up redesign. Improve hierarchy, spacing, image curation, descriptive buttons and the route to a quote. Keep the van-branding discussion to the side for now.</w:t>
      </w:r>
    </w:p>
    <w:p>
      <w:pPr>
        <w:pStyle w:val="Heading2"/>
      </w:pPr>
      <w:r>
        <w:t>10.3 Accessibility at management level</w:t>
      </w:r>
    </w:p>
    <w:p>
      <w:pPr>
        <w:pStyle w:val="ListBullet"/>
      </w:pPr>
      <w:r>
        <w:t>Fix 320 px reflow.</w:t>
      </w:r>
    </w:p>
    <w:p>
      <w:pPr>
        <w:pStyle w:val="ListBullet"/>
      </w:pPr>
      <w:r>
        <w:t>Use readable contrast and avoid grey-on-black or thin text over photographs.</w:t>
      </w:r>
    </w:p>
    <w:p>
      <w:pPr>
        <w:pStyle w:val="ListBullet"/>
      </w:pPr>
      <w:r>
        <w:t>Use clear headings and descriptive links.</w:t>
      </w:r>
    </w:p>
    <w:p>
      <w:pPr>
        <w:pStyle w:val="ListBullet"/>
      </w:pPr>
      <w:r>
        <w:t>Make forms, menu and carousel keyboard-friendly.</w:t>
      </w:r>
    </w:p>
    <w:p>
      <w:pPr>
        <w:pStyle w:val="ListBullet"/>
      </w:pPr>
      <w:r>
        <w:t>Use useful alternative text for project images and sufficiently large controls.</w:t>
      </w:r>
    </w:p>
    <w:p>
      <w:pPr>
        <w:pStyle w:val="Heading1"/>
      </w:pPr>
      <w:r>
        <w:t>11. Branded email recommendation</w:t>
      </w:r>
    </w:p>
    <w:tbl>
      <w:tblPr>
        <w:tblW w:w="0" w:type="auto"/>
        <w:jc w:val="center"/>
        <w:tblLayout w:type="fixed"/>
        <w:tblLook w:val="04A0" w:firstRow="1" w:lastRow="0" w:firstColumn="1" w:lastColumn="0" w:noHBand="0" w:noVBand="1"/>
      </w:tblPr>
      <w:tblGrid>
        <w:gridCol w:w="259"/>
        <w:gridCol w:w="9144"/>
      </w:tblGrid>
      <w:tr>
        <w:tc>
          <w:tcPr>
            <w:tcW w:w="5040" w:type="dxa"/>
            <w:shd w:fill="D97706"/>
            <w:vAlign w:val="center"/>
            <w:tcMar>
              <w:top w:w="110" w:type="dxa"/>
              <w:start w:w="120" w:type="dxa"/>
              <w:bottom w:w="110" w:type="dxa"/>
              <w:end w:w="120" w:type="dxa"/>
            </w:tcMar>
          </w:tcPr>
          <w:p>
            <w:r/>
            <w:r>
              <w:rPr>
                <w:rFonts w:ascii="Aptos" w:hAnsi="Aptos"/>
                <w:b w:val="0"/>
                <w:color w:val="FFFFFF"/>
                <w:sz w:val="2"/>
              </w:rPr>
            </w:r>
          </w:p>
        </w:tc>
        <w:tc>
          <w:tcPr>
            <w:tcW w:w="5040" w:type="dxa"/>
            <w:shd w:fill="F4F7FA"/>
            <w:vAlign w:val="center"/>
            <w:tcMar>
              <w:top w:w="110" w:type="dxa"/>
              <w:start w:w="120" w:type="dxa"/>
              <w:bottom w:w="110" w:type="dxa"/>
              <w:end w:w="120" w:type="dxa"/>
            </w:tcMar>
          </w:tcPr>
          <w:p>
            <w:r/>
            <w:r>
              <w:rPr>
                <w:rFonts w:ascii="Aptos" w:hAnsi="Aptos"/>
                <w:b w:val="0"/>
                <w:color w:val="17365D"/>
                <w:sz w:val="20"/>
              </w:rPr>
              <w:t>Decision: proceed, but gated</w:t>
              <w:br/>
              <w:t>The domain is PARTIALLY ready. MX and SPF exist; DKIM is not verified; no DMARC answer was returned; mailbox existence and routing remain untested.</w:t>
            </w:r>
          </w:p>
        </w:tc>
      </w:tr>
    </w:tbl>
    <w:p>
      <w:pPr>
        <w:spacing w:after="20"/>
      </w:pPr>
    </w:p>
    <w:tbl>
      <w:tblPr>
        <w:tblStyle w:val="TableGrid"/>
        <w:tblW w:w="0" w:type="auto"/>
        <w:jc w:val="center"/>
        <w:tblLayout w:type="fixed"/>
        <w:tblLook w:val="04A0" w:firstRow="1" w:lastRow="0" w:firstColumn="1" w:lastColumn="0" w:noHBand="0" w:noVBand="1"/>
      </w:tblPr>
      <w:tblGrid>
        <w:gridCol w:w="5040"/>
        <w:gridCol w:w="5040"/>
      </w:tblGrid>
      <w:tr>
        <w:trPr>
          <w:tblHeader w:val="true"/>
        </w:trPr>
        <w:tc>
          <w:tcPr>
            <w:tcW w:w="3888" w:type="dxa"/>
            <w:shd w:fill="17365D"/>
            <w:vAlign w:val="center"/>
            <w:tcMar>
              <w:top w:w="110" w:type="dxa"/>
              <w:start w:w="120" w:type="dxa"/>
              <w:bottom w:w="110" w:type="dxa"/>
              <w:end w:w="120" w:type="dxa"/>
            </w:tcMar>
          </w:tcPr>
          <w:p>
            <w:pPr>
              <w:jc w:val="center"/>
            </w:pPr>
            <w:r/>
            <w:r>
              <w:rPr>
                <w:rFonts w:ascii="Aptos" w:hAnsi="Aptos"/>
                <w:b/>
                <w:color w:val="FFFFFF"/>
                <w:sz w:val="17"/>
              </w:rPr>
              <w:t>Address</w:t>
            </w:r>
          </w:p>
        </w:tc>
        <w:tc>
          <w:tcPr>
            <w:tcW w:w="5472" w:type="dxa"/>
            <w:shd w:fill="17365D"/>
            <w:vAlign w:val="center"/>
            <w:tcMar>
              <w:top w:w="110" w:type="dxa"/>
              <w:start w:w="120" w:type="dxa"/>
              <w:bottom w:w="110" w:type="dxa"/>
              <w:end w:w="120" w:type="dxa"/>
            </w:tcMar>
          </w:tcPr>
          <w:p>
            <w:pPr>
              <w:jc w:val="center"/>
            </w:pPr>
            <w:r/>
            <w:r>
              <w:rPr>
                <w:rFonts w:ascii="Aptos" w:hAnsi="Aptos"/>
                <w:b/>
                <w:color w:val="FFFFFF"/>
                <w:sz w:val="17"/>
              </w:rPr>
              <w:t>Purpose</w:t>
            </w:r>
          </w:p>
        </w:tc>
      </w:tr>
      <w:tr>
        <w:tc>
          <w:tcPr>
            <w:tcW w:w="3888" w:type="dxa"/>
            <w:vAlign w:val="center"/>
            <w:tcMar>
              <w:top w:w="110" w:type="dxa"/>
              <w:start w:w="120" w:type="dxa"/>
              <w:bottom w:w="110" w:type="dxa"/>
              <w:end w:w="120" w:type="dxa"/>
            </w:tcMar>
          </w:tcPr>
          <w:p>
            <w:r/>
            <w:r>
              <w:rPr>
                <w:rFonts w:ascii="Aptos" w:hAnsi="Aptos"/>
                <w:b w:val="0"/>
                <w:color w:val="111827"/>
                <w:sz w:val="17"/>
              </w:rPr>
              <w:t>quotes@eastsussexroofing.co.uk</w:t>
            </w:r>
          </w:p>
        </w:tc>
        <w:tc>
          <w:tcPr>
            <w:tcW w:w="5472" w:type="dxa"/>
            <w:vAlign w:val="center"/>
            <w:tcMar>
              <w:top w:w="110" w:type="dxa"/>
              <w:start w:w="120" w:type="dxa"/>
              <w:bottom w:w="110" w:type="dxa"/>
              <w:end w:w="120" w:type="dxa"/>
            </w:tcMar>
          </w:tcPr>
          <w:p>
            <w:r/>
            <w:r>
              <w:rPr>
                <w:rFonts w:ascii="Aptos" w:hAnsi="Aptos"/>
                <w:b w:val="0"/>
                <w:color w:val="111827"/>
                <w:sz w:val="17"/>
              </w:rPr>
              <w:t>Quote requests and high-intent website actions.</w:t>
            </w:r>
          </w:p>
        </w:tc>
      </w:tr>
      <w:tr>
        <w:tc>
          <w:tcPr>
            <w:tcW w:w="3888" w:type="dxa"/>
            <w:shd w:fill="F4F7FA"/>
            <w:vAlign w:val="center"/>
            <w:tcMar>
              <w:top w:w="110" w:type="dxa"/>
              <w:start w:w="120" w:type="dxa"/>
              <w:bottom w:w="110" w:type="dxa"/>
              <w:end w:w="120" w:type="dxa"/>
            </w:tcMar>
          </w:tcPr>
          <w:p>
            <w:r/>
            <w:r>
              <w:rPr>
                <w:rFonts w:ascii="Aptos" w:hAnsi="Aptos"/>
                <w:b w:val="0"/>
                <w:color w:val="111827"/>
                <w:sz w:val="17"/>
              </w:rPr>
              <w:t>enquiries@eastsussexroofing.co.uk</w:t>
            </w:r>
          </w:p>
        </w:tc>
        <w:tc>
          <w:tcPr>
            <w:tcW w:w="5472" w:type="dxa"/>
            <w:shd w:fill="F4F7FA"/>
            <w:vAlign w:val="center"/>
            <w:tcMar>
              <w:top w:w="110" w:type="dxa"/>
              <w:start w:w="120" w:type="dxa"/>
              <w:bottom w:w="110" w:type="dxa"/>
              <w:end w:w="120" w:type="dxa"/>
            </w:tcMar>
          </w:tcPr>
          <w:p>
            <w:r/>
            <w:r>
              <w:rPr>
                <w:rFonts w:ascii="Aptos" w:hAnsi="Aptos"/>
                <w:b w:val="0"/>
                <w:color w:val="111827"/>
                <w:sz w:val="17"/>
              </w:rPr>
              <w:t>General customer correspondence.</w:t>
            </w:r>
          </w:p>
        </w:tc>
      </w:tr>
      <w:tr>
        <w:tc>
          <w:tcPr>
            <w:tcW w:w="3888" w:type="dxa"/>
            <w:vAlign w:val="center"/>
            <w:tcMar>
              <w:top w:w="110" w:type="dxa"/>
              <w:start w:w="120" w:type="dxa"/>
              <w:bottom w:w="110" w:type="dxa"/>
              <w:end w:w="120" w:type="dxa"/>
            </w:tcMar>
          </w:tcPr>
          <w:p>
            <w:r/>
            <w:r>
              <w:rPr>
                <w:rFonts w:ascii="Aptos" w:hAnsi="Aptos"/>
                <w:b w:val="0"/>
                <w:color w:val="111827"/>
                <w:sz w:val="17"/>
              </w:rPr>
              <w:t>Current Gmail</w:t>
            </w:r>
          </w:p>
        </w:tc>
        <w:tc>
          <w:tcPr>
            <w:tcW w:w="5472" w:type="dxa"/>
            <w:vAlign w:val="center"/>
            <w:tcMar>
              <w:top w:w="110" w:type="dxa"/>
              <w:start w:w="120" w:type="dxa"/>
              <w:bottom w:w="110" w:type="dxa"/>
              <w:end w:w="120" w:type="dxa"/>
            </w:tcMar>
          </w:tcPr>
          <w:p>
            <w:r/>
            <w:r>
              <w:rPr>
                <w:rFonts w:ascii="Aptos" w:hAnsi="Aptos"/>
                <w:b w:val="0"/>
                <w:color w:val="111827"/>
                <w:sz w:val="17"/>
              </w:rPr>
              <w:t>Keep receiving during migration; retire from prominent display only after the domain route is proven.</w:t>
            </w:r>
          </w:p>
        </w:tc>
      </w:tr>
    </w:tbl>
    <w:p>
      <w:pPr>
        <w:spacing w:after="20"/>
      </w:pPr>
    </w:p>
    <w:p>
      <w:r>
        <w:t>The mailbox can still be hosted by a managed provider such as Google Workspace, Microsoft 365 or another reputable service. The important point is that the visible address belongs to the business domain and is properly authenticated.</w:t>
      </w:r>
    </w:p>
    <w:p>
      <w:pPr>
        <w:pStyle w:val="Heading2"/>
      </w:pPr>
      <w:r>
        <w:t>11.1 Go-live conditions</w:t>
      </w:r>
    </w:p>
    <w:p>
      <w:pPr>
        <w:pStyle w:val="ListBullet"/>
      </w:pPr>
      <w:r>
        <w:t>Mailbox/shared mailbox created and owned.</w:t>
      </w:r>
    </w:p>
    <w:p>
      <w:pPr>
        <w:pStyle w:val="ListBullet"/>
      </w:pPr>
      <w:r>
        <w:t>Inbound MX routing tested.</w:t>
      </w:r>
    </w:p>
    <w:p>
      <w:pPr>
        <w:pStyle w:val="ListBullet"/>
      </w:pPr>
      <w:r>
        <w:t>SPF validated against every legitimate sender.</w:t>
      </w:r>
    </w:p>
    <w:p>
      <w:pPr>
        <w:pStyle w:val="ListBullet"/>
      </w:pPr>
      <w:r>
        <w:t>DKIM enabled and aligned.</w:t>
      </w:r>
    </w:p>
    <w:p>
      <w:pPr>
        <w:pStyle w:val="ListBullet"/>
      </w:pPr>
      <w:r>
        <w:t>DMARC published, monitored and progressively enforced.</w:t>
      </w:r>
    </w:p>
    <w:p>
      <w:pPr>
        <w:pStyle w:val="ListBullet"/>
      </w:pPr>
      <w:r>
        <w:t>Website form sending and replies tested.</w:t>
      </w:r>
    </w:p>
    <w:p>
      <w:pPr>
        <w:pStyle w:val="Heading1"/>
      </w:pPr>
      <w:r>
        <w:t>12. Phased plan and success measures</w:t>
      </w:r>
    </w:p>
    <w:tbl>
      <w:tblPr>
        <w:tblStyle w:val="TableGrid"/>
        <w:tblW w:w="0" w:type="auto"/>
        <w:jc w:val="center"/>
        <w:tblLayout w:type="fixed"/>
        <w:tblLook w:val="04A0" w:firstRow="1" w:lastRow="0" w:firstColumn="1" w:lastColumn="0" w:noHBand="0" w:noVBand="1"/>
      </w:tblPr>
      <w:tblGrid>
        <w:gridCol w:w="3360"/>
        <w:gridCol w:w="3360"/>
        <w:gridCol w:w="3360"/>
      </w:tblGrid>
      <w:tr>
        <w:trPr>
          <w:tblHeader w:val="true"/>
        </w:trPr>
        <w:tc>
          <w:tcPr>
            <w:tcW w:w="1656" w:type="dxa"/>
            <w:shd w:fill="17365D"/>
            <w:vAlign w:val="center"/>
            <w:tcMar>
              <w:top w:w="110" w:type="dxa"/>
              <w:start w:w="120" w:type="dxa"/>
              <w:bottom w:w="110" w:type="dxa"/>
              <w:end w:w="120" w:type="dxa"/>
            </w:tcMar>
          </w:tcPr>
          <w:p>
            <w:pPr>
              <w:jc w:val="center"/>
            </w:pPr>
            <w:r/>
            <w:r>
              <w:rPr>
                <w:rFonts w:ascii="Aptos" w:hAnsi="Aptos"/>
                <w:b/>
                <w:color w:val="FFFFFF"/>
                <w:sz w:val="16"/>
              </w:rPr>
              <w:t>Phase</w:t>
            </w:r>
          </w:p>
        </w:tc>
        <w:tc>
          <w:tcPr>
            <w:tcW w:w="4968" w:type="dxa"/>
            <w:shd w:fill="17365D"/>
            <w:vAlign w:val="center"/>
            <w:tcMar>
              <w:top w:w="110" w:type="dxa"/>
              <w:start w:w="120" w:type="dxa"/>
              <w:bottom w:w="110" w:type="dxa"/>
              <w:end w:w="120" w:type="dxa"/>
            </w:tcMar>
          </w:tcPr>
          <w:p>
            <w:pPr>
              <w:jc w:val="center"/>
            </w:pPr>
            <w:r/>
            <w:r>
              <w:rPr>
                <w:rFonts w:ascii="Aptos" w:hAnsi="Aptos"/>
                <w:b/>
                <w:color w:val="FFFFFF"/>
                <w:sz w:val="16"/>
              </w:rPr>
              <w:t>Work</w:t>
            </w:r>
          </w:p>
        </w:tc>
        <w:tc>
          <w:tcPr>
            <w:tcW w:w="2736" w:type="dxa"/>
            <w:shd w:fill="17365D"/>
            <w:vAlign w:val="center"/>
            <w:tcMar>
              <w:top w:w="110" w:type="dxa"/>
              <w:start w:w="120" w:type="dxa"/>
              <w:bottom w:w="110" w:type="dxa"/>
              <w:end w:w="120" w:type="dxa"/>
            </w:tcMar>
          </w:tcPr>
          <w:p>
            <w:pPr>
              <w:jc w:val="center"/>
            </w:pPr>
            <w:r/>
            <w:r>
              <w:rPr>
                <w:rFonts w:ascii="Aptos" w:hAnsi="Aptos"/>
                <w:b/>
                <w:color w:val="FFFFFF"/>
                <w:sz w:val="16"/>
              </w:rPr>
              <w:t>Decision gate</w:t>
            </w:r>
          </w:p>
        </w:tc>
      </w:tr>
      <w:tr>
        <w:tc>
          <w:tcPr>
            <w:tcW w:w="1656" w:type="dxa"/>
            <w:vAlign w:val="center"/>
            <w:tcMar>
              <w:top w:w="110" w:type="dxa"/>
              <w:start w:w="120" w:type="dxa"/>
              <w:bottom w:w="110" w:type="dxa"/>
              <w:end w:w="120" w:type="dxa"/>
            </w:tcMar>
          </w:tcPr>
          <w:p>
            <w:r/>
            <w:r>
              <w:rPr>
                <w:rFonts w:ascii="Aptos" w:hAnsi="Aptos"/>
                <w:b w:val="0"/>
                <w:color w:val="111827"/>
                <w:sz w:val="16"/>
              </w:rPr>
              <w:t>1 - Verify and repair</w:t>
            </w:r>
          </w:p>
        </w:tc>
        <w:tc>
          <w:tcPr>
            <w:tcW w:w="4968" w:type="dxa"/>
            <w:vAlign w:val="center"/>
            <w:tcMar>
              <w:top w:w="110" w:type="dxa"/>
              <w:start w:w="120" w:type="dxa"/>
              <w:bottom w:w="110" w:type="dxa"/>
              <w:end w:w="120" w:type="dxa"/>
            </w:tcMar>
          </w:tcPr>
          <w:p>
            <w:r/>
            <w:r>
              <w:rPr>
                <w:rFonts w:ascii="Aptos" w:hAnsi="Aptos"/>
                <w:b w:val="0"/>
                <w:color w:val="111827"/>
                <w:sz w:val="16"/>
              </w:rPr>
              <w:t>Manual content/CTA/privacy/contact check; fix 320 px overflow; define authoritative identity.</w:t>
            </w:r>
          </w:p>
        </w:tc>
        <w:tc>
          <w:tcPr>
            <w:tcW w:w="2736" w:type="dxa"/>
            <w:vAlign w:val="center"/>
            <w:tcMar>
              <w:top w:w="110" w:type="dxa"/>
              <w:start w:w="120" w:type="dxa"/>
              <w:bottom w:w="110" w:type="dxa"/>
              <w:end w:w="120" w:type="dxa"/>
            </w:tcMar>
          </w:tcPr>
          <w:p>
            <w:r/>
            <w:r>
              <w:rPr>
                <w:rFonts w:ascii="Aptos" w:hAnsi="Aptos"/>
                <w:b w:val="0"/>
                <w:color w:val="111827"/>
                <w:sz w:val="16"/>
              </w:rPr>
              <w:t>No known trust-breaking or narrow-mobile defect remains.</w:t>
            </w:r>
          </w:p>
        </w:tc>
      </w:tr>
      <w:tr>
        <w:tc>
          <w:tcPr>
            <w:tcW w:w="1656" w:type="dxa"/>
            <w:shd w:fill="F4F7FA"/>
            <w:vAlign w:val="center"/>
            <w:tcMar>
              <w:top w:w="110" w:type="dxa"/>
              <w:start w:w="120" w:type="dxa"/>
              <w:bottom w:w="110" w:type="dxa"/>
              <w:end w:w="120" w:type="dxa"/>
            </w:tcMar>
          </w:tcPr>
          <w:p>
            <w:r/>
            <w:r>
              <w:rPr>
                <w:rFonts w:ascii="Aptos" w:hAnsi="Aptos"/>
                <w:b w:val="0"/>
                <w:color w:val="111827"/>
                <w:sz w:val="16"/>
              </w:rPr>
              <w:t>2 - Restructure</w:t>
            </w:r>
          </w:p>
        </w:tc>
        <w:tc>
          <w:tcPr>
            <w:tcW w:w="4968" w:type="dxa"/>
            <w:shd w:fill="F4F7FA"/>
            <w:vAlign w:val="center"/>
            <w:tcMar>
              <w:top w:w="110" w:type="dxa"/>
              <w:start w:w="120" w:type="dxa"/>
              <w:bottom w:w="110" w:type="dxa"/>
              <w:end w:w="120" w:type="dxa"/>
            </w:tcMar>
          </w:tcPr>
          <w:p>
            <w:r/>
            <w:r>
              <w:rPr>
                <w:rFonts w:ascii="Aptos" w:hAnsi="Aptos"/>
                <w:b w:val="0"/>
                <w:color w:val="111827"/>
                <w:sz w:val="16"/>
              </w:rPr>
              <w:t>Homepage, Roof Problems, Repair Services and Brighton &amp; Hove hub.</w:t>
            </w:r>
          </w:p>
        </w:tc>
        <w:tc>
          <w:tcPr>
            <w:tcW w:w="2736" w:type="dxa"/>
            <w:shd w:fill="F4F7FA"/>
            <w:vAlign w:val="center"/>
            <w:tcMar>
              <w:top w:w="110" w:type="dxa"/>
              <w:start w:w="120" w:type="dxa"/>
              <w:bottom w:w="110" w:type="dxa"/>
              <w:end w:w="120" w:type="dxa"/>
            </w:tcMar>
          </w:tcPr>
          <w:p>
            <w:r/>
            <w:r>
              <w:rPr>
                <w:rFonts w:ascii="Aptos" w:hAnsi="Aptos"/>
                <w:b w:val="0"/>
                <w:color w:val="111827"/>
                <w:sz w:val="16"/>
              </w:rPr>
              <w:t>Every priority customer problem has a clear route to a relevant service and quote.</w:t>
            </w:r>
          </w:p>
        </w:tc>
      </w:tr>
      <w:tr>
        <w:tc>
          <w:tcPr>
            <w:tcW w:w="1656" w:type="dxa"/>
            <w:vAlign w:val="center"/>
            <w:tcMar>
              <w:top w:w="110" w:type="dxa"/>
              <w:start w:w="120" w:type="dxa"/>
              <w:bottom w:w="110" w:type="dxa"/>
              <w:end w:w="120" w:type="dxa"/>
            </w:tcMar>
          </w:tcPr>
          <w:p>
            <w:r/>
            <w:r>
              <w:rPr>
                <w:rFonts w:ascii="Aptos" w:hAnsi="Aptos"/>
                <w:b w:val="0"/>
                <w:color w:val="111827"/>
                <w:sz w:val="16"/>
              </w:rPr>
              <w:t>3 - Add evidence</w:t>
            </w:r>
          </w:p>
        </w:tc>
        <w:tc>
          <w:tcPr>
            <w:tcW w:w="4968" w:type="dxa"/>
            <w:vAlign w:val="center"/>
            <w:tcMar>
              <w:top w:w="110" w:type="dxa"/>
              <w:start w:w="120" w:type="dxa"/>
              <w:bottom w:w="110" w:type="dxa"/>
              <w:end w:w="120" w:type="dxa"/>
            </w:tcMar>
          </w:tcPr>
          <w:p>
            <w:r/>
            <w:r>
              <w:rPr>
                <w:rFonts w:ascii="Aptos" w:hAnsi="Aptos"/>
                <w:b w:val="0"/>
                <w:color w:val="111827"/>
                <w:sz w:val="16"/>
              </w:rPr>
              <w:t>Curated projects, captions, verified reviews and About content.</w:t>
            </w:r>
          </w:p>
        </w:tc>
        <w:tc>
          <w:tcPr>
            <w:tcW w:w="2736" w:type="dxa"/>
            <w:vAlign w:val="center"/>
            <w:tcMar>
              <w:top w:w="110" w:type="dxa"/>
              <w:start w:w="120" w:type="dxa"/>
              <w:bottom w:w="110" w:type="dxa"/>
              <w:end w:w="120" w:type="dxa"/>
            </w:tcMar>
          </w:tcPr>
          <w:p>
            <w:r/>
            <w:r>
              <w:rPr>
                <w:rFonts w:ascii="Aptos" w:hAnsi="Aptos"/>
                <w:b w:val="0"/>
                <w:color w:val="111827"/>
                <w:sz w:val="16"/>
              </w:rPr>
              <w:t>Each priority service has genuine proof.</w:t>
            </w:r>
          </w:p>
        </w:tc>
      </w:tr>
      <w:tr>
        <w:tc>
          <w:tcPr>
            <w:tcW w:w="1656" w:type="dxa"/>
            <w:shd w:fill="F4F7FA"/>
            <w:vAlign w:val="center"/>
            <w:tcMar>
              <w:top w:w="110" w:type="dxa"/>
              <w:start w:w="120" w:type="dxa"/>
              <w:bottom w:w="110" w:type="dxa"/>
              <w:end w:w="120" w:type="dxa"/>
            </w:tcMar>
          </w:tcPr>
          <w:p>
            <w:r/>
            <w:r>
              <w:rPr>
                <w:rFonts w:ascii="Aptos" w:hAnsi="Aptos"/>
                <w:b w:val="0"/>
                <w:color w:val="111827"/>
                <w:sz w:val="16"/>
              </w:rPr>
              <w:t>4 - Technical</w:t>
            </w:r>
          </w:p>
        </w:tc>
        <w:tc>
          <w:tcPr>
            <w:tcW w:w="4968" w:type="dxa"/>
            <w:shd w:fill="F4F7FA"/>
            <w:vAlign w:val="center"/>
            <w:tcMar>
              <w:top w:w="110" w:type="dxa"/>
              <w:start w:w="120" w:type="dxa"/>
              <w:bottom w:w="110" w:type="dxa"/>
              <w:end w:w="120" w:type="dxa"/>
            </w:tcMar>
          </w:tcPr>
          <w:p>
            <w:r/>
            <w:r>
              <w:rPr>
                <w:rFonts w:ascii="Aptos" w:hAnsi="Aptos"/>
                <w:b w:val="0"/>
                <w:color w:val="111827"/>
                <w:sz w:val="16"/>
              </w:rPr>
              <w:t>Schema, WordPress inventory, mail authentication, performance and accessibility testing.</w:t>
            </w:r>
          </w:p>
        </w:tc>
        <w:tc>
          <w:tcPr>
            <w:tcW w:w="2736" w:type="dxa"/>
            <w:shd w:fill="F4F7FA"/>
            <w:vAlign w:val="center"/>
            <w:tcMar>
              <w:top w:w="110" w:type="dxa"/>
              <w:start w:w="120" w:type="dxa"/>
              <w:bottom w:w="110" w:type="dxa"/>
              <w:end w:w="120" w:type="dxa"/>
            </w:tcMar>
          </w:tcPr>
          <w:p>
            <w:r/>
            <w:r>
              <w:rPr>
                <w:rFonts w:ascii="Aptos" w:hAnsi="Aptos"/>
                <w:b w:val="0"/>
                <w:color w:val="111827"/>
                <w:sz w:val="16"/>
              </w:rPr>
              <w:t>Measured and documented acceptance checks pass.</w:t>
            </w:r>
          </w:p>
        </w:tc>
      </w:tr>
      <w:tr>
        <w:tc>
          <w:tcPr>
            <w:tcW w:w="1656" w:type="dxa"/>
            <w:vAlign w:val="center"/>
            <w:tcMar>
              <w:top w:w="110" w:type="dxa"/>
              <w:start w:w="120" w:type="dxa"/>
              <w:bottom w:w="110" w:type="dxa"/>
              <w:end w:w="120" w:type="dxa"/>
            </w:tcMar>
          </w:tcPr>
          <w:p>
            <w:r/>
            <w:r>
              <w:rPr>
                <w:rFonts w:ascii="Aptos" w:hAnsi="Aptos"/>
                <w:b w:val="0"/>
                <w:color w:val="111827"/>
                <w:sz w:val="16"/>
              </w:rPr>
              <w:t>5 - Expand</w:t>
            </w:r>
          </w:p>
        </w:tc>
        <w:tc>
          <w:tcPr>
            <w:tcW w:w="4968" w:type="dxa"/>
            <w:vAlign w:val="center"/>
            <w:tcMar>
              <w:top w:w="110" w:type="dxa"/>
              <w:start w:w="120" w:type="dxa"/>
              <w:bottom w:w="110" w:type="dxa"/>
              <w:end w:w="120" w:type="dxa"/>
            </w:tcMar>
          </w:tcPr>
          <w:p>
            <w:r/>
            <w:r>
              <w:rPr>
                <w:rFonts w:ascii="Aptos" w:hAnsi="Aptos"/>
                <w:b w:val="0"/>
                <w:color w:val="111827"/>
                <w:sz w:val="16"/>
              </w:rPr>
              <w:t>Additional projects and genuine town content.</w:t>
            </w:r>
          </w:p>
        </w:tc>
        <w:tc>
          <w:tcPr>
            <w:tcW w:w="2736" w:type="dxa"/>
            <w:vAlign w:val="center"/>
            <w:tcMar>
              <w:top w:w="110" w:type="dxa"/>
              <w:start w:w="120" w:type="dxa"/>
              <w:bottom w:w="110" w:type="dxa"/>
              <w:end w:w="120" w:type="dxa"/>
            </w:tcMar>
          </w:tcPr>
          <w:p>
            <w:r/>
            <w:r>
              <w:rPr>
                <w:rFonts w:ascii="Aptos" w:hAnsi="Aptos"/>
                <w:b w:val="0"/>
                <w:color w:val="111827"/>
                <w:sz w:val="16"/>
              </w:rPr>
              <w:t>New pages add unique evidence rather than duplicated copy.</w:t>
            </w:r>
          </w:p>
        </w:tc>
      </w:tr>
    </w:tbl>
    <w:p>
      <w:pPr>
        <w:spacing w:after="20"/>
      </w:pPr>
    </w:p>
    <w:p>
      <w:pPr>
        <w:pStyle w:val="Heading2"/>
      </w:pPr>
      <w:r>
        <w:t>12.1 Success measures</w:t>
      </w:r>
    </w:p>
    <w:p>
      <w:pPr>
        <w:pStyle w:val="ListBullet"/>
      </w:pPr>
      <w:r>
        <w:t>Qualified quote enquiries and jobs won.</w:t>
      </w:r>
    </w:p>
    <w:p>
      <w:pPr>
        <w:pStyle w:val="ListBullet"/>
      </w:pPr>
      <w:r>
        <w:t>Click-to-call and quote-form completion.</w:t>
      </w:r>
    </w:p>
    <w:p>
      <w:pPr>
        <w:pStyle w:val="ListBullet"/>
      </w:pPr>
      <w:r>
        <w:t>Search impressions/clicks for specific repair and Brighton &amp; Hove queries.</w:t>
      </w:r>
    </w:p>
    <w:p>
      <w:pPr>
        <w:pStyle w:val="ListBullet"/>
      </w:pPr>
      <w:r>
        <w:t>Project-page engagement.</w:t>
      </w:r>
    </w:p>
    <w:p>
      <w:pPr>
        <w:pStyle w:val="ListBullet"/>
      </w:pPr>
      <w:r>
        <w:t>No broken links, narrow-mobile overflow or form-delivery failures.</w:t>
      </w:r>
    </w:p>
    <w:p>
      <w:pPr>
        <w:pStyle w:val="ListBullet"/>
      </w:pPr>
      <w:r>
        <w:t>Core Web Vitals and accessibility results once measured.</w:t>
      </w:r>
    </w:p>
    <w:p>
      <w:pPr>
        <w:pStyle w:val="Heading1"/>
      </w:pPr>
      <w:r>
        <w:t>Evidence and source note</w:t>
      </w:r>
    </w:p>
    <w:p>
      <w:r>
        <w:t>The network, DNS, TLS, crawl and rendered viewport findings are taken from the user-supplied lab evidence collected on 14 September 2026. Broader content, design and market recommendations are retained from the earlier website audit. Findings that the later passive collector did not reproduce are labelled NOT VERIFIED and require a manual recheck before being treated as current defects.</w:t>
      </w:r>
    </w:p>
    <w:p>
      <w:pPr>
        <w:pStyle w:val="ListBullet"/>
      </w:pPr>
      <w:r>
        <w:t>Primary evidence: East Sussex Roofing Technical Evidence, collected 14 September 2026.</w:t>
      </w:r>
    </w:p>
    <w:p>
      <w:pPr>
        <w:pStyle w:val="ListBullet"/>
      </w:pPr>
      <w:r>
        <w:t>Primary standards referenced in the earlier audit: Google Search Central, Microsoft Bing guidance, OpenAI crawler guidance, Schema.org, W3C/WCAG and WordPress hardening guidance.</w:t>
      </w:r>
    </w:p>
    <w:p>
      <w:pPr>
        <w:pStyle w:val="ListBullet"/>
      </w:pPr>
      <w:r>
        <w:t>This report is a defensive website review, not a penetration test, legal opinion or guarantee of search ranking.</w:t>
      </w:r>
    </w:p>
    <w:sectPr w:rsidRPr="0006063C" w:rsidR="00FC693F" w:rsidSect="00034616">
      <w:headerReference w:type="default" r:id="rId9"/>
      <w:footerReference w:type="default" r:id="rId10"/>
      <w:pgSz w:w="12240" w:h="15840"/>
      <w:pgMar w:top="1037" w:right="1037" w:bottom="979"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566573"/>
        <w:sz w:val="16"/>
      </w:rPr>
      <w:t xml:space="preserve">Page </w:t>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b/>
        <w:color w:val="148A8A"/>
        <w:sz w:val="16"/>
      </w:rPr>
      <w:t>EAST SUSSEX ROOFING  |  WEBSITE AUDIT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ptos" w:hAnsi="Aptos"/>
      <w:color w:val="111827"/>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Aptos Display" w:hAnsi="Aptos Display"/>
      <w:b/>
      <w:bCs/>
      <w:color w:val="17365D"/>
      <w:sz w:val="40"/>
      <w:szCs w:val="28"/>
    </w:rPr>
  </w:style>
  <w:style w:type="paragraph" w:styleId="Heading2">
    <w:name w:val="heading 2"/>
    <w:basedOn w:val="Normal"/>
    <w:next w:val="Normal"/>
    <w:link w:val="Heading2Char"/>
    <w:uiPriority w:val="9"/>
    <w:unhideWhenUsed/>
    <w:qFormat/>
    <w:rsid w:val="00FC693F"/>
    <w:pPr>
      <w:keepNext/>
      <w:keepLines/>
      <w:spacing w:before="140" w:after="100"/>
      <w:outlineLvl w:val="1"/>
    </w:pPr>
    <w:rPr>
      <w:rFonts w:asciiTheme="majorHAnsi" w:eastAsiaTheme="majorEastAsia" w:hAnsiTheme="majorHAnsi" w:cstheme="majorBidi" w:ascii="Aptos Display" w:hAnsi="Aptos Display"/>
      <w:b/>
      <w:bCs/>
      <w:color w:val="1F4E78"/>
      <w:sz w:val="28"/>
      <w:szCs w:val="26"/>
    </w:rPr>
  </w:style>
  <w:style w:type="paragraph" w:styleId="Heading3">
    <w:name w:val="heading 3"/>
    <w:basedOn w:val="Normal"/>
    <w:next w:val="Normal"/>
    <w:link w:val="Heading3Char"/>
    <w:uiPriority w:val="9"/>
    <w:unhideWhenUsed/>
    <w:qFormat/>
    <w:rsid w:val="00FC693F"/>
    <w:pPr>
      <w:keepNext/>
      <w:keepLines/>
      <w:spacing w:before="100" w:after="100"/>
      <w:outlineLvl w:val="2"/>
    </w:pPr>
    <w:rPr>
      <w:rFonts w:asciiTheme="majorHAnsi" w:eastAsiaTheme="majorEastAsia" w:hAnsiTheme="majorHAnsi" w:cstheme="majorBidi" w:ascii="Aptos Display" w:hAnsi="Aptos Display"/>
      <w:b/>
      <w:bCs/>
      <w:color w:val="148A8A"/>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00" w:line="240" w:lineRule="auto" w:before="200"/>
      <w:contextualSpacing/>
    </w:pPr>
    <w:rPr>
      <w:rFonts w:asciiTheme="majorHAnsi" w:eastAsiaTheme="majorEastAsia" w:hAnsiTheme="majorHAnsi" w:cstheme="majorBidi" w:ascii="Aptos Display" w:hAnsi="Aptos Display"/>
      <w:b/>
      <w:color w:val="17365D"/>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160" w:after="100"/>
    </w:pPr>
    <w:rPr>
      <w:rFonts w:asciiTheme="majorHAnsi" w:eastAsiaTheme="majorEastAsia" w:hAnsiTheme="majorHAnsi" w:cstheme="majorBidi" w:ascii="Aptos Display" w:hAnsi="Aptos Display"/>
      <w:b w:val="0"/>
      <w:i/>
      <w:iCs/>
      <w:color w:val="148A8A"/>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
    <w:name w:val="Code"/>
    <w:pPr>
      <w:spacing w:after="40"/>
    </w:pPr>
    <w:rPr>
      <w:rFonts w:ascii="Consolas" w:hAnsi="Consolas"/>
      <w:color w:val="111827"/>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Metadata/LabelInfo.xml><?xml version="1.0" encoding="utf-8"?>
<clbl:labelList xmlns:clbl="http://schemas.microsoft.com/office/2020/mipLabelMetadata">
  <clbl:label id="{6ca4b045-1887-4427-8d76-d31800fd0d81}" enabled="1" method="Standard" siteId="{2600e953-dff1-43e7-8800-7426a528ea50}" contentBits="0" removed="0"/>
</clbl:labelList>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