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2160"/>
        <w:gridCol w:w="3397"/>
        <w:gridCol w:w="2160"/>
        <w:gridCol w:w="2295"/>
      </w:tblGrid>
      <w:tr w:rsidR="000A6576" w14:paraId="474871A8" w14:textId="77777777" w:rsidTr="00817160">
        <w:trPr>
          <w:jc w:val="center"/>
        </w:trPr>
        <w:tc>
          <w:tcPr>
            <w:tcW w:w="1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F15BAF" w14:textId="77777777" w:rsidR="000A6576" w:rsidRPr="00E02C45" w:rsidRDefault="0015020E">
            <w:pPr>
              <w:spacing w:after="0" w:line="252" w:lineRule="auto"/>
              <w:rPr>
                <w:sz w:val="16"/>
                <w:szCs w:val="16"/>
              </w:rPr>
            </w:pPr>
            <w:r w:rsidRPr="00E02C45">
              <w:rPr>
                <w:rFonts w:ascii="Times New Roman" w:hAnsi="Times New Roman"/>
                <w:b/>
                <w:color w:val="0F172A"/>
                <w:sz w:val="16"/>
                <w:szCs w:val="16"/>
              </w:rPr>
              <w:t>Existing Work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570783" w14:textId="77777777" w:rsidR="000A6576" w:rsidRPr="00E02C45" w:rsidRDefault="0015020E">
            <w:pPr>
              <w:spacing w:after="0" w:line="252" w:lineRule="auto"/>
              <w:rPr>
                <w:sz w:val="16"/>
                <w:szCs w:val="16"/>
              </w:rPr>
            </w:pPr>
            <w:r w:rsidRPr="00E02C45">
              <w:rPr>
                <w:rFonts w:ascii="Times New Roman" w:hAnsi="Times New Roman"/>
                <w:b/>
                <w:color w:val="0F172A"/>
                <w:sz w:val="16"/>
                <w:szCs w:val="16"/>
              </w:rPr>
              <w:t>Focus Area</w:t>
            </w:r>
          </w:p>
        </w:tc>
        <w:tc>
          <w:tcPr>
            <w:tcW w:w="3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C81C9C" w14:textId="77777777" w:rsidR="000A6576" w:rsidRPr="00E02C45" w:rsidRDefault="0015020E">
            <w:pPr>
              <w:spacing w:after="0" w:line="252" w:lineRule="auto"/>
              <w:rPr>
                <w:sz w:val="16"/>
                <w:szCs w:val="16"/>
              </w:rPr>
            </w:pPr>
            <w:r w:rsidRPr="00E02C45">
              <w:rPr>
                <w:rFonts w:ascii="Times New Roman" w:hAnsi="Times New Roman"/>
                <w:b/>
                <w:color w:val="0F172A"/>
                <w:sz w:val="16"/>
                <w:szCs w:val="16"/>
              </w:rPr>
              <w:t>Limitations Identified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E556D" w14:textId="77777777" w:rsidR="000A6576" w:rsidRPr="00E02C45" w:rsidRDefault="0015020E">
            <w:pPr>
              <w:spacing w:after="0" w:line="252" w:lineRule="auto"/>
              <w:rPr>
                <w:sz w:val="16"/>
                <w:szCs w:val="16"/>
              </w:rPr>
            </w:pPr>
            <w:r w:rsidRPr="00E02C45">
              <w:rPr>
                <w:rFonts w:ascii="Times New Roman" w:hAnsi="Times New Roman"/>
                <w:b/>
                <w:color w:val="0F172A"/>
                <w:sz w:val="16"/>
                <w:szCs w:val="16"/>
              </w:rPr>
              <w:t>Literature Gap</w:t>
            </w:r>
          </w:p>
        </w:tc>
        <w:tc>
          <w:tcPr>
            <w:tcW w:w="2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201EC0" w14:textId="77777777" w:rsidR="000A6576" w:rsidRPr="00E02C45" w:rsidRDefault="0015020E">
            <w:pPr>
              <w:spacing w:after="0" w:line="252" w:lineRule="auto"/>
              <w:rPr>
                <w:sz w:val="16"/>
                <w:szCs w:val="16"/>
              </w:rPr>
            </w:pPr>
            <w:r w:rsidRPr="00E02C45">
              <w:rPr>
                <w:rFonts w:ascii="Times New Roman" w:hAnsi="Times New Roman"/>
                <w:b/>
                <w:color w:val="0F172A"/>
                <w:sz w:val="16"/>
                <w:szCs w:val="16"/>
              </w:rPr>
              <w:t>How This Project Addresses the Gap</w:t>
            </w:r>
          </w:p>
        </w:tc>
      </w:tr>
      <w:tr w:rsidR="000A6576" w14:paraId="66561AE7" w14:textId="77777777" w:rsidTr="00817160">
        <w:trPr>
          <w:trHeight w:val="311"/>
          <w:jc w:val="center"/>
        </w:trPr>
        <w:tc>
          <w:tcPr>
            <w:tcW w:w="1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3D25EE" w14:textId="1EEDE4F6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Flower Framework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E4E484" w14:textId="35DD3019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L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research &amp; client-server comm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>s</w:t>
            </w:r>
          </w:p>
        </w:tc>
        <w:tc>
          <w:tcPr>
            <w:tcW w:w="3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1F799E" w14:textId="6BCD9048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Designed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lightweight Python library for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algo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s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research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,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treats Kubernetes as an unmanaged runtime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8957D3" w14:textId="51181CB0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Absence of native 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Kube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>Ops</w:t>
            </w:r>
            <w:proofErr w:type="spellEnd"/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integration, declarative CRDs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B00B0" w14:textId="5D4CF92D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Implements a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kopf</w:t>
            </w:r>
            <w:proofErr w:type="spellEnd"/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FLCluster</w:t>
            </w:r>
            <w:proofErr w:type="spellEnd"/>
            <w:proofErr w:type="gram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CRD, automating client pod provisioning, health probes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</w:tr>
      <w:tr w:rsidR="000A6576" w14:paraId="3C2E1D31" w14:textId="77777777" w:rsidTr="00817160">
        <w:trPr>
          <w:trHeight w:val="149"/>
          <w:jc w:val="center"/>
        </w:trPr>
        <w:tc>
          <w:tcPr>
            <w:tcW w:w="1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530E40" w14:textId="27757148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OpenFL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566A2A" w14:textId="77777777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Enterprise &amp; healthcare federated learning</w:t>
            </w:r>
          </w:p>
        </w:tc>
        <w:tc>
          <w:tcPr>
            <w:tcW w:w="3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33C0F2" w14:textId="078EFE7C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peer-to-peer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topology lacks declarative Infrastructure-as-Code (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IaC</w:t>
            </w:r>
            <w:proofErr w:type="spell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)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7DEF22" w14:textId="0C0E11EC" w:rsidR="000A6576" w:rsidRPr="00E02C45" w:rsidRDefault="00E02C45">
            <w:pPr>
              <w:spacing w:after="0" w:line="252" w:lineRule="auto"/>
              <w:rPr>
                <w:sz w:val="15"/>
                <w:szCs w:val="15"/>
              </w:rPr>
            </w:pPr>
            <w:r>
              <w:rPr>
                <w:rFonts w:ascii="Times New Roman" w:hAnsi="Times New Roman"/>
                <w:color w:val="1E293B"/>
                <w:sz w:val="15"/>
                <w:szCs w:val="15"/>
              </w:rPr>
              <w:t>A</w:t>
            </w:r>
            <w:r w:rsidR="0015020E"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bsence of declarative cloud-native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Pipeline</w:t>
            </w:r>
            <w:r w:rsidR="0015020E"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4BE8C8" w14:textId="2A8FE187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Provides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declarative deployment (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FLCluster</w:t>
            </w:r>
            <w:proofErr w:type="spell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YAML), integrates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DA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Gs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orchestration, </w:t>
            </w:r>
            <w:proofErr w:type="gram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and </w:t>
            </w:r>
            <w:r w:rsid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MLflow</w:t>
            </w:r>
            <w:proofErr w:type="spellEnd"/>
            <w:proofErr w:type="gram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</w:tr>
      <w:tr w:rsidR="000A6576" w14:paraId="48C0D435" w14:textId="77777777" w:rsidTr="00817160">
        <w:trPr>
          <w:jc w:val="center"/>
        </w:trPr>
        <w:tc>
          <w:tcPr>
            <w:tcW w:w="1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22C727" w14:textId="5F87AEAC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Kubeflow Training Operators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3F01A7" w14:textId="77777777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Cloud-native distributed ML orchestration</w:t>
            </w:r>
          </w:p>
        </w:tc>
        <w:tc>
          <w:tcPr>
            <w:tcW w:w="3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2F3F61" w14:textId="2E7744FC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Architected strictly for centralized data paradigms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9F52AB" w14:textId="12D2373F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Assumes centralized data access; lacks federated round scheduling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332936" w14:textId="68415C1A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Introduces a specialized 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FLCluster</w:t>
            </w:r>
            <w:proofErr w:type="spell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Custom Resource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and distributed aggregation.</w:t>
            </w:r>
          </w:p>
        </w:tc>
      </w:tr>
      <w:tr w:rsidR="000A6576" w14:paraId="2F41850A" w14:textId="77777777" w:rsidTr="00817160">
        <w:trPr>
          <w:jc w:val="center"/>
        </w:trPr>
        <w:tc>
          <w:tcPr>
            <w:tcW w:w="1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99DC0F" w14:textId="42645A6D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Practical Secure Aggregation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9BE705" w14:textId="77777777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Cryptographic privacy &amp; secure gradient aggregation</w:t>
            </w:r>
          </w:p>
        </w:tc>
        <w:tc>
          <w:tcPr>
            <w:tcW w:w="3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FA6DCD" w14:textId="5CBC9193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Standalone mathematical protocols; high communication overhead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,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vulnerable to client dropout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533A25" w14:textId="259E1B51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Cryptographic protocols exist in isolation without container-level fault tolerance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EA9421" w14:textId="586E3C1A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Embeds 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PySyft</w:t>
            </w:r>
            <w:proofErr w:type="spell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Secure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Multi-Party Computation (SMPC)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</w:tr>
      <w:tr w:rsidR="000A6576" w14:paraId="7EDA8DE8" w14:textId="77777777" w:rsidTr="00817160">
        <w:trPr>
          <w:jc w:val="center"/>
        </w:trPr>
        <w:tc>
          <w:tcPr>
            <w:tcW w:w="1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99C4F" w14:textId="531088BD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Traditional De-Identification &amp; 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Privacy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0E6E12" w14:textId="77777777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Healthcare data anonymization &amp; perturbation</w:t>
            </w:r>
          </w:p>
        </w:tc>
        <w:tc>
          <w:tcPr>
            <w:tcW w:w="3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18D9F" w14:textId="613CE6B2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Column deletion/de-identification fails against correlation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(87% of population re-identifiable via quasi-identifiers); centralized encryption requires decryption at central server; Dif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ferential Privacy causes severe accuracy degradation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C2C183" w14:textId="5792F204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Inability to reconcile clinical diagnostic accuracy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8693A3" w14:textId="1A5C075B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Guarantees 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~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0% raw patient data leaves ori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gin hospital nodes by transmitting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via SMPC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</w:tr>
      <w:tr w:rsidR="000A6576" w14:paraId="16BA3CB9" w14:textId="77777777" w:rsidTr="00817160">
        <w:trPr>
          <w:jc w:val="center"/>
        </w:trPr>
        <w:tc>
          <w:tcPr>
            <w:tcW w:w="19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82F83E" w14:textId="33C4F57B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Seminal Federated Learning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7A18D9" w14:textId="77777777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Decentraliz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ed algorithmic model optimization</w:t>
            </w:r>
          </w:p>
        </w:tc>
        <w:tc>
          <w:tcPr>
            <w:tcW w:w="3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180AC2" w14:textId="7D63DD1D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Formulated purely as mathematical optimization algorithms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618AB9" w14:textId="117CBF6A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Algorithm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ic formulation without an operating system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  <w:tc>
          <w:tcPr>
            <w:tcW w:w="22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3914D" w14:textId="1B239A66" w:rsidR="000A6576" w:rsidRPr="00E02C45" w:rsidRDefault="0015020E">
            <w:pPr>
              <w:spacing w:after="0" w:line="252" w:lineRule="auto"/>
              <w:rPr>
                <w:sz w:val="15"/>
                <w:szCs w:val="15"/>
              </w:rPr>
            </w:pP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Bridges algorithm to operations by packaging 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FedAvg</w:t>
            </w:r>
            <w:proofErr w:type="spell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and </w:t>
            </w:r>
            <w:proofErr w:type="spellStart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FedProx</w:t>
            </w:r>
            <w:proofErr w:type="spellEnd"/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 xml:space="preserve"> </w:t>
            </w:r>
            <w:r w:rsidRPr="00E02C45">
              <w:rPr>
                <w:rFonts w:ascii="Times New Roman" w:hAnsi="Times New Roman"/>
                <w:color w:val="1E293B"/>
                <w:sz w:val="15"/>
                <w:szCs w:val="15"/>
              </w:rPr>
              <w:t>end-to-end</w:t>
            </w:r>
            <w:r w:rsidR="00817160">
              <w:rPr>
                <w:rFonts w:ascii="Times New Roman" w:hAnsi="Times New Roman"/>
                <w:color w:val="1E293B"/>
                <w:sz w:val="15"/>
                <w:szCs w:val="15"/>
              </w:rPr>
              <w:t>.</w:t>
            </w:r>
          </w:p>
        </w:tc>
      </w:tr>
    </w:tbl>
    <w:p w14:paraId="01B84187" w14:textId="77777777" w:rsidR="000A6576" w:rsidRDefault="0015020E">
      <w:pPr>
        <w:spacing w:before="160" w:after="240"/>
        <w:jc w:val="center"/>
      </w:pPr>
      <w:r>
        <w:rPr>
          <w:rFonts w:ascii="Times New Roman" w:hAnsi="Times New Roman"/>
          <w:i/>
          <w:color w:val="0F172A"/>
        </w:rPr>
        <w:t>Table 1: Comprehensive Literature Gap</w:t>
      </w:r>
    </w:p>
    <w:sectPr w:rsidR="000A65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C92A5" w14:textId="77777777" w:rsidR="0015020E" w:rsidRDefault="0015020E" w:rsidP="00E02C45">
      <w:pPr>
        <w:spacing w:after="0" w:line="240" w:lineRule="auto"/>
      </w:pPr>
      <w:r>
        <w:separator/>
      </w:r>
    </w:p>
  </w:endnote>
  <w:endnote w:type="continuationSeparator" w:id="0">
    <w:p w14:paraId="344C3927" w14:textId="77777777" w:rsidR="0015020E" w:rsidRDefault="0015020E" w:rsidP="00E02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60D2C" w14:textId="77777777" w:rsidR="0015020E" w:rsidRDefault="0015020E" w:rsidP="00E02C45">
      <w:pPr>
        <w:spacing w:after="0" w:line="240" w:lineRule="auto"/>
      </w:pPr>
      <w:r>
        <w:separator/>
      </w:r>
    </w:p>
  </w:footnote>
  <w:footnote w:type="continuationSeparator" w:id="0">
    <w:p w14:paraId="1F673401" w14:textId="77777777" w:rsidR="0015020E" w:rsidRDefault="0015020E" w:rsidP="00E02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6"/>
    <w:rsid w:val="0015020E"/>
    <w:rsid w:val="0015074B"/>
    <w:rsid w:val="0029639D"/>
    <w:rsid w:val="00326F90"/>
    <w:rsid w:val="00817160"/>
    <w:rsid w:val="00AA1D8D"/>
    <w:rsid w:val="00B47730"/>
    <w:rsid w:val="00CB0664"/>
    <w:rsid w:val="00E02C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81061"/>
  <w14:defaultImageDpi w14:val="300"/>
  <w15:docId w15:val="{5681360F-FCF3-4C4E-8B09-B9C295A8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L1F22BSML0075- AREEJ KHALID</cp:lastModifiedBy>
  <cp:revision>2</cp:revision>
  <dcterms:created xsi:type="dcterms:W3CDTF">2013-12-23T23:15:00Z</dcterms:created>
  <dcterms:modified xsi:type="dcterms:W3CDTF">2026-10-29T13:11:00Z</dcterms:modified>
  <cp:category/>
</cp:coreProperties>
</file>