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8663" w14:textId="77777777" w:rsidR="001749F9" w:rsidRDefault="00000000">
      <w:pPr>
        <w:pStyle w:val="Ttulo"/>
        <w:spacing w:after="100"/>
      </w:pPr>
      <w:r>
        <w:t xml:space="preserve">Informe Técnico Final — </w:t>
      </w:r>
      <w:proofErr w:type="spellStart"/>
      <w:r>
        <w:t>MLOps</w:t>
      </w:r>
      <w:proofErr w:type="spellEnd"/>
      <w:r>
        <w:t xml:space="preserve"> Local</w:t>
      </w:r>
    </w:p>
    <w:p w14:paraId="1F924036" w14:textId="77777777" w:rsidR="001749F9" w:rsidRDefault="00000000">
      <w:pPr>
        <w:spacing w:after="80"/>
      </w:pPr>
      <w:r>
        <w:t xml:space="preserve">Predicción de Churn de Clientes — </w:t>
      </w:r>
      <w:proofErr w:type="spellStart"/>
      <w:r>
        <w:t>AndesLink</w:t>
      </w:r>
      <w:proofErr w:type="spellEnd"/>
      <w:r>
        <w:t xml:space="preserve"> Servicios Digitales S.A.</w:t>
      </w:r>
    </w:p>
    <w:p w14:paraId="48B60C97" w14:textId="77777777" w:rsidR="001749F9" w:rsidRDefault="00000000">
      <w:pPr>
        <w:spacing w:after="120"/>
      </w:pPr>
      <w:r>
        <w:rPr>
          <w:i/>
          <w:iCs/>
        </w:rPr>
        <w:t xml:space="preserve">Laboratorio de Minería de Datos · ISTEA · Examen final (Entrega 3: monitoreo y </w:t>
      </w:r>
      <w:proofErr w:type="spellStart"/>
      <w:r>
        <w:rPr>
          <w:i/>
          <w:iCs/>
        </w:rPr>
        <w:t>observabilidad</w:t>
      </w:r>
      <w:proofErr w:type="spellEnd"/>
      <w:r>
        <w:rPr>
          <w:i/>
          <w:iCs/>
        </w:rPr>
        <w:t>)</w:t>
      </w:r>
    </w:p>
    <w:p w14:paraId="0B0DE6CF" w14:textId="10F221C8" w:rsidR="001749F9" w:rsidRDefault="00000000">
      <w:pPr>
        <w:spacing w:after="120"/>
      </w:pPr>
      <w:r>
        <w:t>Autor</w:t>
      </w:r>
      <w:r w:rsidR="00D1030E">
        <w:t>es</w:t>
      </w:r>
      <w:r>
        <w:t>: María Isabel Ledezma Romero</w:t>
      </w:r>
      <w:r w:rsidR="00CD123C">
        <w:t>, Nicolas Bentancor, Flavia Luisa Crolla, Estanislao Carlos Cairoli</w:t>
      </w:r>
    </w:p>
    <w:p w14:paraId="2F5C4088" w14:textId="77777777" w:rsidR="001749F9" w:rsidRDefault="00000000">
      <w:pPr>
        <w:pStyle w:val="Ttulo1"/>
        <w:spacing w:before="300" w:after="150"/>
      </w:pPr>
      <w:r>
        <w:t>1. Resumen ejecutivo</w:t>
      </w:r>
    </w:p>
    <w:p w14:paraId="01247721" w14:textId="77777777" w:rsidR="001749F9" w:rsidRDefault="00000000">
      <w:pPr>
        <w:spacing w:after="120"/>
      </w:pPr>
      <w:r>
        <w:t xml:space="preserve">Este documento describe la arquitectura final de la solución de </w:t>
      </w:r>
      <w:proofErr w:type="spellStart"/>
      <w:r>
        <w:t>MLOps</w:t>
      </w:r>
      <w:proofErr w:type="spellEnd"/>
      <w:r>
        <w:t xml:space="preserve"> local desarrollada para </w:t>
      </w:r>
      <w:proofErr w:type="spellStart"/>
      <w:r>
        <w:t>AndesLink</w:t>
      </w:r>
      <w:proofErr w:type="spellEnd"/>
      <w:r>
        <w:t xml:space="preserve"> Servicios Digitales S.A., incorporando la capa de </w:t>
      </w:r>
      <w:proofErr w:type="spellStart"/>
      <w:r>
        <w:t>observabilidad</w:t>
      </w:r>
      <w:proofErr w:type="spellEnd"/>
      <w:r>
        <w:t xml:space="preserve"> requerida en el examen final: monitoreo técnico del servicio (Prometheus + </w:t>
      </w:r>
      <w:proofErr w:type="spellStart"/>
      <w:r>
        <w:t>Grafana</w:t>
      </w:r>
      <w:proofErr w:type="spellEnd"/>
      <w:r>
        <w:t>) y monitoreo de datos/</w:t>
      </w:r>
      <w:proofErr w:type="spellStart"/>
      <w:r>
        <w:t>drift</w:t>
      </w:r>
      <w:proofErr w:type="spellEnd"/>
      <w:r>
        <w:t xml:space="preserve"> (</w:t>
      </w:r>
      <w:proofErr w:type="spellStart"/>
      <w:r>
        <w:t>Evidently</w:t>
      </w:r>
      <w:proofErr w:type="spellEnd"/>
      <w:r>
        <w:t>), sobre la base de la API de inferencia y la GUI ya entregadas en el segundo parcial.</w:t>
      </w:r>
    </w:p>
    <w:p w14:paraId="6EFAD8AB" w14:textId="77777777" w:rsidR="001749F9" w:rsidRDefault="00000000">
      <w:pPr>
        <w:spacing w:after="120"/>
      </w:pPr>
      <w:r>
        <w:t>El objetivo del proyecto es anticipar el abandono (</w:t>
      </w:r>
      <w:proofErr w:type="spellStart"/>
      <w:r>
        <w:t>churn</w:t>
      </w:r>
      <w:proofErr w:type="spellEnd"/>
      <w:r>
        <w:t>) de clientes a partir de sus datos de servicio, exponer esa predicción como un servicio consumible, y operar dicho servicio con visibilidad suficiente para detectar degradación técnica o de datos y decidir acciones correctivas.</w:t>
      </w:r>
    </w:p>
    <w:p w14:paraId="2857145B" w14:textId="77777777" w:rsidR="001749F9" w:rsidRDefault="00000000">
      <w:pPr>
        <w:pStyle w:val="Ttulo1"/>
        <w:spacing w:before="300" w:after="150"/>
      </w:pPr>
      <w:r>
        <w:t>2. Arquitectura de la solución</w:t>
      </w:r>
    </w:p>
    <w:p w14:paraId="2FB4AC38" w14:textId="77777777" w:rsidR="001749F9" w:rsidRDefault="00000000">
      <w:pPr>
        <w:spacing w:after="120"/>
      </w:pPr>
      <w:r>
        <w:t xml:space="preserve">La solución se compone de cuatro servicios orquestados con Docker </w:t>
      </w:r>
      <w:proofErr w:type="spellStart"/>
      <w:r>
        <w:t>Compose</w:t>
      </w:r>
      <w:proofErr w:type="spellEnd"/>
      <w:r>
        <w:t>, más un proceso de monitoreo de datos que se ejecuta bajo demanda:</w:t>
      </w:r>
    </w:p>
    <w:p w14:paraId="413FACEC" w14:textId="77777777" w:rsidR="001749F9" w:rsidRDefault="00000000">
      <w:pPr>
        <w:spacing w:before="150" w:after="150"/>
        <w:jc w:val="center"/>
      </w:pPr>
      <w:r>
        <w:rPr>
          <w:noProof/>
        </w:rPr>
        <w:drawing>
          <wp:inline distT="0" distB="0" distL="0" distR="0" wp14:anchorId="0B2A6CB8" wp14:editId="759974D4">
            <wp:extent cx="5524500" cy="32575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9A5A3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GUI (</w:t>
      </w:r>
      <w:proofErr w:type="spellStart"/>
      <w:r>
        <w:t>Streamlit</w:t>
      </w:r>
      <w:proofErr w:type="spellEnd"/>
      <w:r>
        <w:t>, puerto 8501): formulario para cargar datos del cliente e invocar la API.</w:t>
      </w:r>
    </w:p>
    <w:p w14:paraId="32B43821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API (</w:t>
      </w:r>
      <w:proofErr w:type="spellStart"/>
      <w:r>
        <w:t>FastAPI</w:t>
      </w:r>
      <w:proofErr w:type="spellEnd"/>
      <w:r>
        <w:t>, puerto 8080): valida la entrada, aplica el preprocesador, invoca al modelo serializado y devuelve la predicción. Expone /</w:t>
      </w:r>
      <w:proofErr w:type="spellStart"/>
      <w:r>
        <w:t>health</w:t>
      </w:r>
      <w:proofErr w:type="spellEnd"/>
      <w:r>
        <w:t xml:space="preserve"> y /</w:t>
      </w:r>
      <w:proofErr w:type="spellStart"/>
      <w:r>
        <w:t>metrics</w:t>
      </w:r>
      <w:proofErr w:type="spellEnd"/>
      <w:r>
        <w:t>.</w:t>
      </w:r>
    </w:p>
    <w:p w14:paraId="46DA22A1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Prometheus (puerto 9090): </w:t>
      </w:r>
      <w:proofErr w:type="spellStart"/>
      <w:r>
        <w:t>scrapea</w:t>
      </w:r>
      <w:proofErr w:type="spellEnd"/>
      <w:r>
        <w:t xml:space="preserve"> /</w:t>
      </w:r>
      <w:proofErr w:type="spellStart"/>
      <w:r>
        <w:t>metrics</w:t>
      </w:r>
      <w:proofErr w:type="spellEnd"/>
      <w:r>
        <w:t xml:space="preserve"> de la API cada 5 segundos y almacena la serie temporal de métricas técnicas.</w:t>
      </w:r>
    </w:p>
    <w:p w14:paraId="396F4FC2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Grafana</w:t>
      </w:r>
      <w:proofErr w:type="spellEnd"/>
      <w:r>
        <w:t xml:space="preserve"> (puerto 3000): consulta a Prometheus y arma el </w:t>
      </w:r>
      <w:proofErr w:type="spellStart"/>
      <w:r>
        <w:t>dashboard</w:t>
      </w:r>
      <w:proofErr w:type="spellEnd"/>
      <w:r>
        <w:t xml:space="preserve"> de monitoreo técnico, provisionado automáticamente al levantar el </w:t>
      </w:r>
      <w:proofErr w:type="spellStart"/>
      <w:r>
        <w:t>stack</w:t>
      </w:r>
      <w:proofErr w:type="spellEnd"/>
      <w:r>
        <w:t>.</w:t>
      </w:r>
    </w:p>
    <w:p w14:paraId="7E539413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lastRenderedPageBreak/>
        <w:t>Evidently</w:t>
      </w:r>
      <w:proofErr w:type="spellEnd"/>
      <w:r>
        <w:t xml:space="preserve"> (script bajo demanda): compara el </w:t>
      </w:r>
      <w:proofErr w:type="spellStart"/>
      <w:r>
        <w:t>dataset</w:t>
      </w:r>
      <w:proofErr w:type="spellEnd"/>
      <w:r>
        <w:t xml:space="preserve"> de entrenamiento contra un lote de datos "actuales" y genera un reporte HTML de </w:t>
      </w:r>
      <w:proofErr w:type="spellStart"/>
      <w:r>
        <w:t>drift</w:t>
      </w:r>
      <w:proofErr w:type="spellEnd"/>
      <w:r>
        <w:t>.</w:t>
      </w:r>
    </w:p>
    <w:p w14:paraId="67648B7F" w14:textId="77777777" w:rsidR="001749F9" w:rsidRDefault="00000000">
      <w:pPr>
        <w:spacing w:after="120"/>
      </w:pPr>
      <w:r>
        <w:t xml:space="preserve">La comunicación entre GUI y API dentro de Docker </w:t>
      </w:r>
      <w:proofErr w:type="spellStart"/>
      <w:r>
        <w:t>Compose</w:t>
      </w:r>
      <w:proofErr w:type="spellEnd"/>
      <w:r>
        <w:t xml:space="preserve"> se resuelve por nombre de servicio (http://api:8080/predict), inyectado vía la variable de entorno API_URL — evitando el problema típico de usar localhost dentro de un contenedor, que apuntaría al propio contenedor en lugar del servicio destino.</w:t>
      </w:r>
    </w:p>
    <w:p w14:paraId="174864E0" w14:textId="77777777" w:rsidR="001749F9" w:rsidRDefault="00000000">
      <w:pPr>
        <w:pStyle w:val="Ttulo1"/>
        <w:spacing w:before="300" w:after="150"/>
      </w:pPr>
      <w:r>
        <w:t>3. Monitoreo técnico del servicio</w:t>
      </w:r>
    </w:p>
    <w:p w14:paraId="4F52A1C4" w14:textId="77777777" w:rsidR="001749F9" w:rsidRDefault="00000000">
      <w:pPr>
        <w:spacing w:after="120"/>
      </w:pPr>
      <w:r>
        <w:t xml:space="preserve">Se instrumentó la API con la librería </w:t>
      </w:r>
      <w:proofErr w:type="spellStart"/>
      <w:r>
        <w:t>prometheus-fastapi-instrumentator</w:t>
      </w:r>
      <w:proofErr w:type="spellEnd"/>
      <w:r>
        <w:t xml:space="preserve">, que agrega automáticamente métricas estándar de </w:t>
      </w:r>
      <w:proofErr w:type="spellStart"/>
      <w:r>
        <w:t>requests</w:t>
      </w:r>
      <w:proofErr w:type="spellEnd"/>
      <w:r>
        <w:t xml:space="preserve"> HTTP sin modificar la lógica de negocio de los </w:t>
      </w:r>
      <w:proofErr w:type="spellStart"/>
      <w:r>
        <w:t>endpoints</w:t>
      </w:r>
      <w:proofErr w:type="spellEnd"/>
      <w:r>
        <w:t xml:space="preserve"> existentes.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 w:rsidR="001749F9" w14:paraId="265BCFFD" w14:textId="77777777">
        <w:tc>
          <w:tcPr>
            <w:tcW w:w="3000" w:type="dxa"/>
            <w:shd w:val="clear" w:color="auto" w:fill="1565C0"/>
          </w:tcPr>
          <w:p w14:paraId="3014C57B" w14:textId="77777777" w:rsidR="001749F9" w:rsidRDefault="00000000">
            <w:r>
              <w:rPr>
                <w:b/>
                <w:bCs/>
                <w:color w:val="FFFFFF"/>
              </w:rPr>
              <w:t>Métrica</w:t>
            </w:r>
          </w:p>
        </w:tc>
        <w:tc>
          <w:tcPr>
            <w:tcW w:w="6000" w:type="dxa"/>
            <w:shd w:val="clear" w:color="auto" w:fill="1565C0"/>
          </w:tcPr>
          <w:p w14:paraId="27E8BB07" w14:textId="77777777" w:rsidR="001749F9" w:rsidRDefault="00000000">
            <w:r>
              <w:rPr>
                <w:b/>
                <w:bCs/>
                <w:color w:val="FFFFFF"/>
              </w:rPr>
              <w:t>Descripción / uso</w:t>
            </w:r>
          </w:p>
        </w:tc>
      </w:tr>
      <w:tr w:rsidR="001749F9" w14:paraId="5EFC67EA" w14:textId="77777777">
        <w:tc>
          <w:tcPr>
            <w:tcW w:w="3000" w:type="dxa"/>
          </w:tcPr>
          <w:p w14:paraId="2B46EB96" w14:textId="77777777" w:rsidR="001749F9" w:rsidRDefault="00000000">
            <w:proofErr w:type="spellStart"/>
            <w:r>
              <w:rPr>
                <w:color w:val="000000"/>
              </w:rPr>
              <w:t>http_requests_total</w:t>
            </w:r>
            <w:proofErr w:type="spellEnd"/>
          </w:p>
        </w:tc>
        <w:tc>
          <w:tcPr>
            <w:tcW w:w="6000" w:type="dxa"/>
          </w:tcPr>
          <w:p w14:paraId="5AC8A8B1" w14:textId="77777777" w:rsidR="001749F9" w:rsidRDefault="00000000">
            <w:r>
              <w:rPr>
                <w:color w:val="000000"/>
              </w:rPr>
              <w:t xml:space="preserve">Contador de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 por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 xml:space="preserve">, método y código de </w:t>
            </w:r>
            <w:proofErr w:type="gramStart"/>
            <w:r>
              <w:rPr>
                <w:color w:val="000000"/>
              </w:rPr>
              <w:t>status</w:t>
            </w:r>
            <w:proofErr w:type="gramEnd"/>
            <w:r>
              <w:rPr>
                <w:color w:val="000000"/>
              </w:rPr>
              <w:t xml:space="preserve">. Base para calcular tasa de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 y tasa de error.</w:t>
            </w:r>
          </w:p>
        </w:tc>
      </w:tr>
      <w:tr w:rsidR="001749F9" w14:paraId="5E3E73B2" w14:textId="77777777">
        <w:tc>
          <w:tcPr>
            <w:tcW w:w="3000" w:type="dxa"/>
          </w:tcPr>
          <w:p w14:paraId="142B5F24" w14:textId="77777777" w:rsidR="001749F9" w:rsidRDefault="00000000">
            <w:proofErr w:type="spellStart"/>
            <w:r>
              <w:rPr>
                <w:color w:val="000000"/>
              </w:rPr>
              <w:t>http_request_duration_seconds</w:t>
            </w:r>
            <w:proofErr w:type="spellEnd"/>
          </w:p>
        </w:tc>
        <w:tc>
          <w:tcPr>
            <w:tcW w:w="6000" w:type="dxa"/>
          </w:tcPr>
          <w:p w14:paraId="5EEDA777" w14:textId="77777777" w:rsidR="001749F9" w:rsidRDefault="00000000">
            <w:r>
              <w:rPr>
                <w:color w:val="000000"/>
              </w:rPr>
              <w:t xml:space="preserve">Histograma de latencia por </w:t>
            </w:r>
            <w:proofErr w:type="spellStart"/>
            <w:r>
              <w:rPr>
                <w:color w:val="000000"/>
              </w:rPr>
              <w:t>endpoint</w:t>
            </w:r>
            <w:proofErr w:type="spellEnd"/>
            <w:r>
              <w:rPr>
                <w:color w:val="000000"/>
              </w:rPr>
              <w:t>. Base para calcular percentiles (p50, p95, p99).</w:t>
            </w:r>
          </w:p>
        </w:tc>
      </w:tr>
      <w:tr w:rsidR="001749F9" w14:paraId="608C334C" w14:textId="77777777">
        <w:tc>
          <w:tcPr>
            <w:tcW w:w="3000" w:type="dxa"/>
          </w:tcPr>
          <w:p w14:paraId="1CE949FC" w14:textId="77777777" w:rsidR="001749F9" w:rsidRDefault="00000000">
            <w:proofErr w:type="spellStart"/>
            <w:r>
              <w:rPr>
                <w:color w:val="000000"/>
              </w:rPr>
              <w:t>http_requests_inprogress</w:t>
            </w:r>
            <w:proofErr w:type="spellEnd"/>
          </w:p>
        </w:tc>
        <w:tc>
          <w:tcPr>
            <w:tcW w:w="6000" w:type="dxa"/>
          </w:tcPr>
          <w:p w14:paraId="3CC8059D" w14:textId="77777777" w:rsidR="001749F9" w:rsidRDefault="00000000">
            <w:r>
              <w:rPr>
                <w:color w:val="000000"/>
              </w:rPr>
              <w:t xml:space="preserve">Gauge de </w:t>
            </w:r>
            <w:proofErr w:type="spellStart"/>
            <w:r>
              <w:rPr>
                <w:color w:val="000000"/>
              </w:rPr>
              <w:t>requests</w:t>
            </w:r>
            <w:proofErr w:type="spellEnd"/>
            <w:r>
              <w:rPr>
                <w:color w:val="000000"/>
              </w:rPr>
              <w:t xml:space="preserve"> actualmente en curso. Señal temprana de saturación.</w:t>
            </w:r>
          </w:p>
        </w:tc>
      </w:tr>
    </w:tbl>
    <w:p w14:paraId="7D98CD96" w14:textId="77777777" w:rsidR="001749F9" w:rsidRDefault="001749F9">
      <w:pPr>
        <w:spacing w:after="150"/>
      </w:pPr>
    </w:p>
    <w:p w14:paraId="6A13F1AB" w14:textId="77777777" w:rsidR="001749F9" w:rsidRDefault="00000000">
      <w:pPr>
        <w:spacing w:after="120"/>
      </w:pPr>
      <w:r>
        <w:t xml:space="preserve">Estas métricas alimentan un </w:t>
      </w:r>
      <w:proofErr w:type="spellStart"/>
      <w:r>
        <w:t>dashboard</w:t>
      </w:r>
      <w:proofErr w:type="spellEnd"/>
      <w:r>
        <w:t xml:space="preserve"> de </w:t>
      </w:r>
      <w:proofErr w:type="spellStart"/>
      <w:r>
        <w:t>Grafana</w:t>
      </w:r>
      <w:proofErr w:type="spellEnd"/>
      <w:r>
        <w:t xml:space="preserve"> provisionado junto con el </w:t>
      </w:r>
      <w:proofErr w:type="spellStart"/>
      <w:r>
        <w:t>stack</w:t>
      </w:r>
      <w:proofErr w:type="spellEnd"/>
      <w:r>
        <w:t xml:space="preserve"> ("Churn API — Monitoreo Técnico"), con paneles de: </w:t>
      </w:r>
      <w:proofErr w:type="spellStart"/>
      <w:r>
        <w:t>requests</w:t>
      </w:r>
      <w:proofErr w:type="spellEnd"/>
      <w:r>
        <w:t xml:space="preserve"> por segundo por </w:t>
      </w:r>
      <w:proofErr w:type="spellStart"/>
      <w:r>
        <w:t>endpoint</w:t>
      </w:r>
      <w:proofErr w:type="spellEnd"/>
      <w:r>
        <w:t xml:space="preserve">, latencia p95, tasa de error 5xx, </w:t>
      </w:r>
      <w:proofErr w:type="spellStart"/>
      <w:r>
        <w:t>requests</w:t>
      </w:r>
      <w:proofErr w:type="spellEnd"/>
      <w:r>
        <w:t xml:space="preserve"> en curso, y </w:t>
      </w:r>
      <w:proofErr w:type="spellStart"/>
      <w:r>
        <w:t>requests</w:t>
      </w:r>
      <w:proofErr w:type="spellEnd"/>
      <w:r>
        <w:t xml:space="preserve"> totales por código de </w:t>
      </w:r>
      <w:proofErr w:type="gramStart"/>
      <w:r>
        <w:t>status</w:t>
      </w:r>
      <w:proofErr w:type="gramEnd"/>
      <w:r>
        <w:t>.</w:t>
      </w:r>
    </w:p>
    <w:p w14:paraId="1A2B28D5" w14:textId="77777777" w:rsidR="001749F9" w:rsidRDefault="00000000">
      <w:pPr>
        <w:pStyle w:val="Ttulo2"/>
        <w:spacing w:before="250" w:after="120"/>
      </w:pPr>
      <w:r>
        <w:t>3.1 Señales que ameritan acción correctiva</w:t>
      </w:r>
    </w:p>
    <w:p w14:paraId="04CA2296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Suba sostenida de la tasa de error 5xx → revisar logs de la API; posible falla en la carga de artefactos del modelo/preprocesador.</w:t>
      </w:r>
    </w:p>
    <w:p w14:paraId="599D989A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Aumento sostenido de la latencia p95 → revisar carga del contenedor o necesidad de escalar recursos.</w:t>
      </w:r>
    </w:p>
    <w:p w14:paraId="0DF42A0F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Caída a cero de </w:t>
      </w:r>
      <w:proofErr w:type="spellStart"/>
      <w:r>
        <w:t>requests</w:t>
      </w:r>
      <w:proofErr w:type="spellEnd"/>
      <w:r>
        <w:t xml:space="preserve"> cuando se espera tráfico → posible caída de la GUI o de la conectividad entre servicios; verificar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y /</w:t>
      </w:r>
      <w:proofErr w:type="spellStart"/>
      <w:r>
        <w:t>health</w:t>
      </w:r>
      <w:proofErr w:type="spellEnd"/>
      <w:r>
        <w:t>.</w:t>
      </w:r>
    </w:p>
    <w:p w14:paraId="6AFE3A51" w14:textId="77777777" w:rsidR="001749F9" w:rsidRDefault="00000000">
      <w:pPr>
        <w:pStyle w:val="Ttulo1"/>
        <w:spacing w:before="300" w:after="150"/>
      </w:pPr>
      <w:r>
        <w:t xml:space="preserve">4. Monitoreo de datos y </w:t>
      </w:r>
      <w:proofErr w:type="spellStart"/>
      <w:r>
        <w:t>drift</w:t>
      </w:r>
      <w:proofErr w:type="spellEnd"/>
      <w:r>
        <w:t xml:space="preserve"> (</w:t>
      </w:r>
      <w:proofErr w:type="spellStart"/>
      <w:r>
        <w:t>Evidently</w:t>
      </w:r>
      <w:proofErr w:type="spellEnd"/>
      <w:r>
        <w:t>)</w:t>
      </w:r>
    </w:p>
    <w:p w14:paraId="36103075" w14:textId="77777777" w:rsidR="001749F9" w:rsidRDefault="00000000">
      <w:pPr>
        <w:spacing w:after="120"/>
      </w:pPr>
      <w:r>
        <w:t xml:space="preserve">El script src/monitoring/generate_drift_report.py compara el </w:t>
      </w:r>
      <w:proofErr w:type="spellStart"/>
      <w:r>
        <w:t>dataset</w:t>
      </w:r>
      <w:proofErr w:type="spellEnd"/>
      <w:r>
        <w:t xml:space="preserve"> de entrenamiento (referencia) contra un lote simulado de clientes "actuales", construido a partir de la </w:t>
      </w:r>
      <w:proofErr w:type="gramStart"/>
      <w:r>
        <w:t>referencia</w:t>
      </w:r>
      <w:proofErr w:type="gramEnd"/>
      <w:r>
        <w:t xml:space="preserve"> pero con corrimientos deliberados que representan un escenario de negocio plausible a 3 meses de la puesta en producción: suba de tarifas (+18%), más pagos atrasados, menor antigüedad promedio (más altas recientes), y migración parcial de clientes de internet por cable hacia fibra.</w:t>
      </w:r>
    </w:p>
    <w:p w14:paraId="261FDC3C" w14:textId="77777777" w:rsidR="001749F9" w:rsidRDefault="00000000">
      <w:pPr>
        <w:spacing w:after="120"/>
      </w:pPr>
      <w:r>
        <w:t xml:space="preserve">En un escenario de producción real, este lote se reemplazaría por los </w:t>
      </w:r>
      <w:proofErr w:type="spellStart"/>
      <w:r>
        <w:t>requests</w:t>
      </w:r>
      <w:proofErr w:type="spellEnd"/>
      <w:r>
        <w:t xml:space="preserve"> efectivamente recibidos por /</w:t>
      </w:r>
      <w:proofErr w:type="spellStart"/>
      <w:r>
        <w:t>predict</w:t>
      </w:r>
      <w:proofErr w:type="spellEnd"/>
      <w:r>
        <w:t xml:space="preserve">, </w:t>
      </w:r>
      <w:proofErr w:type="spellStart"/>
      <w:r>
        <w:t>logueados</w:t>
      </w:r>
      <w:proofErr w:type="spellEnd"/>
      <w:r>
        <w:t xml:space="preserve"> a un archivo o base de datos desde la propia API — algo que queda fuera del alcance de este proyecto académico pero documentado como paso siguiente natural.</w:t>
      </w:r>
    </w:p>
    <w:p w14:paraId="2F50BA92" w14:textId="77777777" w:rsidR="001749F9" w:rsidRDefault="00000000">
      <w:pPr>
        <w:pStyle w:val="Ttulo2"/>
        <w:spacing w:before="250" w:after="120"/>
      </w:pPr>
      <w:r>
        <w:t>4.1 Resultado de la corrida incluida en este repositorio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1749F9" w14:paraId="2FDF7D40" w14:textId="77777777">
        <w:tc>
          <w:tcPr>
            <w:tcW w:w="4500" w:type="dxa"/>
            <w:shd w:val="clear" w:color="auto" w:fill="1565C0"/>
          </w:tcPr>
          <w:p w14:paraId="47124589" w14:textId="77777777" w:rsidR="001749F9" w:rsidRDefault="00000000">
            <w:r>
              <w:rPr>
                <w:b/>
                <w:bCs/>
                <w:color w:val="FFFFFF"/>
              </w:rPr>
              <w:t>Indicador</w:t>
            </w:r>
          </w:p>
        </w:tc>
        <w:tc>
          <w:tcPr>
            <w:tcW w:w="4500" w:type="dxa"/>
            <w:shd w:val="clear" w:color="auto" w:fill="1565C0"/>
          </w:tcPr>
          <w:p w14:paraId="23027216" w14:textId="77777777" w:rsidR="001749F9" w:rsidRDefault="00000000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1749F9" w14:paraId="448AC079" w14:textId="77777777">
        <w:tc>
          <w:tcPr>
            <w:tcW w:w="4500" w:type="dxa"/>
          </w:tcPr>
          <w:p w14:paraId="2BD4D020" w14:textId="77777777" w:rsidR="001749F9" w:rsidRDefault="00000000">
            <w:r>
              <w:rPr>
                <w:color w:val="000000"/>
              </w:rPr>
              <w:t>Columnas evaluadas</w:t>
            </w:r>
          </w:p>
        </w:tc>
        <w:tc>
          <w:tcPr>
            <w:tcW w:w="4500" w:type="dxa"/>
          </w:tcPr>
          <w:p w14:paraId="1E41273B" w14:textId="77777777" w:rsidR="001749F9" w:rsidRDefault="00000000">
            <w:r>
              <w:rPr>
                <w:color w:val="000000"/>
              </w:rPr>
              <w:t>15</w:t>
            </w:r>
          </w:p>
        </w:tc>
      </w:tr>
      <w:tr w:rsidR="001749F9" w14:paraId="3713FDBE" w14:textId="77777777">
        <w:tc>
          <w:tcPr>
            <w:tcW w:w="4500" w:type="dxa"/>
          </w:tcPr>
          <w:p w14:paraId="1A06CB16" w14:textId="77777777" w:rsidR="001749F9" w:rsidRDefault="00000000">
            <w:r>
              <w:rPr>
                <w:color w:val="000000"/>
              </w:rPr>
              <w:t xml:space="preserve">Columnas con </w:t>
            </w:r>
            <w:proofErr w:type="spellStart"/>
            <w:r>
              <w:rPr>
                <w:color w:val="000000"/>
              </w:rPr>
              <w:t>drift</w:t>
            </w:r>
            <w:proofErr w:type="spellEnd"/>
            <w:r>
              <w:rPr>
                <w:color w:val="000000"/>
              </w:rPr>
              <w:t xml:space="preserve"> detectado</w:t>
            </w:r>
          </w:p>
        </w:tc>
        <w:tc>
          <w:tcPr>
            <w:tcW w:w="4500" w:type="dxa"/>
          </w:tcPr>
          <w:p w14:paraId="11A9B867" w14:textId="77777777" w:rsidR="001749F9" w:rsidRDefault="00000000">
            <w:r>
              <w:rPr>
                <w:color w:val="000000"/>
              </w:rPr>
              <w:t>5 (33%)</w:t>
            </w:r>
          </w:p>
        </w:tc>
      </w:tr>
      <w:tr w:rsidR="001749F9" w14:paraId="09A6F1C8" w14:textId="77777777">
        <w:tc>
          <w:tcPr>
            <w:tcW w:w="4500" w:type="dxa"/>
          </w:tcPr>
          <w:p w14:paraId="14FA2FF4" w14:textId="77777777" w:rsidR="001749F9" w:rsidRDefault="00000000">
            <w:r>
              <w:rPr>
                <w:color w:val="000000"/>
              </w:rPr>
              <w:t xml:space="preserve">Drift a nivel </w:t>
            </w:r>
            <w:proofErr w:type="spellStart"/>
            <w:r>
              <w:rPr>
                <w:color w:val="000000"/>
              </w:rPr>
              <w:t>dataset</w:t>
            </w:r>
            <w:proofErr w:type="spellEnd"/>
            <w:r>
              <w:rPr>
                <w:color w:val="000000"/>
              </w:rPr>
              <w:t xml:space="preserve"> (umbral 50%)</w:t>
            </w:r>
          </w:p>
        </w:tc>
        <w:tc>
          <w:tcPr>
            <w:tcW w:w="4500" w:type="dxa"/>
          </w:tcPr>
          <w:p w14:paraId="5D0E5385" w14:textId="77777777" w:rsidR="001749F9" w:rsidRDefault="00000000">
            <w:r>
              <w:rPr>
                <w:color w:val="000000"/>
              </w:rPr>
              <w:t>No</w:t>
            </w:r>
          </w:p>
        </w:tc>
      </w:tr>
      <w:tr w:rsidR="001749F9" w14:paraId="62AE1E7A" w14:textId="77777777">
        <w:tc>
          <w:tcPr>
            <w:tcW w:w="4500" w:type="dxa"/>
          </w:tcPr>
          <w:p w14:paraId="64963EAD" w14:textId="77777777" w:rsidR="001749F9" w:rsidRDefault="00000000">
            <w:r>
              <w:rPr>
                <w:color w:val="000000"/>
              </w:rPr>
              <w:t xml:space="preserve">Columnas con </w:t>
            </w:r>
            <w:proofErr w:type="spellStart"/>
            <w:r>
              <w:rPr>
                <w:color w:val="000000"/>
              </w:rPr>
              <w:t>drift</w:t>
            </w:r>
            <w:proofErr w:type="spellEnd"/>
          </w:p>
        </w:tc>
        <w:tc>
          <w:tcPr>
            <w:tcW w:w="4500" w:type="dxa"/>
          </w:tcPr>
          <w:p w14:paraId="72EF5573" w14:textId="77777777" w:rsidR="001749F9" w:rsidRDefault="00000000">
            <w:proofErr w:type="spellStart"/>
            <w:r>
              <w:rPr>
                <w:color w:val="000000"/>
              </w:rPr>
              <w:t>monthly_charge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tenure_months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late_payments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total_charges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internet_service</w:t>
            </w:r>
            <w:proofErr w:type="spellEnd"/>
          </w:p>
        </w:tc>
      </w:tr>
    </w:tbl>
    <w:p w14:paraId="4CD41858" w14:textId="77777777" w:rsidR="001749F9" w:rsidRDefault="001749F9">
      <w:pPr>
        <w:spacing w:after="150"/>
      </w:pPr>
    </w:p>
    <w:p w14:paraId="7FB6C2A1" w14:textId="77777777" w:rsidR="001749F9" w:rsidRDefault="00000000">
      <w:pPr>
        <w:spacing w:after="120"/>
      </w:pPr>
      <w:r>
        <w:t xml:space="preserve">El reporte interactivo completo está disponible en </w:t>
      </w:r>
      <w:proofErr w:type="spellStart"/>
      <w:r>
        <w:t>reports</w:t>
      </w:r>
      <w:proofErr w:type="spellEnd"/>
      <w:r>
        <w:t>/</w:t>
      </w:r>
      <w:proofErr w:type="spellStart"/>
      <w:r>
        <w:t>monitoring</w:t>
      </w:r>
      <w:proofErr w:type="spellEnd"/>
      <w:r>
        <w:t>/drift_report.html.</w:t>
      </w:r>
    </w:p>
    <w:p w14:paraId="21559273" w14:textId="77777777" w:rsidR="001749F9" w:rsidRDefault="00000000">
      <w:pPr>
        <w:pStyle w:val="Ttulo2"/>
        <w:spacing w:before="250" w:after="120"/>
      </w:pPr>
      <w:r>
        <w:lastRenderedPageBreak/>
        <w:t>4.2 Interpretación</w:t>
      </w:r>
    </w:p>
    <w:p w14:paraId="6AE01845" w14:textId="77777777" w:rsidR="001749F9" w:rsidRDefault="00000000">
      <w:pPr>
        <w:spacing w:after="120"/>
      </w:pPr>
      <w:r>
        <w:t xml:space="preserve">Se detectó </w:t>
      </w:r>
      <w:proofErr w:type="spellStart"/>
      <w:r>
        <w:t>drift</w:t>
      </w:r>
      <w:proofErr w:type="spellEnd"/>
      <w:r>
        <w:t xml:space="preserve"> en 5 de las 15 columnas evaluadas (33%), por debajo del umbral por defecto de </w:t>
      </w:r>
      <w:proofErr w:type="spellStart"/>
      <w:r>
        <w:t>Evidently</w:t>
      </w:r>
      <w:proofErr w:type="spellEnd"/>
      <w:r>
        <w:t xml:space="preserve"> para considerar "</w:t>
      </w:r>
      <w:proofErr w:type="spellStart"/>
      <w:r>
        <w:t>drift</w:t>
      </w:r>
      <w:proofErr w:type="spellEnd"/>
      <w:r>
        <w:t xml:space="preserve"> a nivel </w:t>
      </w:r>
      <w:proofErr w:type="spellStart"/>
      <w:r>
        <w:t>dataset</w:t>
      </w:r>
      <w:proofErr w:type="spellEnd"/>
      <w:r>
        <w:t xml:space="preserve">" (50%). Sin embargo, el </w:t>
      </w:r>
      <w:proofErr w:type="spellStart"/>
      <w:r>
        <w:t>drift</w:t>
      </w:r>
      <w:proofErr w:type="spellEnd"/>
      <w:r>
        <w:t xml:space="preserve"> detectado en </w:t>
      </w:r>
      <w:proofErr w:type="spellStart"/>
      <w:r>
        <w:t>monthly_charge</w:t>
      </w:r>
      <w:proofErr w:type="spellEnd"/>
      <w:r>
        <w:t xml:space="preserve"> e </w:t>
      </w:r>
      <w:proofErr w:type="spellStart"/>
      <w:r>
        <w:t>internet_service</w:t>
      </w:r>
      <w:proofErr w:type="spellEnd"/>
      <w:r>
        <w:t xml:space="preserve"> es relevante para el negocio: ambas variables tienen peso conocido en el riesgo de abandono (una suba de tarifa incrementa el riesgo de </w:t>
      </w:r>
      <w:proofErr w:type="spellStart"/>
      <w:r>
        <w:t>churn</w:t>
      </w:r>
      <w:proofErr w:type="spellEnd"/>
      <w:r>
        <w:t xml:space="preserve">; un cambio de proveedor de servicio de internet suele asociarse a una revisión más amplia de la relación con la empresa). Esto sugiere que, aunque el modelo no requeriría un reentrenamiento inmediato bajo el criterio automático de </w:t>
      </w:r>
      <w:proofErr w:type="spellStart"/>
      <w:r>
        <w:t>Evidently</w:t>
      </w:r>
      <w:proofErr w:type="spellEnd"/>
      <w:r>
        <w:t>, sí ameritaría seguimiento cercano si la tendencia se sostiene en los próximos períodos.</w:t>
      </w:r>
    </w:p>
    <w:p w14:paraId="32100EBF" w14:textId="77777777" w:rsidR="001749F9" w:rsidRDefault="00000000">
      <w:pPr>
        <w:pStyle w:val="Ttulo2"/>
        <w:spacing w:before="250" w:after="120"/>
      </w:pPr>
      <w:r>
        <w:t>4.3 Señales que ameritan acción correctiva</w:t>
      </w:r>
    </w:p>
    <w:p w14:paraId="2D127CA5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Drift sostenido en variables de alto peso (tarifa, antigüedad, tipo de servicio) → evaluar reentrenamiento con datos más recientes.</w:t>
      </w:r>
    </w:p>
    <w:p w14:paraId="394495D1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Drift a nivel </w:t>
      </w:r>
      <w:proofErr w:type="spellStart"/>
      <w:r>
        <w:t>dataset</w:t>
      </w:r>
      <w:proofErr w:type="spellEnd"/>
      <w:r>
        <w:t xml:space="preserve"> (&gt; 50% de columnas) → pausar confianza en las predicciones hasta revalidar el modelo contra el nuevo contexto.</w:t>
      </w:r>
    </w:p>
    <w:p w14:paraId="17343E88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>Caída marcada en calidad de datos (nulos, valores fuera de rango) → revisar la fuente de datos antes de reentrenar.</w:t>
      </w:r>
    </w:p>
    <w:p w14:paraId="4A4FA572" w14:textId="77777777" w:rsidR="001749F9" w:rsidRDefault="00000000">
      <w:pPr>
        <w:pStyle w:val="Ttulo1"/>
        <w:spacing w:before="300" w:after="150"/>
      </w:pPr>
      <w:r>
        <w:t xml:space="preserve">5. Integración </w:t>
      </w:r>
      <w:proofErr w:type="spellStart"/>
      <w:r>
        <w:t>end-to-end</w:t>
      </w:r>
      <w:proofErr w:type="spellEnd"/>
    </w:p>
    <w:p w14:paraId="6C8AEF89" w14:textId="77777777" w:rsidR="001749F9" w:rsidRDefault="00000000">
      <w:pPr>
        <w:spacing w:after="120"/>
      </w:pPr>
      <w:r>
        <w:t xml:space="preserve">Tras incorporar la capa de monitoreo, el flujo completo (GUI → API → modelo, más Prometheus → </w:t>
      </w:r>
      <w:proofErr w:type="spellStart"/>
      <w:r>
        <w:t>Grafana</w:t>
      </w:r>
      <w:proofErr w:type="spellEnd"/>
      <w:r>
        <w:t xml:space="preserve">) sigue funcionando de forma coherente: se validó con la suite de </w:t>
      </w:r>
      <w:proofErr w:type="spellStart"/>
      <w:r>
        <w:t>pytest</w:t>
      </w:r>
      <w:proofErr w:type="spellEnd"/>
      <w:r>
        <w:t xml:space="preserve"> (13 casos, incluyendo un caso que verifica que /</w:t>
      </w:r>
      <w:proofErr w:type="spellStart"/>
      <w:r>
        <w:t>metrics</w:t>
      </w:r>
      <w:proofErr w:type="spellEnd"/>
      <w:r>
        <w:t xml:space="preserve"> expone las métricas de Prometheus) y con una corrida manual completa de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up --</w:t>
      </w:r>
      <w:proofErr w:type="spellStart"/>
      <w:r>
        <w:t>build</w:t>
      </w:r>
      <w:proofErr w:type="spellEnd"/>
      <w:r>
        <w:t>.</w:t>
      </w:r>
    </w:p>
    <w:p w14:paraId="291454E8" w14:textId="77777777" w:rsidR="001749F9" w:rsidRDefault="00000000">
      <w:pPr>
        <w:pStyle w:val="Ttulo1"/>
        <w:spacing w:before="300" w:after="150"/>
      </w:pPr>
      <w:r>
        <w:t>6. Limitaciones y próximos pasos</w:t>
      </w:r>
    </w:p>
    <w:p w14:paraId="0C09FEC2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lote "actual" de </w:t>
      </w:r>
      <w:proofErr w:type="spellStart"/>
      <w:r>
        <w:t>Evidently</w:t>
      </w:r>
      <w:proofErr w:type="spellEnd"/>
      <w:r>
        <w:t xml:space="preserve"> es simulado; el paso siguiente natural es </w:t>
      </w:r>
      <w:proofErr w:type="spellStart"/>
      <w:r>
        <w:t>loguear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reales de /</w:t>
      </w:r>
      <w:proofErr w:type="spellStart"/>
      <w:r>
        <w:t>predict</w:t>
      </w:r>
      <w:proofErr w:type="spellEnd"/>
      <w:r>
        <w:t xml:space="preserve"> para alimentar el reporte de </w:t>
      </w:r>
      <w:proofErr w:type="spellStart"/>
      <w:r>
        <w:t>drift</w:t>
      </w:r>
      <w:proofErr w:type="spellEnd"/>
      <w:r>
        <w:t xml:space="preserve"> con datos de producción genuinos.</w:t>
      </w:r>
    </w:p>
    <w:p w14:paraId="767F0DF9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No hay pruebas automatizadas de integración </w:t>
      </w:r>
      <w:proofErr w:type="spellStart"/>
      <w:r>
        <w:t>end-to-end</w:t>
      </w:r>
      <w:proofErr w:type="spellEnd"/>
      <w:r>
        <w:t xml:space="preserve"> entre GUI y API (sólo pruebas unitarias de la API).</w:t>
      </w:r>
    </w:p>
    <w:p w14:paraId="0347FDD3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r>
        <w:t xml:space="preserve">El reentrenamiento del modelo ante </w:t>
      </w:r>
      <w:proofErr w:type="spellStart"/>
      <w:r>
        <w:t>drift</w:t>
      </w:r>
      <w:proofErr w:type="spellEnd"/>
      <w:r>
        <w:t xml:space="preserve"> detectado es, por ahora, un proceso manual (correr src/data.py y </w:t>
      </w:r>
      <w:proofErr w:type="spellStart"/>
      <w:r>
        <w:t>src</w:t>
      </w:r>
      <w:proofErr w:type="spellEnd"/>
      <w:r>
        <w:t xml:space="preserve">/train.py); un paso siguiente sería automatizarlo condicionado a los resultados de </w:t>
      </w:r>
      <w:proofErr w:type="spellStart"/>
      <w:r>
        <w:t>Evidently</w:t>
      </w:r>
      <w:proofErr w:type="spellEnd"/>
      <w:r>
        <w:t>.</w:t>
      </w:r>
    </w:p>
    <w:p w14:paraId="7BE13E92" w14:textId="77777777" w:rsidR="001749F9" w:rsidRDefault="00000000">
      <w:pPr>
        <w:pStyle w:val="Prrafodelista"/>
        <w:numPr>
          <w:ilvl w:val="0"/>
          <w:numId w:val="1"/>
        </w:numPr>
        <w:spacing w:after="60"/>
      </w:pPr>
      <w:proofErr w:type="spellStart"/>
      <w:r>
        <w:t>Grafana</w:t>
      </w:r>
      <w:proofErr w:type="spellEnd"/>
      <w:r>
        <w:t xml:space="preserve"> está configurado con acceso anónimo habilitado para simplificar la demo local; en un entorno real correspondería reforzar la autenticación.</w:t>
      </w:r>
    </w:p>
    <w:sectPr w:rsidR="001749F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454F2"/>
    <w:multiLevelType w:val="hybridMultilevel"/>
    <w:tmpl w:val="DCEA9240"/>
    <w:lvl w:ilvl="0" w:tplc="44362790">
      <w:start w:val="1"/>
      <w:numFmt w:val="bullet"/>
      <w:lvlText w:val="●"/>
      <w:lvlJc w:val="left"/>
      <w:pPr>
        <w:ind w:left="720" w:hanging="360"/>
      </w:pPr>
    </w:lvl>
    <w:lvl w:ilvl="1" w:tplc="2E664728">
      <w:start w:val="1"/>
      <w:numFmt w:val="bullet"/>
      <w:lvlText w:val="○"/>
      <w:lvlJc w:val="left"/>
      <w:pPr>
        <w:ind w:left="1440" w:hanging="360"/>
      </w:pPr>
    </w:lvl>
    <w:lvl w:ilvl="2" w:tplc="29AE4910">
      <w:start w:val="1"/>
      <w:numFmt w:val="bullet"/>
      <w:lvlText w:val="■"/>
      <w:lvlJc w:val="left"/>
      <w:pPr>
        <w:ind w:left="2160" w:hanging="360"/>
      </w:pPr>
    </w:lvl>
    <w:lvl w:ilvl="3" w:tplc="7D4C440C">
      <w:start w:val="1"/>
      <w:numFmt w:val="bullet"/>
      <w:lvlText w:val="●"/>
      <w:lvlJc w:val="left"/>
      <w:pPr>
        <w:ind w:left="2880" w:hanging="360"/>
      </w:pPr>
    </w:lvl>
    <w:lvl w:ilvl="4" w:tplc="DCB2255E">
      <w:start w:val="1"/>
      <w:numFmt w:val="bullet"/>
      <w:lvlText w:val="○"/>
      <w:lvlJc w:val="left"/>
      <w:pPr>
        <w:ind w:left="3600" w:hanging="360"/>
      </w:pPr>
    </w:lvl>
    <w:lvl w:ilvl="5" w:tplc="EE9ECA40">
      <w:start w:val="1"/>
      <w:numFmt w:val="bullet"/>
      <w:lvlText w:val="■"/>
      <w:lvlJc w:val="left"/>
      <w:pPr>
        <w:ind w:left="4320" w:hanging="360"/>
      </w:pPr>
    </w:lvl>
    <w:lvl w:ilvl="6" w:tplc="7CFC732A">
      <w:start w:val="1"/>
      <w:numFmt w:val="bullet"/>
      <w:lvlText w:val="●"/>
      <w:lvlJc w:val="left"/>
      <w:pPr>
        <w:ind w:left="5040" w:hanging="360"/>
      </w:pPr>
    </w:lvl>
    <w:lvl w:ilvl="7" w:tplc="8FFE6940">
      <w:start w:val="1"/>
      <w:numFmt w:val="bullet"/>
      <w:lvlText w:val="●"/>
      <w:lvlJc w:val="left"/>
      <w:pPr>
        <w:ind w:left="5760" w:hanging="360"/>
      </w:pPr>
    </w:lvl>
    <w:lvl w:ilvl="8" w:tplc="230C05A6">
      <w:start w:val="1"/>
      <w:numFmt w:val="bullet"/>
      <w:lvlText w:val="●"/>
      <w:lvlJc w:val="left"/>
      <w:pPr>
        <w:ind w:left="6480" w:hanging="360"/>
      </w:pPr>
    </w:lvl>
  </w:abstractNum>
  <w:num w:numId="1" w16cid:durableId="19564000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49F9"/>
    <w:rsid w:val="001749F9"/>
    <w:rsid w:val="00781B03"/>
    <w:rsid w:val="008D3468"/>
    <w:rsid w:val="00CD123C"/>
    <w:rsid w:val="00D10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CC1701"/>
  <w15:docId w15:val="{9DF5B474-AD10-48E8-BBF5-7EC1883B9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1033</Words>
  <Characters>5686</Characters>
  <Application>Microsoft Office Word</Application>
  <DocSecurity>0</DocSecurity>
  <Lines>47</Lines>
  <Paragraphs>13</Paragraphs>
  <ScaleCrop>false</ScaleCrop>
  <Company/>
  <LinksUpToDate>false</LinksUpToDate>
  <CharactersWithSpaces>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Estanislao Cairoli</cp:lastModifiedBy>
  <cp:revision>4</cp:revision>
  <dcterms:created xsi:type="dcterms:W3CDTF">2026-07-10T22:02:00Z</dcterms:created>
  <dcterms:modified xsi:type="dcterms:W3CDTF">2026-07-13T22:59:00Z</dcterms:modified>
</cp:coreProperties>
</file>