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731DDE">
      <w:pPr>
        <w:pStyle w:val="5"/>
      </w:pPr>
      <w:bookmarkStart w:id="0" w:name="Xf93bab9ccca192019d646affd3cf0b4dd72b33f"/>
      <w:r>
        <w:rPr>
          <w:b/>
          <w:bCs/>
        </w:rPr>
        <w:t xml:space="preserve">**3.4 </w:t>
      </w:r>
      <w:r>
        <w:rPr>
          <w:rFonts w:hint="eastAsia"/>
          <w:b/>
          <w:bCs/>
        </w:rPr>
        <w:t>技术服务方案（重点、难点解决方案）**</w:t>
      </w:r>
    </w:p>
    <w:p w14:paraId="4607D4D5">
      <w:pPr>
        <w:pStyle w:val="23"/>
      </w:pPr>
      <w:r>
        <w:rPr>
          <w:rFonts w:hint="eastAsia"/>
        </w:rPr>
        <w:t>本项目技术服务方案（重点、难点的解决方案）面向电力作业“人—机—环—票”多源异构数据的融合分析需求，围绕“工作票智能解析与空间语义映射—现场低时延风险识别—智能体预警与远程督查”的三条主线展开。整体上采用“多模态抽取与知识化表达奠基、边缘侧小模型实时执行、云侧大模型关键复核、图谱与配置闭环联动、工程化可靠交付”的技术路线，形成可验证、可扩展、可推广的系统性解决方案。具体如下：</w:t>
      </w:r>
    </w:p>
    <w:p w14:paraId="070717D6">
      <w:pPr>
        <w:pStyle w:val="3"/>
      </w:pPr>
      <w:r>
        <w:rPr>
          <w:rFonts w:hint="eastAsia"/>
          <w:b/>
          <w:bCs/>
        </w:rPr>
        <w:t>课题</w:t>
      </w:r>
      <w:r>
        <w:rPr>
          <w:b/>
          <w:bCs/>
        </w:rPr>
        <w:t xml:space="preserve"> </w:t>
      </w:r>
      <w:r>
        <w:rPr>
          <w:rFonts w:hint="eastAsia"/>
          <w:b/>
          <w:bCs/>
        </w:rPr>
        <w:t>1：基于多模态大模型的工作票智能解析与时空关联技术研究</w:t>
      </w:r>
    </w:p>
    <w:p w14:paraId="6C1A38C7">
      <w:pPr>
        <w:pStyle w:val="3"/>
      </w:pPr>
      <w:r>
        <w:rPr>
          <w:rFonts w:hint="eastAsia"/>
        </w:rPr>
        <w:t>工作票作为现场作业的“操作蓝图”，其信息提取准确性与现场监控资源关联的有效性直接决定事前风险预控能力。本课题针对工作票存在复杂版面、非结构化描述、手写修订与多级审批语义耦合等特征，构建“多模态解析—实体关系抽取—空间语义理解—监控资源映射—策略闭环下发”的一体化解决方案。</w:t>
      </w:r>
    </w:p>
    <w:p w14:paraId="0528BDEE">
      <w:pPr>
        <w:pStyle w:val="3"/>
      </w:pPr>
      <w:r>
        <w:rPr>
          <w:rFonts w:hint="eastAsia"/>
        </w:rPr>
        <w:t>为确保方案具备工程可落地性与学术可论证性，本课题以本项目“Ticket（工作票解析与图谱）—DB</w:t>
      </w:r>
      <w:r>
        <w:t xml:space="preserve"> </w:t>
      </w:r>
      <w:r>
        <w:rPr>
          <w:rFonts w:hint="eastAsia"/>
        </w:rPr>
        <w:t>Management（配置管理）—监控主程序（多路流调度）”的端到端闭环为牵引，将工作票图像解析得到的</w:t>
      </w:r>
      <w:r>
        <w:rPr>
          <w:rFonts w:hint="eastAsia"/>
          <w:b/>
          <w:bCs/>
        </w:rPr>
        <w:t>时间窗、地点/设备语义与安全措施</w:t>
      </w:r>
      <w:r>
        <w:rPr>
          <w:rFonts w:hint="eastAsia"/>
        </w:rPr>
        <w:t>等要素，进一步转化为可检索、可推理、可下发的时空知识表达与监控策略配置，实现“票据驱动的事前策略下发—事中风险监测—事后追溯复盘”的统一链路。</w:t>
      </w:r>
    </w:p>
    <w:p w14:paraId="31D79779">
      <w:pPr>
        <w:pStyle w:val="3"/>
      </w:pPr>
      <w:r>
        <w:rPr>
          <w:rFonts w:hint="eastAsia"/>
        </w:rPr>
        <w:t>从技术属性看，工作票既具有一定的模板化特征（栏目、表格与签字链条相对固定），又存在强烈的现场异质性（拍照角度、印章遮挡、手写改动、跨页拼接、同一语义多写法）。因此“从票面读出字段”只是第一步，更关键的是把票面语义转化为具备约束、可执行、可追溯的决策对象：既要能在工程上驱动监控系统按时空窗口生效，又要能在管理上回答“为什么在某时段对某些摄像头启用携票监测、依据来自哪里、能否回放复现”。</w:t>
      </w:r>
    </w:p>
    <w:p w14:paraId="4AC2D79F">
      <w:pPr>
        <w:pStyle w:val="3"/>
      </w:pPr>
      <w:r>
        <w:rPr>
          <w:rFonts w:hint="eastAsia"/>
        </w:rPr>
        <w:t>本课题以“结构化要素抽取—关系与约束建模—空间语义对齐—策略生成与闭环下发”为主链路，强调三类一致性：其一是语义一致性（实体类型、同指与关系不自相矛盾）；其二是时空一致性（计划时间窗、工作时段与监控生效窗口可对齐）；其三是工程一致性（输出字段契约稳定、幂等写入、可降级运行）。围绕这些一致性，形成可审计的证据链路（OCR/NER</w:t>
      </w:r>
      <w:r>
        <w:t xml:space="preserve"> </w:t>
      </w:r>
      <w:r>
        <w:rPr>
          <w:rFonts w:hint="eastAsia"/>
        </w:rPr>
        <w:t>中间产物、关系</w:t>
      </w:r>
      <w:r>
        <w:t xml:space="preserve"> </w:t>
      </w:r>
      <w:r>
        <w:rPr>
          <w:rFonts w:hint="eastAsia"/>
        </w:rPr>
        <w:t>JSON、图谱路径与下发记录）以支撑验收与长期运维。</w:t>
      </w:r>
    </w:p>
    <w:p w14:paraId="770E9C73">
      <w:pPr>
        <w:pStyle w:val="6"/>
      </w:pPr>
      <w:bookmarkStart w:id="1" w:name="一）研究目标与总体架构"/>
      <w:r>
        <w:rPr>
          <w:rFonts w:hint="eastAsia"/>
        </w:rPr>
        <w:t>（一）研究目标与总体架构</w:t>
      </w:r>
    </w:p>
    <w:p w14:paraId="4E94B144">
      <w:pPr>
        <w:pStyle w:val="23"/>
      </w:pPr>
      <w:r>
        <w:rPr>
          <w:rFonts w:hint="eastAsia"/>
        </w:rPr>
        <w:t>1）研究目标。面向电力作业工作票（纸质扫描、拍照与电子票据截图等）多源输入，形成以“结构化要素抽取</w:t>
      </w:r>
      <w:r>
        <w:t xml:space="preserve"> + </w:t>
      </w:r>
      <w:r>
        <w:rPr>
          <w:rFonts w:hint="eastAsia"/>
        </w:rPr>
        <w:t>时空关联</w:t>
      </w:r>
      <w:r>
        <w:t xml:space="preserve"> + </w:t>
      </w:r>
      <w:r>
        <w:rPr>
          <w:rFonts w:hint="eastAsia"/>
        </w:rPr>
        <w:t>策略闭环”为核心的技术体系，目标可归纳为：</w:t>
      </w:r>
    </w:p>
    <w:p w14:paraId="4C50CCE0">
      <w:pPr>
        <w:numPr>
          <w:ilvl w:val="0"/>
          <w:numId w:val="1"/>
        </w:numPr>
      </w:pPr>
      <w:r>
        <w:rPr>
          <w:rFonts w:hint="eastAsia"/>
          <w:b/>
          <w:bCs/>
        </w:rPr>
        <w:t>高可靠解析</w:t>
      </w:r>
      <w:r>
        <w:rPr>
          <w:rFonts w:hint="eastAsia"/>
        </w:rPr>
        <w:t>：在复杂版面、噪声背景与局部遮挡条件下稳定输出关键字段与实体集合；</w:t>
      </w:r>
    </w:p>
    <w:p w14:paraId="4D05B624">
      <w:pPr>
        <w:numPr>
          <w:ilvl w:val="0"/>
          <w:numId w:val="1"/>
        </w:numPr>
      </w:pPr>
      <w:r>
        <w:rPr>
          <w:rFonts w:hint="eastAsia"/>
          <w:b/>
          <w:bCs/>
        </w:rPr>
        <w:t>可解释关联</w:t>
      </w:r>
      <w:r>
        <w:rPr>
          <w:rFonts w:hint="eastAsia"/>
        </w:rPr>
        <w:t>：将“票面语义”映射为“站点/区域/设备/摄像头”的可查询拓扑关系，并给出明确的关联依据；</w:t>
      </w:r>
    </w:p>
    <w:p w14:paraId="51A23A77">
      <w:pPr>
        <w:numPr>
          <w:ilvl w:val="0"/>
          <w:numId w:val="1"/>
        </w:numPr>
      </w:pPr>
      <w:r>
        <w:rPr>
          <w:rFonts w:hint="eastAsia"/>
          <w:b/>
          <w:bCs/>
        </w:rPr>
        <w:t>时空一致性</w:t>
      </w:r>
      <w:r>
        <w:rPr>
          <w:rFonts w:hint="eastAsia"/>
        </w:rPr>
        <w:t>：对计划时间窗、工作时段与现场监控生效窗口进行一致性校验；</w:t>
      </w:r>
    </w:p>
    <w:p w14:paraId="3ABBB956">
      <w:pPr>
        <w:numPr>
          <w:ilvl w:val="0"/>
          <w:numId w:val="1"/>
        </w:numPr>
      </w:pPr>
      <w:r>
        <w:rPr>
          <w:rFonts w:hint="eastAsia"/>
          <w:b/>
          <w:bCs/>
        </w:rPr>
        <w:t>闭环可执行</w:t>
      </w:r>
      <w:r>
        <w:rPr>
          <w:rFonts w:hint="eastAsia"/>
        </w:rPr>
        <w:t>：将票号（工单号）、生效时间窗及可选策略开关同步到监控侧配置，实现自动联动。</w:t>
      </w:r>
    </w:p>
    <w:p w14:paraId="3E6BBA62">
      <w:pPr>
        <w:pStyle w:val="23"/>
      </w:pPr>
      <w:r>
        <w:rPr>
          <w:rFonts w:hint="eastAsia"/>
        </w:rPr>
        <w:t>2）总体架构。工程实现采用分层解耦并可按需启用的流水线式架构：</w:t>
      </w:r>
    </w:p>
    <w:p w14:paraId="634F9F23">
      <w:pPr>
        <w:numPr>
          <w:ilvl w:val="0"/>
          <w:numId w:val="1"/>
        </w:numPr>
      </w:pPr>
      <w:r>
        <w:rPr>
          <w:rFonts w:hint="eastAsia"/>
          <w:b/>
          <w:bCs/>
        </w:rPr>
        <w:t>多模态文档理解层</w:t>
      </w:r>
      <w:r>
        <w:rPr>
          <w:rFonts w:hint="eastAsia"/>
        </w:rPr>
        <w:t>：工作票图像预处理与</w:t>
      </w:r>
      <w:r>
        <w:t xml:space="preserve"> </w:t>
      </w:r>
      <w:r>
        <w:rPr>
          <w:rFonts w:hint="eastAsia"/>
        </w:rPr>
        <w:t>OCR（含版面块输出）；</w:t>
      </w:r>
    </w:p>
    <w:p w14:paraId="09169B36">
      <w:pPr>
        <w:numPr>
          <w:ilvl w:val="0"/>
          <w:numId w:val="1"/>
        </w:numPr>
      </w:pPr>
      <w:r>
        <w:rPr>
          <w:rFonts w:hint="eastAsia"/>
          <w:b/>
          <w:bCs/>
        </w:rPr>
        <w:t>文本语义抽取层</w:t>
      </w:r>
      <w:r>
        <w:rPr>
          <w:rFonts w:hint="eastAsia"/>
        </w:rPr>
        <w:t>：阅读理解式实体识别（MRC-NER）+</w:t>
      </w:r>
      <w:r>
        <w:t xml:space="preserve"> </w:t>
      </w:r>
      <w:r>
        <w:rPr>
          <w:rFonts w:hint="eastAsia"/>
        </w:rPr>
        <w:t>规则补全；</w:t>
      </w:r>
    </w:p>
    <w:p w14:paraId="6223CDA5">
      <w:pPr>
        <w:numPr>
          <w:ilvl w:val="0"/>
          <w:numId w:val="1"/>
        </w:numPr>
      </w:pPr>
      <w:r>
        <w:rPr>
          <w:rFonts w:hint="eastAsia"/>
          <w:b/>
          <w:bCs/>
        </w:rPr>
        <w:t>大模型校验与关系抽取层（可选）</w:t>
      </w:r>
      <w:r>
        <w:rPr>
          <w:rFonts w:hint="eastAsia"/>
        </w:rPr>
        <w:t>：对</w:t>
      </w:r>
      <w:r>
        <w:t xml:space="preserve"> OCR </w:t>
      </w:r>
      <w:r>
        <w:rPr>
          <w:rFonts w:hint="eastAsia"/>
        </w:rPr>
        <w:t>票面上下文与实体集合进行一致性复核，并抽取“实体—实体”关系集合；</w:t>
      </w:r>
    </w:p>
    <w:p w14:paraId="4D017260">
      <w:pPr>
        <w:numPr>
          <w:ilvl w:val="0"/>
          <w:numId w:val="1"/>
        </w:numPr>
      </w:pPr>
      <w:r>
        <w:rPr>
          <w:rFonts w:hint="eastAsia"/>
          <w:b/>
          <w:bCs/>
        </w:rPr>
        <w:t>时空知识化表达层（可选）</w:t>
      </w:r>
      <w:r>
        <w:rPr>
          <w:rFonts w:hint="eastAsia"/>
        </w:rPr>
        <w:t>：以图数据库表达</w:t>
      </w:r>
      <w:r>
        <w:t xml:space="preserve"> Ticket/Entity </w:t>
      </w:r>
      <w:r>
        <w:rPr>
          <w:rFonts w:hint="eastAsia"/>
        </w:rPr>
        <w:t>以及与基础设施（Location/Device/Camera）拓扑；</w:t>
      </w:r>
    </w:p>
    <w:p w14:paraId="413CD1DD">
      <w:pPr>
        <w:numPr>
          <w:ilvl w:val="0"/>
          <w:numId w:val="1"/>
        </w:numPr>
      </w:pPr>
      <w:r>
        <w:rPr>
          <w:rFonts w:hint="eastAsia"/>
          <w:b/>
          <w:bCs/>
        </w:rPr>
        <w:t>配置闭环联动层（可选）</w:t>
      </w:r>
      <w:r>
        <w:rPr>
          <w:rFonts w:hint="eastAsia"/>
        </w:rPr>
        <w:t>：将票号与时间窗写入配置管理系统，驱动监控程序在相应时间窗内携票运行与告警归档。</w:t>
      </w:r>
    </w:p>
    <w:p w14:paraId="448D5AFD">
      <w:pPr>
        <w:pStyle w:val="23"/>
      </w:pPr>
      <w:r>
        <w:rPr>
          <w:rFonts w:hint="eastAsia"/>
        </w:rPr>
        <w:t>3）问题形式化定义。为将“票面信息”稳定映射为“可执行联动策略”，将系统建模为由四个映射组成的复合函数：</w:t>
      </w:r>
    </w:p>
    <w:p w14:paraId="0F6FBD4C">
      <w:pPr>
        <w:pStyle w:val="3"/>
      </w:pPr>
      <m:oMathPara>
        <m:oMathParaPr>
          <m:jc m:val="center"/>
        </m:oMathParaPr>
        <m:oMath>
          <m:r>
            <m:rPr/>
            <m:t>I</m:t>
          </m:r>
          <m:limLow>
            <m:limLowPr/>
            <m:e>
              <m:limUpp>
                <m:limUppPr/>
                <m:e>
                  <m:r>
                    <m:rPr>
                      <m:sty m:val="p"/>
                    </m:rPr>
                    <m:t>→</m:t>
                  </m:r>
                </m:e>
                <m:lim>
                  <m:sSub>
                    <m:sSubPr/>
                    <m:e>
                      <m:r>
                        <m:rPr/>
                        <m:t>f</m:t>
                      </m:r>
                    </m:e>
                    <m:sub>
                      <m:r>
                        <m:rPr>
                          <m:sty m:val="p"/>
                        </m:rPr>
                        <m:t>ocr</m:t>
                      </m:r>
                    </m:sub>
                  </m:sSub>
                </m:lim>
              </m:limUpp>
            </m:e>
            <m:lim>
              <m:r>
                <m:rPr/>
                <m:t>​</m:t>
              </m:r>
            </m:lim>
          </m:limLow>
          <m:r>
            <m:rPr/>
            <m:t>X</m:t>
          </m:r>
          <m:limLow>
            <m:limLowPr/>
            <m:e>
              <m:limUpp>
                <m:limUppPr/>
                <m:e>
                  <m:r>
                    <m:rPr>
                      <m:sty m:val="p"/>
                    </m:rPr>
                    <m:t>→</m:t>
                  </m:r>
                </m:e>
                <m:lim>
                  <m:sSub>
                    <m:sSubPr/>
                    <m:e>
                      <m:r>
                        <m:rPr/>
                        <m:t>f</m:t>
                      </m:r>
                    </m:e>
                    <m:sub>
                      <m:r>
                        <m:rPr>
                          <m:sty m:val="p"/>
                        </m:rPr>
                        <m:t>ner</m:t>
                      </m:r>
                    </m:sub>
                  </m:sSub>
                </m:lim>
              </m:limUpp>
            </m:e>
            <m:lim>
              <m:r>
                <m:rPr/>
                <m:t>​</m:t>
              </m:r>
            </m:lim>
          </m:limLow>
          <m:r>
            <m:rPr>
              <m:sty m:val="p"/>
              <m:scr m:val="script"/>
            </m:rPr>
            <m:t>ℰ</m:t>
          </m:r>
          <m:limLow>
            <m:limLowPr/>
            <m:e>
              <m:limUpp>
                <m:limUppPr/>
                <m:e>
                  <m:r>
                    <m:rPr>
                      <m:sty m:val="p"/>
                    </m:rPr>
                    <m:t>→</m:t>
                  </m:r>
                </m:e>
                <m:lim>
                  <m:sSub>
                    <m:sSubPr/>
                    <m:e>
                      <m:r>
                        <m:rPr/>
                        <m:t>f</m:t>
                      </m:r>
                    </m:e>
                    <m:sub>
                      <m:r>
                        <m:rPr>
                          <m:sty m:val="p"/>
                        </m:rPr>
                        <m:t>rel</m:t>
                      </m:r>
                    </m:sub>
                  </m:sSub>
                </m:lim>
              </m:limUpp>
            </m:e>
            <m:lim>
              <m:r>
                <m:rPr/>
                <m:t>​</m:t>
              </m:r>
            </m:lim>
          </m:limLow>
          <m:r>
            <m:rPr>
              <m:sty m:val="p"/>
              <m:scr m:val="script"/>
            </m:rPr>
            <m:t>ℛ</m:t>
          </m:r>
          <m:limLow>
            <m:limLowPr/>
            <m:e>
              <m:limUpp>
                <m:limUppPr/>
                <m:e>
                  <m:r>
                    <m:rPr>
                      <m:sty m:val="p"/>
                    </m:rPr>
                    <m:t>→</m:t>
                  </m:r>
                </m:e>
                <m:lim>
                  <m:sSub>
                    <m:sSubPr/>
                    <m:e>
                      <m:r>
                        <m:rPr/>
                        <m:t>f</m:t>
                      </m:r>
                    </m:e>
                    <m:sub>
                      <m:r>
                        <m:rPr>
                          <m:sty m:val="p"/>
                        </m:rPr>
                        <m:t>st</m:t>
                      </m:r>
                    </m:sub>
                  </m:sSub>
                </m:lim>
              </m:limUpp>
            </m:e>
            <m:lim>
              <m:r>
                <m:rPr/>
                <m:t>​</m:t>
              </m:r>
            </m:lim>
          </m:limLow>
          <m:r>
            <m:rPr>
              <m:sty m:val="p"/>
              <m:scr m:val="script"/>
            </m:rPr>
            <m:t>G</m:t>
          </m:r>
          <m:limLow>
            <m:limLowPr/>
            <m:e>
              <m:limUpp>
                <m:limUppPr/>
                <m:e>
                  <m:r>
                    <m:rPr>
                      <m:sty m:val="p"/>
                    </m:rPr>
                    <m:t>→</m:t>
                  </m:r>
                </m:e>
                <m:lim>
                  <m:sSub>
                    <m:sSubPr/>
                    <m:e>
                      <m:r>
                        <m:rPr/>
                        <m:t>f</m:t>
                      </m:r>
                    </m:e>
                    <m:sub>
                      <m:r>
                        <m:rPr>
                          <m:sty m:val="p"/>
                        </m:rPr>
                        <m:t>cfg</m:t>
                      </m:r>
                    </m:sub>
                  </m:sSub>
                </m:lim>
              </m:limUpp>
            </m:e>
            <m:lim>
              <m:r>
                <m:rPr/>
                <m:t>​</m:t>
              </m:r>
            </m:lim>
          </m:limLow>
          <m:r>
            <m:rPr/>
            <m:t>Π  </m:t>
          </m:r>
          <m:r>
            <m:rPr>
              <m:nor/>
              <m:sty m:val="p"/>
            </m:rPr>
            <w:rPr>
              <w:b w:val="0"/>
              <w:i w:val="0"/>
            </w:rPr>
            <m:t>(1)</m:t>
          </m:r>
        </m:oMath>
      </m:oMathPara>
    </w:p>
    <w:p w14:paraId="3200E2BC">
      <w:pPr>
        <w:pStyle w:val="23"/>
      </w:pPr>
      <w:r>
        <w:rPr>
          <w:rFonts w:hint="eastAsia"/>
        </w:rPr>
        <w:t>其中：</w:t>
      </w:r>
    </w:p>
    <w:p w14:paraId="4C9C7B08">
      <w:pPr>
        <w:numPr>
          <w:ilvl w:val="0"/>
          <w:numId w:val="1"/>
        </w:numPr>
      </w:pPr>
      <w:r>
        <w:t>(</w:t>
      </w:r>
      <m:oMath>
        <m:r>
          <m:rPr/>
          <m:t>I</m:t>
        </m:r>
      </m:oMath>
      <w:r>
        <w:t xml:space="preserve">) </w:t>
      </w:r>
      <w:r>
        <w:rPr>
          <w:rFonts w:hint="eastAsia"/>
        </w:rPr>
        <w:t>为工作票图像（扫描/拍照/截图）；(X)</w:t>
      </w:r>
      <w:r>
        <w:t xml:space="preserve"> </w:t>
      </w:r>
      <w:r>
        <w:rPr>
          <w:rFonts w:hint="eastAsia"/>
        </w:rPr>
        <w:t>为由版面块重建后的文本序列（含结构信息）；</w:t>
      </w:r>
    </w:p>
    <w:p w14:paraId="1B8AD7EC">
      <w:pPr>
        <w:numPr>
          <w:ilvl w:val="0"/>
          <w:numId w:val="1"/>
        </w:numPr>
      </w:pPr>
      <w:r>
        <w:t>(</w:t>
      </w:r>
      <m:oMath>
        <m:r>
          <m:rPr>
            <m:sty m:val="p"/>
            <m:scr m:val="script"/>
          </m:rPr>
          <m:t>ℰ</m:t>
        </m:r>
      </m:oMath>
      <w:r>
        <w:t xml:space="preserve">) </w:t>
      </w:r>
      <w:r>
        <w:rPr>
          <w:rFonts w:hint="eastAsia"/>
        </w:rPr>
        <w:t>为实体集合（时间、地点、设备、作业内容、安全措施、人员/角色等）；</w:t>
      </w:r>
    </w:p>
    <w:p w14:paraId="6DCC12EA">
      <w:pPr>
        <w:numPr>
          <w:ilvl w:val="0"/>
          <w:numId w:val="1"/>
        </w:numPr>
      </w:pPr>
      <w:r>
        <w:t>(</w:t>
      </w:r>
      <m:oMath>
        <m:r>
          <m:rPr>
            <m:sty m:val="p"/>
            <m:scr m:val="script"/>
          </m:rPr>
          <m:t>ℛ</m:t>
        </m:r>
      </m:oMath>
      <w:r>
        <w:t xml:space="preserve">) </w:t>
      </w:r>
      <w:r>
        <w:rPr>
          <w:rFonts w:hint="eastAsia"/>
        </w:rPr>
        <w:t>为关系集合（可选，由大模型从上下文中抽取并输出强结构化</w:t>
      </w:r>
      <w:r>
        <w:t xml:space="preserve"> </w:t>
      </w:r>
      <w:r>
        <w:rPr>
          <w:rFonts w:hint="eastAsia"/>
        </w:rPr>
        <w:t>JSON）；</w:t>
      </w:r>
    </w:p>
    <w:p w14:paraId="0EC99D62">
      <w:pPr>
        <w:numPr>
          <w:ilvl w:val="0"/>
          <w:numId w:val="1"/>
        </w:numPr>
      </w:pPr>
      <w:r>
        <w:t>(</w:t>
      </w:r>
      <m:oMath>
        <m:r>
          <m:rPr>
            <m:sty m:val="p"/>
            <m:scr m:val="script"/>
          </m:rPr>
          <m:t>G</m:t>
        </m:r>
      </m:oMath>
      <w:r>
        <w:t xml:space="preserve">) </w:t>
      </w:r>
      <w:r>
        <w:rPr>
          <w:rFonts w:hint="eastAsia"/>
        </w:rPr>
        <w:t>为时空知识图（可选，包含票据语义图与基础设施拓扑图及其链接边）；</w:t>
      </w:r>
    </w:p>
    <w:p w14:paraId="6AD0A3AD">
      <w:pPr>
        <w:numPr>
          <w:ilvl w:val="0"/>
          <w:numId w:val="1"/>
        </w:numPr>
      </w:pPr>
      <w:r>
        <w:t>(</w:t>
      </w:r>
      <m:oMath>
        <m:r>
          <m:rPr/>
          <m:t>Π</m:t>
        </m:r>
      </m:oMath>
      <w:r>
        <w:t xml:space="preserve">) </w:t>
      </w:r>
      <w:r>
        <w:rPr>
          <w:rFonts w:hint="eastAsia"/>
        </w:rPr>
        <w:t>为可执行策略与配置（如</w:t>
      </w:r>
      <w:r>
        <w:t xml:space="preserve"> </w:t>
      </w:r>
      <w:r>
        <w:rPr>
          <w:rStyle w:val="48"/>
        </w:rPr>
        <w:t>active_ticket_no</w:t>
      </w:r>
      <w:r>
        <w:t>、</w:t>
      </w:r>
      <w:r>
        <w:rPr>
          <w:rStyle w:val="48"/>
        </w:rPr>
        <w:t>active_from/active_to</w:t>
      </w:r>
      <w:r>
        <w:rPr>
          <w:rFonts w:hint="eastAsia"/>
        </w:rPr>
        <w:t>、工作时段与</w:t>
      </w:r>
      <w:r>
        <w:t xml:space="preserve"> </w:t>
      </w:r>
      <w:r>
        <w:rPr>
          <w:rStyle w:val="48"/>
        </w:rPr>
        <w:t>detect_*</w:t>
      </w:r>
      <w:r>
        <w:t xml:space="preserve"> </w:t>
      </w:r>
      <w:r>
        <w:rPr>
          <w:rFonts w:hint="eastAsia"/>
        </w:rPr>
        <w:t>开关）。</w:t>
      </w:r>
    </w:p>
    <w:p w14:paraId="5F2C17AF">
      <w:pPr>
        <w:pStyle w:val="23"/>
      </w:pPr>
      <w:r>
        <w:rPr>
          <w:rFonts w:hint="eastAsia"/>
        </w:rPr>
        <w:t>本课题的关键科学问题可归纳为：在噪声</w:t>
      </w:r>
      <w:r>
        <w:t xml:space="preserve"> OCR </w:t>
      </w:r>
      <w:r>
        <w:rPr>
          <w:rFonts w:hint="eastAsia"/>
        </w:rPr>
        <w:t>与领域长尾表述下，如何构建对</w:t>
      </w:r>
      <w:r>
        <w:t xml:space="preserve"> (</w:t>
      </w:r>
      <m:oMath>
        <m:r>
          <m:rPr>
            <m:sty m:val="p"/>
            <m:scr m:val="script"/>
          </m:rPr>
          <m:t>ℰ</m:t>
        </m:r>
      </m:oMath>
      <w:r>
        <w:t>)、(</w:t>
      </w:r>
      <m:oMath>
        <m:r>
          <m:rPr>
            <m:sty m:val="p"/>
            <m:scr m:val="script"/>
          </m:rPr>
          <m:t>ℛ</m:t>
        </m:r>
      </m:oMath>
      <w:r>
        <w:t>)、(</w:t>
      </w:r>
      <m:oMath>
        <m:r>
          <m:rPr>
            <m:sty m:val="p"/>
            <m:scr m:val="script"/>
          </m:rPr>
          <m:t>G</m:t>
        </m:r>
      </m:oMath>
      <w:r>
        <w:t xml:space="preserve">) </w:t>
      </w:r>
      <w:r>
        <w:rPr>
          <w:rFonts w:hint="eastAsia"/>
        </w:rPr>
        <w:t>具有一致性约束与可审计证据链的推断过程，并在系统层面将其转化为可安全落地的闭环联动配置</w:t>
      </w:r>
      <w:r>
        <w:t xml:space="preserve"> (</w:t>
      </w:r>
      <m:oMath>
        <m:r>
          <m:rPr/>
          <m:t>Π</m:t>
        </m:r>
      </m:oMath>
      <w:r>
        <w:t>)。</w:t>
      </w:r>
    </w:p>
    <w:p w14:paraId="32AF70A4">
      <w:pPr>
        <w:pStyle w:val="3"/>
      </w:pPr>
      <w:r>
        <w:rPr>
          <w:rFonts w:hint="eastAsia"/>
        </w:rPr>
        <w:t>其中</w:t>
      </w:r>
      <w:r>
        <w:t xml:space="preserve"> (</w:t>
      </w:r>
      <m:oMath>
        <m:r>
          <m:rPr>
            <m:sty m:val="p"/>
            <m:scr m:val="script"/>
          </m:rPr>
          <m:t>G</m:t>
        </m:r>
      </m:oMath>
      <w:r>
        <w:t xml:space="preserve">) </w:t>
      </w:r>
      <w:r>
        <w:rPr>
          <w:rFonts w:hint="eastAsia"/>
        </w:rPr>
        <w:t>的引入用于把“票面语义”的离散抽取结果提升为可计算、可检索、可推理的统一表示：一方面以</w:t>
      </w:r>
      <w:r>
        <w:t xml:space="preserve"> Ticket/Entity/REL </w:t>
      </w:r>
      <w:r>
        <w:rPr>
          <w:rFonts w:hint="eastAsia"/>
        </w:rPr>
        <w:t>表达票据内部语义结构与上下文关系，另一方面以</w:t>
      </w:r>
      <w:r>
        <w:t xml:space="preserve"> Location/Device/Camera </w:t>
      </w:r>
      <w:r>
        <w:rPr>
          <w:rFonts w:hint="eastAsia"/>
        </w:rPr>
        <w:t>表达站点资产与覆盖拓扑，并通过链接边把两者对齐，从而支持面向时空窗口的资源检索、路径证据回放与联动策略生成。与仅输出</w:t>
      </w:r>
      <w:r>
        <w:t xml:space="preserve"> JSON </w:t>
      </w:r>
      <w:r>
        <w:rPr>
          <w:rFonts w:hint="eastAsia"/>
        </w:rPr>
        <w:t>字段相比，图谱表达更适合承载跨票据的复用知识（别名、归属、覆盖关系）以及对“关联依据”的审计需求。</w:t>
      </w:r>
    </w:p>
    <w:p w14:paraId="355BD599">
      <w:pPr>
        <w:pStyle w:val="3"/>
      </w:pPr>
      <w:r>
        <w:rPr>
          <w:rFonts w:hint="eastAsia"/>
        </w:rPr>
        <w:t>而</w:t>
      </w:r>
      <w:r>
        <w:t xml:space="preserve"> (</w:t>
      </w:r>
      <m:oMath>
        <m:r>
          <m:rPr/>
          <m:t>Π</m:t>
        </m:r>
      </m:oMath>
      <w:r>
        <w:t xml:space="preserve">) </w:t>
      </w:r>
      <w:r>
        <w:rPr>
          <w:rFonts w:hint="eastAsia"/>
        </w:rPr>
        <w:t>的生成则体现“从语义到执行”的安全约束：仅当关键字段（票号、时间窗、地点/设备）满足一致性校验并通过阈值或复核机制后，才下发到配置管理侧；同时写入过程强调幂等与最小变更，确保在重复解析、网络重试与配置回滚场景下仍保持系统状态可控。</w:t>
      </w:r>
      <w:bookmarkStart w:id="11" w:name="_GoBack"/>
      <w:bookmarkEnd w:id="11"/>
    </w:p>
    <w:bookmarkEnd w:id="1"/>
    <w:p w14:paraId="0EDCED48">
      <w:pPr>
        <w:pStyle w:val="6"/>
      </w:pPr>
      <w:bookmarkStart w:id="2" w:name="二）复杂版面与成像噪声多模态输入的鲁棒预处理"/>
      <w:r>
        <w:rPr>
          <w:rFonts w:hint="eastAsia"/>
        </w:rPr>
        <w:t>（二）复杂版面与成像噪声：多模态输入的鲁棒预处理</w:t>
      </w:r>
    </w:p>
    <w:p w14:paraId="7FF46297">
      <w:pPr>
        <w:pStyle w:val="23"/>
      </w:pPr>
      <w:r>
        <w:rPr>
          <w:rFonts w:hint="eastAsia"/>
        </w:rPr>
        <w:t>工作票纸质化历史积累与现场拍照输入导致图像存在“噪声—倾斜—光照不均—分辨率不一致”等共性问题。本项目在</w:t>
      </w:r>
      <w:r>
        <w:t xml:space="preserve"> OCR </w:t>
      </w:r>
      <w:r>
        <w:rPr>
          <w:rFonts w:hint="eastAsia"/>
        </w:rPr>
        <w:t>前设置通用预处理链路（高斯/中值去噪、对比度增强、倾斜估计与校正、尺寸约束、二值化），以提升识别稳定性并降低下游误差传播风险。对应处理步骤可形式化描述如下。</w:t>
      </w:r>
    </w:p>
    <w:p w14:paraId="663A57AC">
      <w:pPr>
        <w:pStyle w:val="3"/>
      </w:pPr>
      <w:r>
        <w:rPr>
          <w:rFonts w:hint="eastAsia"/>
        </w:rPr>
        <w:t>1）去噪与平滑。对原始图像</w:t>
      </w:r>
      <w:r>
        <w:t xml:space="preserve"> (I) </w:t>
      </w:r>
      <w:r>
        <w:rPr>
          <w:rFonts w:hint="eastAsia"/>
        </w:rPr>
        <w:t>先施加高斯滤波，再施加中值滤波抑制椒盐噪声与细碎纹理：</w:t>
      </w:r>
    </w:p>
    <w:p w14:paraId="2E0706FF">
      <w:pPr>
        <w:pStyle w:val="49"/>
      </w:pPr>
      <w:r>
        <w:rPr>
          <w:rStyle w:val="82"/>
        </w:rPr>
        <w:t>I_G(x,y)=</w:t>
      </w:r>
      <w:r>
        <w:rPr>
          <w:rStyle w:val="69"/>
        </w:rPr>
        <w:t>\sum</w:t>
      </w:r>
      <w:r>
        <w:rPr>
          <w:rStyle w:val="82"/>
        </w:rPr>
        <w:t>_{u,v} I(x-u,y-v)</w:t>
      </w:r>
      <w:r>
        <w:rPr>
          <w:rStyle w:val="69"/>
        </w:rPr>
        <w:t>\,</w:t>
      </w:r>
      <w:r>
        <w:rPr>
          <w:rStyle w:val="82"/>
        </w:rPr>
        <w:t>G(u,v;</w:t>
      </w:r>
      <w:r>
        <w:rPr>
          <w:rStyle w:val="69"/>
        </w:rPr>
        <w:t>\sigma</w:t>
      </w:r>
      <w:r>
        <w:rPr>
          <w:rStyle w:val="82"/>
        </w:rPr>
        <w:t>),</w:t>
      </w:r>
      <w:r>
        <w:rPr>
          <w:rStyle w:val="69"/>
        </w:rPr>
        <w:t>\quad</w:t>
      </w:r>
      <w:r>
        <w:br w:type="textWrapping"/>
      </w:r>
      <w:r>
        <w:rPr>
          <w:rStyle w:val="82"/>
        </w:rPr>
        <w:t>I_M(x,y)=</w:t>
      </w:r>
      <w:r>
        <w:rPr>
          <w:rStyle w:val="69"/>
        </w:rPr>
        <w:t>\mathrm</w:t>
      </w:r>
      <w:r>
        <w:rPr>
          <w:rStyle w:val="82"/>
        </w:rPr>
        <w:t>{median}</w:t>
      </w:r>
      <w:r>
        <w:rPr>
          <w:rStyle w:val="69"/>
        </w:rPr>
        <w:t>\{</w:t>
      </w:r>
      <w:r>
        <w:rPr>
          <w:rStyle w:val="82"/>
        </w:rPr>
        <w:t>I_G(u,v)</w:t>
      </w:r>
      <w:r>
        <w:rPr>
          <w:rStyle w:val="69"/>
        </w:rPr>
        <w:t>\mid</w:t>
      </w:r>
      <w:r>
        <w:rPr>
          <w:rStyle w:val="82"/>
        </w:rPr>
        <w:t xml:space="preserve"> (u,v)</w:t>
      </w:r>
      <w:r>
        <w:rPr>
          <w:rStyle w:val="69"/>
        </w:rPr>
        <w:t>\in\Omega</w:t>
      </w:r>
      <w:r>
        <w:rPr>
          <w:rStyle w:val="82"/>
        </w:rPr>
        <w:t>_{x,y}</w:t>
      </w:r>
      <w:r>
        <w:rPr>
          <w:rStyle w:val="69"/>
        </w:rPr>
        <w:t>\}</w:t>
      </w:r>
    </w:p>
    <w:p w14:paraId="0D613D0C">
      <w:pPr>
        <w:pStyle w:val="23"/>
      </w:pPr>
      <w:r>
        <w:rPr>
          <w:rFonts w:hint="eastAsia"/>
        </w:rPr>
        <w:t>其中</w:t>
      </w:r>
      <w:r>
        <w:t xml:space="preserve"> (G(\cdot;\sigma)) </w:t>
      </w:r>
      <w:r>
        <w:rPr>
          <w:rFonts w:hint="eastAsia"/>
        </w:rPr>
        <w:t>为高斯核，局部邻域为</w:t>
      </w:r>
      <w:r>
        <w:t xml:space="preserve"> (\Omega(x,y))。</w:t>
      </w:r>
    </w:p>
    <w:p w14:paraId="5BE75F14">
      <w:pPr>
        <w:pStyle w:val="3"/>
      </w:pPr>
      <w:r>
        <w:rPr>
          <w:rFonts w:hint="eastAsia"/>
        </w:rPr>
        <w:t>2）对比度增强。对光照不均图像采用基于局部直方图均衡的</w:t>
      </w:r>
      <w:r>
        <w:t xml:space="preserve"> </w:t>
      </w:r>
      <w:r>
        <w:rPr>
          <w:rFonts w:hint="eastAsia"/>
        </w:rPr>
        <w:t>CLAHE（Contrast</w:t>
      </w:r>
      <w:r>
        <w:t xml:space="preserve"> Limited Adaptive Histogram </w:t>
      </w:r>
      <w:r>
        <w:rPr>
          <w:rFonts w:hint="eastAsia"/>
        </w:rPr>
        <w:t>Equalization）提升正文与表格线条对比度，从而改善文本行与字符边缘可分性。</w:t>
      </w:r>
    </w:p>
    <w:p w14:paraId="500EACC9">
      <w:pPr>
        <w:pStyle w:val="3"/>
      </w:pPr>
      <w:r>
        <w:rPr>
          <w:rFonts w:hint="eastAsia"/>
        </w:rPr>
        <w:t>3）倾斜估计与校正。对灰度图的边缘响应执行霍夫直线变换，利用主方向统计估计倾斜角：</w:t>
      </w:r>
    </w:p>
    <w:p w14:paraId="478B54BF">
      <w:pPr>
        <w:pStyle w:val="49"/>
      </w:pPr>
      <w:r>
        <w:rPr>
          <w:rStyle w:val="69"/>
        </w:rPr>
        <w:t>\rho</w:t>
      </w:r>
      <w:r>
        <w:rPr>
          <w:rStyle w:val="82"/>
        </w:rPr>
        <w:t>=x</w:t>
      </w:r>
      <w:r>
        <w:rPr>
          <w:rStyle w:val="69"/>
        </w:rPr>
        <w:t>\cos\theta+</w:t>
      </w:r>
      <w:r>
        <w:rPr>
          <w:rStyle w:val="82"/>
        </w:rPr>
        <w:t>y</w:t>
      </w:r>
      <w:r>
        <w:rPr>
          <w:rStyle w:val="69"/>
        </w:rPr>
        <w:t>\sin\theta</w:t>
      </w:r>
      <w:r>
        <w:rPr>
          <w:rStyle w:val="82"/>
        </w:rPr>
        <w:t>,</w:t>
      </w:r>
      <w:r>
        <w:rPr>
          <w:rStyle w:val="69"/>
        </w:rPr>
        <w:t>\quad</w:t>
      </w:r>
      <w:r>
        <w:br w:type="textWrapping"/>
      </w:r>
      <w:r>
        <w:rPr>
          <w:rStyle w:val="69"/>
        </w:rPr>
        <w:t>\hat</w:t>
      </w:r>
      <w:r>
        <w:rPr>
          <w:rStyle w:val="82"/>
        </w:rPr>
        <w:t>{</w:t>
      </w:r>
      <w:r>
        <w:rPr>
          <w:rStyle w:val="69"/>
        </w:rPr>
        <w:t>\alpha</w:t>
      </w:r>
      <w:r>
        <w:rPr>
          <w:rStyle w:val="82"/>
        </w:rPr>
        <w:t>}=</w:t>
      </w:r>
      <w:r>
        <w:rPr>
          <w:rStyle w:val="69"/>
        </w:rPr>
        <w:t>\mathrm</w:t>
      </w:r>
      <w:r>
        <w:rPr>
          <w:rStyle w:val="82"/>
        </w:rPr>
        <w:t>{median}</w:t>
      </w:r>
      <w:r>
        <w:rPr>
          <w:rStyle w:val="69"/>
        </w:rPr>
        <w:t>\{\theta</w:t>
      </w:r>
      <w:r>
        <w:rPr>
          <w:rStyle w:val="82"/>
        </w:rPr>
        <w:t>_i</w:t>
      </w:r>
      <w:r>
        <w:rPr>
          <w:rStyle w:val="69"/>
        </w:rPr>
        <w:t>\rightarrow</w:t>
      </w:r>
      <w:r>
        <w:rPr>
          <w:rStyle w:val="82"/>
        </w:rPr>
        <w:t xml:space="preserve"> </w:t>
      </w:r>
      <w:r>
        <w:rPr>
          <w:rStyle w:val="69"/>
        </w:rPr>
        <w:t>\alpha</w:t>
      </w:r>
      <w:r>
        <w:rPr>
          <w:rStyle w:val="82"/>
        </w:rPr>
        <w:t>_i</w:t>
      </w:r>
      <w:r>
        <w:rPr>
          <w:rStyle w:val="69"/>
        </w:rPr>
        <w:t>\}</w:t>
      </w:r>
    </w:p>
    <w:p w14:paraId="64C145A8">
      <w:pPr>
        <w:pStyle w:val="23"/>
      </w:pPr>
      <w:r>
        <w:rPr>
          <w:rFonts w:hint="eastAsia"/>
        </w:rPr>
        <w:t>对图像施加旋转变换</w:t>
      </w:r>
      <w:r>
        <w:t xml:space="preserve"> (R(-\hat{\alpha})) </w:t>
      </w:r>
      <w:r>
        <w:rPr>
          <w:rFonts w:hint="eastAsia"/>
        </w:rPr>
        <w:t>完成纠偏，以减少</w:t>
      </w:r>
      <w:r>
        <w:t xml:space="preserve"> OCR </w:t>
      </w:r>
      <w:r>
        <w:rPr>
          <w:rFonts w:hint="eastAsia"/>
        </w:rPr>
        <w:t>在行序与切分上的系统性偏差。</w:t>
      </w:r>
    </w:p>
    <w:p w14:paraId="0049155A">
      <w:pPr>
        <w:pStyle w:val="3"/>
      </w:pPr>
      <w:r>
        <w:rPr>
          <w:rFonts w:hint="eastAsia"/>
        </w:rPr>
        <w:t>4）二值化与尺寸约束。使用</w:t>
      </w:r>
      <w:r>
        <w:t xml:space="preserve"> Otsu </w:t>
      </w:r>
      <w:r>
        <w:rPr>
          <w:rFonts w:hint="eastAsia"/>
        </w:rPr>
        <w:t>方法确定全局阈值</w:t>
      </w:r>
      <w:r>
        <w:t xml:space="preserve"> </w:t>
      </w:r>
      <w:r>
        <w:rPr>
          <w:rFonts w:hint="eastAsia"/>
        </w:rPr>
        <w:t>(t^*)：</w:t>
      </w:r>
    </w:p>
    <w:p w14:paraId="1E81348F">
      <w:pPr>
        <w:pStyle w:val="49"/>
      </w:pPr>
      <w:r>
        <w:rPr>
          <w:rStyle w:val="82"/>
        </w:rPr>
        <w:t>t^</w:t>
      </w:r>
      <w:r>
        <w:rPr>
          <w:rStyle w:val="69"/>
        </w:rPr>
        <w:t>\*</w:t>
      </w:r>
      <w:r>
        <w:rPr>
          <w:rStyle w:val="82"/>
        </w:rPr>
        <w:t>=</w:t>
      </w:r>
      <w:r>
        <w:rPr>
          <w:rStyle w:val="69"/>
        </w:rPr>
        <w:t>\arg\max</w:t>
      </w:r>
      <w:r>
        <w:rPr>
          <w:rStyle w:val="82"/>
        </w:rPr>
        <w:t xml:space="preserve">_t </w:t>
      </w:r>
      <w:r>
        <w:rPr>
          <w:rStyle w:val="69"/>
        </w:rPr>
        <w:t>\sigma</w:t>
      </w:r>
      <w:r>
        <w:rPr>
          <w:rStyle w:val="82"/>
        </w:rPr>
        <w:t>_B^2(t)</w:t>
      </w:r>
    </w:p>
    <w:p w14:paraId="3E24CEBF">
      <w:pPr>
        <w:pStyle w:val="23"/>
      </w:pPr>
      <w:r>
        <w:rPr>
          <w:rFonts w:hint="eastAsia"/>
        </w:rPr>
        <w:t>并对图像最长边进行上限约束以控制推理资源消耗。上述预处理使“图像—文字”跨模态转换阶段更鲁棒，为后续语义抽取提供稳定输入。</w:t>
      </w:r>
    </w:p>
    <w:p w14:paraId="09A90010">
      <w:pPr>
        <w:pStyle w:val="3"/>
      </w:pPr>
      <w:r>
        <w:rPr>
          <w:rFonts w:hint="eastAsia"/>
        </w:rPr>
        <w:t>5）版面块级结构化表达与文本重建。工作票文本通常同时包含标题、表格、段落、表单等结构。本项目在</w:t>
      </w:r>
      <w:r>
        <w:t xml:space="preserve"> OCR </w:t>
      </w:r>
      <w:r>
        <w:rPr>
          <w:rFonts w:hint="eastAsia"/>
        </w:rPr>
        <w:t>输出侧保留“版面块”信息（块类型与块内容），并在文本侧执行块级重建以形成可控输入。记版面块集合与单块表示如下：</w:t>
      </w:r>
    </w:p>
    <w:p w14:paraId="20B3B6F2">
      <w:pPr>
        <w:pStyle w:val="49"/>
      </w:pPr>
      <w:r>
        <w:rPr>
          <w:rStyle w:val="69"/>
        </w:rPr>
        <w:t>\mathcal</w:t>
      </w:r>
      <w:r>
        <w:rPr>
          <w:rStyle w:val="82"/>
        </w:rPr>
        <w:t>{B}=</w:t>
      </w:r>
      <w:r>
        <w:rPr>
          <w:rStyle w:val="69"/>
        </w:rPr>
        <w:t>\{</w:t>
      </w:r>
      <w:r>
        <w:rPr>
          <w:rStyle w:val="82"/>
        </w:rPr>
        <w:t>b_i</w:t>
      </w:r>
      <w:r>
        <w:rPr>
          <w:rStyle w:val="69"/>
        </w:rPr>
        <w:t>\}</w:t>
      </w:r>
      <w:r>
        <w:rPr>
          <w:rStyle w:val="82"/>
        </w:rPr>
        <w:t>_{i=1}^{|</w:t>
      </w:r>
      <w:r>
        <w:rPr>
          <w:rStyle w:val="69"/>
        </w:rPr>
        <w:t>\mathcal</w:t>
      </w:r>
      <w:r>
        <w:rPr>
          <w:rStyle w:val="82"/>
        </w:rPr>
        <w:t>{B}|}</w:t>
      </w:r>
      <w:r>
        <w:br w:type="textWrapping"/>
      </w:r>
      <w:r>
        <w:br w:type="textWrapping"/>
      </w:r>
      <w:r>
        <w:rPr>
          <w:rStyle w:val="82"/>
        </w:rPr>
        <w:t>b_i=</w:t>
      </w:r>
      <w:r>
        <w:rPr>
          <w:rStyle w:val="69"/>
        </w:rPr>
        <w:t>\langle</w:t>
      </w:r>
      <w:r>
        <w:rPr>
          <w:rStyle w:val="82"/>
        </w:rPr>
        <w:t xml:space="preserve"> </w:t>
      </w:r>
      <w:r>
        <w:rPr>
          <w:rStyle w:val="69"/>
        </w:rPr>
        <w:t>\mathrm</w:t>
      </w:r>
      <w:r>
        <w:rPr>
          <w:rStyle w:val="82"/>
        </w:rPr>
        <w:t>{label}_i,</w:t>
      </w:r>
      <w:r>
        <w:rPr>
          <w:rStyle w:val="69"/>
        </w:rPr>
        <w:t>\mathrm</w:t>
      </w:r>
      <w:r>
        <w:rPr>
          <w:rStyle w:val="82"/>
        </w:rPr>
        <w:t>{content}_i,</w:t>
      </w:r>
      <w:r>
        <w:rPr>
          <w:rStyle w:val="69"/>
        </w:rPr>
        <w:t>\mathrm</w:t>
      </w:r>
      <w:r>
        <w:rPr>
          <w:rStyle w:val="82"/>
        </w:rPr>
        <w:t xml:space="preserve">{bbox}_i </w:t>
      </w:r>
      <w:r>
        <w:rPr>
          <w:rStyle w:val="69"/>
        </w:rPr>
        <w:t>\rangle</w:t>
      </w:r>
      <w:r>
        <w:rPr>
          <w:rStyle w:val="82"/>
        </w:rPr>
        <w:t>,</w:t>
      </w:r>
      <w:r>
        <w:rPr>
          <w:rStyle w:val="69"/>
        </w:rPr>
        <w:t>\quad</w:t>
      </w:r>
      <w:r>
        <w:rPr>
          <w:rStyle w:val="82"/>
        </w:rPr>
        <w:t xml:space="preserve"> </w:t>
      </w:r>
      <w:r>
        <w:rPr>
          <w:rStyle w:val="69"/>
        </w:rPr>
        <w:t>\mathrm</w:t>
      </w:r>
      <w:r>
        <w:rPr>
          <w:rStyle w:val="82"/>
        </w:rPr>
        <w:t xml:space="preserve">{label}_i </w:t>
      </w:r>
      <w:r>
        <w:rPr>
          <w:rStyle w:val="69"/>
        </w:rPr>
        <w:t>\in</w:t>
      </w:r>
      <w:r>
        <w:rPr>
          <w:rStyle w:val="82"/>
        </w:rPr>
        <w:t xml:space="preserve"> </w:t>
      </w:r>
      <w:r>
        <w:rPr>
          <w:rStyle w:val="69"/>
        </w:rPr>
        <w:t>\{\text</w:t>
      </w:r>
      <w:r>
        <w:rPr>
          <w:rStyle w:val="82"/>
        </w:rPr>
        <w:t>{doc</w:t>
      </w:r>
      <w:r>
        <w:rPr>
          <w:rStyle w:val="69"/>
        </w:rPr>
        <w:t>\_</w:t>
      </w:r>
      <w:r>
        <w:rPr>
          <w:rStyle w:val="82"/>
        </w:rPr>
        <w:t>title},</w:t>
      </w:r>
      <w:r>
        <w:rPr>
          <w:rStyle w:val="69"/>
        </w:rPr>
        <w:t>\text</w:t>
      </w:r>
      <w:r>
        <w:rPr>
          <w:rStyle w:val="82"/>
        </w:rPr>
        <w:t>{text},</w:t>
      </w:r>
      <w:r>
        <w:rPr>
          <w:rStyle w:val="69"/>
        </w:rPr>
        <w:t>\text</w:t>
      </w:r>
      <w:r>
        <w:rPr>
          <w:rStyle w:val="82"/>
        </w:rPr>
        <w:t>{paragraph},</w:t>
      </w:r>
      <w:r>
        <w:rPr>
          <w:rStyle w:val="69"/>
        </w:rPr>
        <w:t>\text</w:t>
      </w:r>
      <w:r>
        <w:rPr>
          <w:rStyle w:val="82"/>
        </w:rPr>
        <w:t>{form},</w:t>
      </w:r>
      <w:r>
        <w:rPr>
          <w:rStyle w:val="69"/>
        </w:rPr>
        <w:t>\text</w:t>
      </w:r>
      <w:r>
        <w:rPr>
          <w:rStyle w:val="82"/>
        </w:rPr>
        <w:t>{table},</w:t>
      </w:r>
      <w:r>
        <w:rPr>
          <w:rStyle w:val="69"/>
        </w:rPr>
        <w:t>\ldots\}</w:t>
      </w:r>
    </w:p>
    <w:p w14:paraId="008DBB46">
      <w:pPr>
        <w:pStyle w:val="23"/>
      </w:pPr>
      <w:r>
        <w:rPr>
          <w:rFonts w:hint="eastAsia"/>
        </w:rPr>
        <w:t>其中</w:t>
      </w:r>
      <w:r>
        <w:t xml:space="preserve"> (\mathrm{bbox}(i)=(x_i,y_i,w_i,h_i)) </w:t>
      </w:r>
      <w:r>
        <w:rPr>
          <w:rFonts w:hint="eastAsia"/>
        </w:rPr>
        <w:t>为块的空间框，用于定义跨块的阅读顺序。采用“自上而下、从左到右”的稳定排序算子</w:t>
      </w:r>
      <w:r>
        <w:t xml:space="preserve"> </w:t>
      </w:r>
      <w:r>
        <w:rPr>
          <w:rFonts w:hint="eastAsia"/>
        </w:rPr>
        <w:t>(S(\cdot))（先按</w:t>
      </w:r>
      <w:r>
        <w:t xml:space="preserve"> (y) </w:t>
      </w:r>
      <w:r>
        <w:rPr>
          <w:rFonts w:hint="eastAsia"/>
        </w:rPr>
        <w:t>排序、再按</w:t>
      </w:r>
      <w:r>
        <w:t xml:space="preserve"> (x) </w:t>
      </w:r>
      <w:r>
        <w:rPr>
          <w:rFonts w:hint="eastAsia"/>
        </w:rPr>
        <w:t>排序），得到线性化块序列。文本重建函数</w:t>
      </w:r>
      <w:r>
        <w:t xml:space="preserve"> (g(\cdot)) </w:t>
      </w:r>
      <w:r>
        <w:rPr>
          <w:rFonts w:hint="eastAsia"/>
        </w:rPr>
        <w:t>将块序列映射为可控的模型输入</w:t>
      </w:r>
      <w:r>
        <w:t xml:space="preserve"> </w:t>
      </w:r>
      <w:r>
        <w:rPr>
          <w:rFonts w:hint="eastAsia"/>
        </w:rPr>
        <w:t>(X)：</w:t>
      </w:r>
    </w:p>
    <w:p w14:paraId="1B2E1A28">
      <w:pPr>
        <w:pStyle w:val="49"/>
      </w:pPr>
      <w:r>
        <w:rPr>
          <w:rStyle w:val="82"/>
        </w:rPr>
        <w:t>S(</w:t>
      </w:r>
      <w:r>
        <w:rPr>
          <w:rStyle w:val="69"/>
        </w:rPr>
        <w:t>\mathcal</w:t>
      </w:r>
      <w:r>
        <w:rPr>
          <w:rStyle w:val="82"/>
        </w:rPr>
        <w:t>{B})=(b_{(1)},</w:t>
      </w:r>
      <w:r>
        <w:rPr>
          <w:rStyle w:val="69"/>
        </w:rPr>
        <w:t>\ldots</w:t>
      </w:r>
      <w:r>
        <w:rPr>
          <w:rStyle w:val="82"/>
        </w:rPr>
        <w:t>,b_{(|</w:t>
      </w:r>
      <w:r>
        <w:rPr>
          <w:rStyle w:val="69"/>
        </w:rPr>
        <w:t>\mathcal</w:t>
      </w:r>
      <w:r>
        <w:rPr>
          <w:rStyle w:val="82"/>
        </w:rPr>
        <w:t>{B}|)})</w:t>
      </w:r>
      <w:r>
        <w:br w:type="textWrapping"/>
      </w:r>
      <w:r>
        <w:br w:type="textWrapping"/>
      </w:r>
      <w:r>
        <w:rPr>
          <w:rStyle w:val="82"/>
        </w:rPr>
        <w:t>X=g(</w:t>
      </w:r>
      <w:r>
        <w:rPr>
          <w:rStyle w:val="69"/>
        </w:rPr>
        <w:t>\mathcal</w:t>
      </w:r>
      <w:r>
        <w:rPr>
          <w:rStyle w:val="82"/>
        </w:rPr>
        <w:t>{B})=</w:t>
      </w:r>
      <w:r>
        <w:rPr>
          <w:rStyle w:val="69"/>
        </w:rPr>
        <w:t>\bigoplus</w:t>
      </w:r>
      <w:r>
        <w:rPr>
          <w:rStyle w:val="82"/>
        </w:rPr>
        <w:t>_{k=1}^{|</w:t>
      </w:r>
      <w:r>
        <w:rPr>
          <w:rStyle w:val="69"/>
        </w:rPr>
        <w:t>\mathcal</w:t>
      </w:r>
      <w:r>
        <w:rPr>
          <w:rStyle w:val="82"/>
        </w:rPr>
        <w:t>{B}|}</w:t>
      </w:r>
      <w:r>
        <w:rPr>
          <w:rStyle w:val="69"/>
        </w:rPr>
        <w:t>\big</w:t>
      </w:r>
      <w:r>
        <w:rPr>
          <w:rStyle w:val="82"/>
        </w:rPr>
        <w:t>[</w:t>
      </w:r>
      <w:r>
        <w:rPr>
          <w:rStyle w:val="69"/>
        </w:rPr>
        <w:t>\langle</w:t>
      </w:r>
      <w:r>
        <w:rPr>
          <w:rStyle w:val="82"/>
        </w:rPr>
        <w:t xml:space="preserve"> </w:t>
      </w:r>
      <w:r>
        <w:rPr>
          <w:rStyle w:val="69"/>
        </w:rPr>
        <w:t>\mathrm</w:t>
      </w:r>
      <w:r>
        <w:rPr>
          <w:rStyle w:val="82"/>
        </w:rPr>
        <w:t xml:space="preserve">{label}_{(k)} </w:t>
      </w:r>
      <w:r>
        <w:rPr>
          <w:rStyle w:val="69"/>
        </w:rPr>
        <w:t>\rangle</w:t>
      </w:r>
      <w:r>
        <w:rPr>
          <w:rStyle w:val="82"/>
        </w:rPr>
        <w:t xml:space="preserve"> </w:t>
      </w:r>
      <w:r>
        <w:rPr>
          <w:rStyle w:val="69"/>
        </w:rPr>
        <w:t xml:space="preserve">\ \Vert\ </w:t>
      </w:r>
      <w:r>
        <w:rPr>
          <w:rStyle w:val="82"/>
        </w:rPr>
        <w:t xml:space="preserve"> </w:t>
      </w:r>
      <w:r>
        <w:rPr>
          <w:rStyle w:val="69"/>
        </w:rPr>
        <w:t>\mathrm</w:t>
      </w:r>
      <w:r>
        <w:rPr>
          <w:rStyle w:val="82"/>
        </w:rPr>
        <w:t>{clean}(</w:t>
      </w:r>
      <w:r>
        <w:rPr>
          <w:rStyle w:val="69"/>
        </w:rPr>
        <w:t>\mathrm</w:t>
      </w:r>
      <w:r>
        <w:rPr>
          <w:rStyle w:val="82"/>
        </w:rPr>
        <w:t>{content}_{(k)})</w:t>
      </w:r>
      <w:r>
        <w:rPr>
          <w:rStyle w:val="69"/>
        </w:rPr>
        <w:t>\big</w:t>
      </w:r>
      <w:r>
        <w:rPr>
          <w:rStyle w:val="82"/>
        </w:rPr>
        <w:t>]</w:t>
      </w:r>
    </w:p>
    <w:p w14:paraId="6605F9F7">
      <w:pPr>
        <w:pStyle w:val="23"/>
      </w:pPr>
      <w:r>
        <w:rPr>
          <w:rFonts w:hint="eastAsia"/>
        </w:rPr>
        <w:t>其中</w:t>
      </w:r>
      <w:r>
        <w:t xml:space="preserve"> (\oplus) </w:t>
      </w:r>
      <w:r>
        <w:rPr>
          <w:rFonts w:hint="eastAsia"/>
        </w:rPr>
        <w:t>表示按块拼接，(\Vert)</w:t>
      </w:r>
      <w:r>
        <w:t xml:space="preserve"> </w:t>
      </w:r>
      <w:r>
        <w:rPr>
          <w:rFonts w:hint="eastAsia"/>
        </w:rPr>
        <w:t>表示标签与内容拼接；(\mathrm{clean}(\cdot))</w:t>
      </w:r>
      <w:r>
        <w:t xml:space="preserve"> </w:t>
      </w:r>
      <w:r>
        <w:rPr>
          <w:rFonts w:hint="eastAsia"/>
        </w:rPr>
        <w:t>为规则化净化算子（去</w:t>
      </w:r>
      <w:r>
        <w:t xml:space="preserve"> HTML </w:t>
      </w:r>
      <w:r>
        <w:rPr>
          <w:rFonts w:hint="eastAsia"/>
        </w:rPr>
        <w:t>标签、合并行列分隔符、压缩空白等）。该“保留结构—再净化—显式标签化”的策略相比直接拼接纯文本更利于错误定位与可解释审计，并能在工程侧通过块级回放快速定位</w:t>
      </w:r>
      <w:r>
        <w:t xml:space="preserve"> OCR </w:t>
      </w:r>
      <w:r>
        <w:rPr>
          <w:rFonts w:hint="eastAsia"/>
        </w:rPr>
        <w:t>或抽取误差来源。复杂度上，块排序为</w:t>
      </w:r>
      <w:r>
        <w:t xml:space="preserve"> </w:t>
      </w:r>
      <w:r>
        <w:rPr>
          <w:rFonts w:hint="eastAsia"/>
        </w:rPr>
        <w:t>(O(|\mathcal{B}|\log|\mathcal{B}|))，块净化与拼接近似为</w:t>
      </w:r>
      <w:r>
        <w:t xml:space="preserve"> (O(|X|))。</w:t>
      </w:r>
    </w:p>
    <w:bookmarkEnd w:id="2"/>
    <w:p w14:paraId="7E22BAD1">
      <w:pPr>
        <w:pStyle w:val="6"/>
      </w:pPr>
      <w:bookmarkStart w:id="3" w:name="三）字段长尾与易混类别mrc-ner-与规则补全的联合机制"/>
      <w:r>
        <w:rPr>
          <w:rFonts w:hint="eastAsia"/>
        </w:rPr>
        <w:t>（三）字段长尾与易混类别：MRC-NER</w:t>
      </w:r>
      <w:r>
        <w:t xml:space="preserve"> </w:t>
      </w:r>
      <w:r>
        <w:rPr>
          <w:rFonts w:hint="eastAsia"/>
        </w:rPr>
        <w:t>与规则补全的联合机制</w:t>
      </w:r>
    </w:p>
    <w:p w14:paraId="090FB27D">
      <w:pPr>
        <w:pStyle w:val="23"/>
      </w:pPr>
      <w:r>
        <w:rPr>
          <w:rFonts w:hint="eastAsia"/>
        </w:rPr>
        <w:t>1）实体抽取任务定义。将工作票解析建模为从票面文本</w:t>
      </w:r>
      <w:r>
        <w:t xml:space="preserve"> (X) </w:t>
      </w:r>
      <w:r>
        <w:rPr>
          <w:rFonts w:hint="eastAsia"/>
        </w:rPr>
        <w:t>中抽取实体集合</w:t>
      </w:r>
      <w:r>
        <w:t xml:space="preserve"> </w:t>
      </w:r>
      <w:r>
        <w:rPr>
          <w:rFonts w:hint="eastAsia"/>
        </w:rPr>
        <w:t>(\mathcal{E}={e_k})（设备、地点、时间、作业任务、安全措施、人员等），并以结构化形式输出：</w:t>
      </w:r>
    </w:p>
    <w:p w14:paraId="74D0E8CD">
      <w:pPr>
        <w:pStyle w:val="49"/>
      </w:pPr>
      <w:r>
        <w:rPr>
          <w:rStyle w:val="82"/>
        </w:rPr>
        <w:t>e_k=</w:t>
      </w:r>
      <w:r>
        <w:rPr>
          <w:rStyle w:val="69"/>
        </w:rPr>
        <w:t>\langle</w:t>
      </w:r>
      <w:r>
        <w:rPr>
          <w:rStyle w:val="82"/>
        </w:rPr>
        <w:t xml:space="preserve"> </w:t>
      </w:r>
      <w:r>
        <w:rPr>
          <w:rStyle w:val="69"/>
        </w:rPr>
        <w:t>\text</w:t>
      </w:r>
      <w:r>
        <w:rPr>
          <w:rStyle w:val="82"/>
        </w:rPr>
        <w:t>{text}_k,</w:t>
      </w:r>
      <w:r>
        <w:rPr>
          <w:rStyle w:val="69"/>
        </w:rPr>
        <w:t>\text</w:t>
      </w:r>
      <w:r>
        <w:rPr>
          <w:rStyle w:val="82"/>
        </w:rPr>
        <w:t>{type}_k,</w:t>
      </w:r>
      <w:r>
        <w:rPr>
          <w:rStyle w:val="69"/>
        </w:rPr>
        <w:t>\text</w:t>
      </w:r>
      <w:r>
        <w:rPr>
          <w:rStyle w:val="82"/>
        </w:rPr>
        <w:t>{label}_k,</w:t>
      </w:r>
      <w:r>
        <w:rPr>
          <w:rStyle w:val="69"/>
        </w:rPr>
        <w:t>\text</w:t>
      </w:r>
      <w:r>
        <w:rPr>
          <w:rStyle w:val="82"/>
        </w:rPr>
        <w:t>{pos}_k</w:t>
      </w:r>
      <w:r>
        <w:rPr>
          <w:rStyle w:val="69"/>
        </w:rPr>
        <w:t>\rangle</w:t>
      </w:r>
    </w:p>
    <w:p w14:paraId="30E8D18E">
      <w:pPr>
        <w:pStyle w:val="23"/>
      </w:pPr>
      <w:r>
        <w:rPr>
          <w:rFonts w:hint="eastAsia"/>
        </w:rPr>
        <w:t>其中</w:t>
      </w:r>
      <w:r>
        <w:t xml:space="preserve"> (\text{pos}(k)) </w:t>
      </w:r>
      <w:r>
        <w:rPr>
          <w:rFonts w:hint="eastAsia"/>
        </w:rPr>
        <w:t>可包含起止位置（若可得），用于进一步校验与溯源。</w:t>
      </w:r>
    </w:p>
    <w:p w14:paraId="337C23E1">
      <w:pPr>
        <w:pStyle w:val="3"/>
      </w:pPr>
      <w:r>
        <w:rPr>
          <w:rFonts w:hint="eastAsia"/>
        </w:rPr>
        <w:t>2）阅读理解式实体识别（MRC-NER）。针对每一类实体</w:t>
      </w:r>
      <w:r>
        <w:t xml:space="preserve"> (c\in\mathcal{C}) </w:t>
      </w:r>
      <w:r>
        <w:rPr>
          <w:rFonts w:hint="eastAsia"/>
        </w:rPr>
        <w:t>设计查询问题</w:t>
      </w:r>
      <w:r>
        <w:t xml:space="preserve"> </w:t>
      </w:r>
      <w:r>
        <w:rPr>
          <w:rFonts w:hint="eastAsia"/>
        </w:rPr>
        <w:t>(q_c)，将实体识别转化为“问题—上下文”阅读理解任务。在</w:t>
      </w:r>
      <w:r>
        <w:t xml:space="preserve"> token </w:t>
      </w:r>
      <w:r>
        <w:rPr>
          <w:rFonts w:hint="eastAsia"/>
        </w:rPr>
        <w:t>序列上预测答案起止位置分布</w:t>
      </w:r>
      <w:r>
        <w:t xml:space="preserve"> (p_s(i\mid X,q_c))、(p_e(j\mid </w:t>
      </w:r>
      <w:r>
        <w:rPr>
          <w:rFonts w:hint="eastAsia"/>
        </w:rPr>
        <w:t>X,q_c))，并以跨度概率得分选择候选实体：</w:t>
      </w:r>
    </w:p>
    <w:p w14:paraId="4386484D">
      <w:pPr>
        <w:pStyle w:val="49"/>
      </w:pPr>
      <w:r>
        <w:rPr>
          <w:rStyle w:val="69"/>
        </w:rPr>
        <w:t>\mathrm</w:t>
      </w:r>
      <w:r>
        <w:rPr>
          <w:rStyle w:val="82"/>
        </w:rPr>
        <w:t>{score}(i,j)=p_s(i</w:t>
      </w:r>
      <w:r>
        <w:rPr>
          <w:rStyle w:val="69"/>
        </w:rPr>
        <w:t>\mid</w:t>
      </w:r>
      <w:r>
        <w:rPr>
          <w:rStyle w:val="82"/>
        </w:rPr>
        <w:t xml:space="preserve"> X,q_c)</w:t>
      </w:r>
      <w:r>
        <w:rPr>
          <w:rStyle w:val="69"/>
        </w:rPr>
        <w:t>\cdot</w:t>
      </w:r>
      <w:r>
        <w:rPr>
          <w:rStyle w:val="82"/>
        </w:rPr>
        <w:t xml:space="preserve"> p_e(j</w:t>
      </w:r>
      <w:r>
        <w:rPr>
          <w:rStyle w:val="69"/>
        </w:rPr>
        <w:t>\mid</w:t>
      </w:r>
      <w:r>
        <w:rPr>
          <w:rStyle w:val="82"/>
        </w:rPr>
        <w:t xml:space="preserve"> X,q_c),</w:t>
      </w:r>
      <w:r>
        <w:rPr>
          <w:rStyle w:val="69"/>
        </w:rPr>
        <w:t>\quad</w:t>
      </w:r>
      <w:r>
        <w:rPr>
          <w:rStyle w:val="82"/>
        </w:rPr>
        <w:t xml:space="preserve"> i</w:t>
      </w:r>
      <w:r>
        <w:rPr>
          <w:rStyle w:val="69"/>
        </w:rPr>
        <w:t>\le</w:t>
      </w:r>
      <w:r>
        <w:rPr>
          <w:rStyle w:val="82"/>
        </w:rPr>
        <w:t xml:space="preserve"> j</w:t>
      </w:r>
    </w:p>
    <w:p w14:paraId="5A15D550">
      <w:pPr>
        <w:pStyle w:val="23"/>
      </w:pPr>
      <w:r>
        <w:rPr>
          <w:rFonts w:hint="eastAsia"/>
        </w:rPr>
        <w:t>本项目已在工程侧固化了面向工作票的实体查询集合（如</w:t>
      </w:r>
      <w:r>
        <w:t xml:space="preserve"> EQUIPMENT、LOCATION、TIME、SAFETY、TASK、RISK </w:t>
      </w:r>
      <w:r>
        <w:rPr>
          <w:rFonts w:hint="eastAsia"/>
        </w:rPr>
        <w:t>等），用于覆盖电力作业关键语义要素。</w:t>
      </w:r>
    </w:p>
    <w:p w14:paraId="4F032917">
      <w:pPr>
        <w:pStyle w:val="3"/>
      </w:pPr>
      <w:r>
        <w:rPr>
          <w:rFonts w:hint="eastAsia"/>
        </w:rPr>
        <w:t>3）训练目标与推断准则（学术口径）。对每一类查询</w:t>
      </w:r>
      <w:r>
        <w:t xml:space="preserve"> (q_c) </w:t>
      </w:r>
      <w:r>
        <w:rPr>
          <w:rFonts w:hint="eastAsia"/>
        </w:rPr>
        <w:t>，设</w:t>
      </w:r>
      <w:r>
        <w:t xml:space="preserve"> token </w:t>
      </w:r>
      <w:r>
        <w:rPr>
          <w:rFonts w:hint="eastAsia"/>
        </w:rPr>
        <w:t>序列长度为</w:t>
      </w:r>
      <w:r>
        <w:t xml:space="preserve"> </w:t>
      </w:r>
      <w:r>
        <w:rPr>
          <w:rFonts w:hint="eastAsia"/>
        </w:rPr>
        <w:t>(L)，模型输出起点与终点的概率分布</w:t>
      </w:r>
      <w:r>
        <w:t xml:space="preserve"> (\mathbf{p}</w:t>
      </w:r>
      <w:r>
        <w:rPr>
          <w:vertAlign w:val="superscript"/>
        </w:rPr>
        <w:t>{(c,s)},\mathbf{p}</w:t>
      </w:r>
      <w:r>
        <w:rPr>
          <w:rFonts w:hint="eastAsia"/>
        </w:rPr>
        <w:t>{(c,e)}\in\mathbb{R}^L)。常用的监督学习目标可定义为起止位置的交叉熵损失之和：</w:t>
      </w:r>
    </w:p>
    <w:p w14:paraId="37B11E75">
      <w:pPr>
        <w:pStyle w:val="49"/>
      </w:pPr>
      <w:r>
        <w:rPr>
          <w:rStyle w:val="69"/>
        </w:rPr>
        <w:t>\mathcal</w:t>
      </w:r>
      <w:r>
        <w:rPr>
          <w:rStyle w:val="82"/>
        </w:rPr>
        <w:t>{L}_{</w:t>
      </w:r>
      <w:r>
        <w:rPr>
          <w:rStyle w:val="69"/>
        </w:rPr>
        <w:t>\mathrm</w:t>
      </w:r>
      <w:r>
        <w:rPr>
          <w:rStyle w:val="82"/>
        </w:rPr>
        <w:t>{mrc}}^{(c)}=-</w:t>
      </w:r>
      <w:r>
        <w:rPr>
          <w:rStyle w:val="69"/>
        </w:rPr>
        <w:t>\log</w:t>
      </w:r>
      <w:r>
        <w:rPr>
          <w:rStyle w:val="82"/>
        </w:rPr>
        <w:t xml:space="preserve"> </w:t>
      </w:r>
      <w:r>
        <w:rPr>
          <w:rStyle w:val="69"/>
        </w:rPr>
        <w:t>\mathbf</w:t>
      </w:r>
      <w:r>
        <w:rPr>
          <w:rStyle w:val="82"/>
        </w:rPr>
        <w:t>{p}^{(c)}_s(y_s)-</w:t>
      </w:r>
      <w:r>
        <w:rPr>
          <w:rStyle w:val="69"/>
        </w:rPr>
        <w:t>\log</w:t>
      </w:r>
      <w:r>
        <w:rPr>
          <w:rStyle w:val="82"/>
        </w:rPr>
        <w:t xml:space="preserve"> </w:t>
      </w:r>
      <w:r>
        <w:rPr>
          <w:rStyle w:val="69"/>
        </w:rPr>
        <w:t>\mathbf</w:t>
      </w:r>
      <w:r>
        <w:rPr>
          <w:rStyle w:val="82"/>
        </w:rPr>
        <w:t>{p}^{(c)}_e(y_e),</w:t>
      </w:r>
      <w:r>
        <w:rPr>
          <w:rStyle w:val="69"/>
        </w:rPr>
        <w:t>\quad</w:t>
      </w:r>
      <w:r>
        <w:br w:type="textWrapping"/>
      </w:r>
      <w:r>
        <w:rPr>
          <w:rStyle w:val="69"/>
        </w:rPr>
        <w:t>\mathcal</w:t>
      </w:r>
      <w:r>
        <w:rPr>
          <w:rStyle w:val="82"/>
        </w:rPr>
        <w:t>{L}_{</w:t>
      </w:r>
      <w:r>
        <w:rPr>
          <w:rStyle w:val="69"/>
        </w:rPr>
        <w:t>\mathrm</w:t>
      </w:r>
      <w:r>
        <w:rPr>
          <w:rStyle w:val="82"/>
        </w:rPr>
        <w:t>{mrc}}=</w:t>
      </w:r>
      <w:r>
        <w:rPr>
          <w:rStyle w:val="69"/>
        </w:rPr>
        <w:t>\sum</w:t>
      </w:r>
      <w:r>
        <w:rPr>
          <w:rStyle w:val="82"/>
        </w:rPr>
        <w:t>_{c</w:t>
      </w:r>
      <w:r>
        <w:rPr>
          <w:rStyle w:val="69"/>
        </w:rPr>
        <w:t>\in\mathcal</w:t>
      </w:r>
      <w:r>
        <w:rPr>
          <w:rStyle w:val="82"/>
        </w:rPr>
        <w:t>{C}}</w:t>
      </w:r>
      <w:r>
        <w:rPr>
          <w:rStyle w:val="69"/>
        </w:rPr>
        <w:t>\mathcal</w:t>
      </w:r>
      <w:r>
        <w:rPr>
          <w:rStyle w:val="82"/>
        </w:rPr>
        <w:t>{L}_{</w:t>
      </w:r>
      <w:r>
        <w:rPr>
          <w:rStyle w:val="69"/>
        </w:rPr>
        <w:t>\mathrm</w:t>
      </w:r>
      <w:r>
        <w:rPr>
          <w:rStyle w:val="82"/>
        </w:rPr>
        <w:t>{mrc}}^{(c)}</w:t>
      </w:r>
    </w:p>
    <w:p w14:paraId="35E0FD07">
      <w:pPr>
        <w:pStyle w:val="23"/>
      </w:pPr>
      <w:r>
        <w:rPr>
          <w:rFonts w:hint="eastAsia"/>
        </w:rPr>
        <w:t>推断阶段，在满足</w:t>
      </w:r>
      <w:r>
        <w:t xml:space="preserve"> (i\le j) </w:t>
      </w:r>
      <w:r>
        <w:rPr>
          <w:rFonts w:hint="eastAsia"/>
        </w:rPr>
        <w:t>与跨度长度约束的条件下选择得分最大的跨度作为实体候选；为控制误报，可结合阈值</w:t>
      </w:r>
      <w:r>
        <w:t xml:space="preserve"> (\tau) </w:t>
      </w:r>
      <w:r>
        <w:rPr>
          <w:rFonts w:hint="eastAsia"/>
        </w:rPr>
        <w:t>进行过滤：</w:t>
      </w:r>
    </w:p>
    <w:p w14:paraId="649EAEAE">
      <w:pPr>
        <w:pStyle w:val="49"/>
      </w:pPr>
      <w:r>
        <w:rPr>
          <w:rStyle w:val="82"/>
        </w:rPr>
        <w:t>(i^</w:t>
      </w:r>
      <w:r>
        <w:rPr>
          <w:rStyle w:val="69"/>
        </w:rPr>
        <w:t>\*</w:t>
      </w:r>
      <w:r>
        <w:rPr>
          <w:rStyle w:val="82"/>
        </w:rPr>
        <w:t>,j^</w:t>
      </w:r>
      <w:r>
        <w:rPr>
          <w:rStyle w:val="69"/>
        </w:rPr>
        <w:t>\*</w:t>
      </w:r>
      <w:r>
        <w:rPr>
          <w:rStyle w:val="82"/>
        </w:rPr>
        <w:t>)=</w:t>
      </w:r>
      <w:r>
        <w:rPr>
          <w:rStyle w:val="69"/>
        </w:rPr>
        <w:t>\arg\max</w:t>
      </w:r>
      <w:r>
        <w:rPr>
          <w:rStyle w:val="82"/>
        </w:rPr>
        <w:t>_{1</w:t>
      </w:r>
      <w:r>
        <w:rPr>
          <w:rStyle w:val="69"/>
        </w:rPr>
        <w:t>\le</w:t>
      </w:r>
      <w:r>
        <w:rPr>
          <w:rStyle w:val="82"/>
        </w:rPr>
        <w:t xml:space="preserve"> i</w:t>
      </w:r>
      <w:r>
        <w:rPr>
          <w:rStyle w:val="69"/>
        </w:rPr>
        <w:t>\le</w:t>
      </w:r>
      <w:r>
        <w:rPr>
          <w:rStyle w:val="82"/>
        </w:rPr>
        <w:t xml:space="preserve"> j</w:t>
      </w:r>
      <w:r>
        <w:rPr>
          <w:rStyle w:val="69"/>
        </w:rPr>
        <w:t>\le</w:t>
      </w:r>
      <w:r>
        <w:rPr>
          <w:rStyle w:val="82"/>
        </w:rPr>
        <w:t xml:space="preserve"> L}</w:t>
      </w:r>
      <w:r>
        <w:rPr>
          <w:rStyle w:val="69"/>
        </w:rPr>
        <w:t>\mathbf</w:t>
      </w:r>
      <w:r>
        <w:rPr>
          <w:rStyle w:val="82"/>
        </w:rPr>
        <w:t>{p}_s(i)</w:t>
      </w:r>
      <w:r>
        <w:rPr>
          <w:rStyle w:val="69"/>
        </w:rPr>
        <w:t>\mathbf</w:t>
      </w:r>
      <w:r>
        <w:rPr>
          <w:rStyle w:val="82"/>
        </w:rPr>
        <w:t>{p}_e(j),</w:t>
      </w:r>
      <w:r>
        <w:rPr>
          <w:rStyle w:val="69"/>
        </w:rPr>
        <w:t>\quad</w:t>
      </w:r>
      <w:r>
        <w:br w:type="textWrapping"/>
      </w:r>
      <w:r>
        <w:rPr>
          <w:rStyle w:val="69"/>
        </w:rPr>
        <w:t>\text</w:t>
      </w:r>
      <w:r>
        <w:rPr>
          <w:rStyle w:val="82"/>
        </w:rPr>
        <w:t>{accept}</w:t>
      </w:r>
      <w:r>
        <w:rPr>
          <w:rStyle w:val="69"/>
        </w:rPr>
        <w:t>\Leftrightarrow</w:t>
      </w:r>
      <w:r>
        <w:rPr>
          <w:rStyle w:val="82"/>
        </w:rPr>
        <w:t xml:space="preserve"> </w:t>
      </w:r>
      <w:r>
        <w:rPr>
          <w:rStyle w:val="69"/>
        </w:rPr>
        <w:t>\mathbf</w:t>
      </w:r>
      <w:r>
        <w:rPr>
          <w:rStyle w:val="82"/>
        </w:rPr>
        <w:t>{p}_s(i^</w:t>
      </w:r>
      <w:r>
        <w:rPr>
          <w:rStyle w:val="69"/>
        </w:rPr>
        <w:t>\*</w:t>
      </w:r>
      <w:r>
        <w:rPr>
          <w:rStyle w:val="82"/>
        </w:rPr>
        <w:t>)</w:t>
      </w:r>
      <w:r>
        <w:rPr>
          <w:rStyle w:val="69"/>
        </w:rPr>
        <w:t>\mathbf</w:t>
      </w:r>
      <w:r>
        <w:rPr>
          <w:rStyle w:val="82"/>
        </w:rPr>
        <w:t>{p}_e(j^</w:t>
      </w:r>
      <w:r>
        <w:rPr>
          <w:rStyle w:val="69"/>
        </w:rPr>
        <w:t>\*</w:t>
      </w:r>
      <w:r>
        <w:rPr>
          <w:rStyle w:val="82"/>
        </w:rPr>
        <w:t>)</w:t>
      </w:r>
      <w:r>
        <w:rPr>
          <w:rStyle w:val="69"/>
        </w:rPr>
        <w:t>\ge</w:t>
      </w:r>
      <w:r>
        <w:rPr>
          <w:rStyle w:val="82"/>
        </w:rPr>
        <w:t xml:space="preserve"> </w:t>
      </w:r>
      <w:r>
        <w:rPr>
          <w:rStyle w:val="69"/>
        </w:rPr>
        <w:t>\tau</w:t>
      </w:r>
    </w:p>
    <w:p w14:paraId="35CD4FD5">
      <w:pPr>
        <w:pStyle w:val="23"/>
      </w:pPr>
      <w:r>
        <w:rPr>
          <w:rFonts w:hint="eastAsia"/>
        </w:rPr>
        <w:t>阈值</w:t>
      </w:r>
      <w:r>
        <w:t xml:space="preserve"> (\tau) </w:t>
      </w:r>
      <w:r>
        <w:rPr>
          <w:rFonts w:hint="eastAsia"/>
        </w:rPr>
        <w:t>的选择应以验证集上的</w:t>
      </w:r>
      <w:r>
        <w:t xml:space="preserve"> PR </w:t>
      </w:r>
      <w:r>
        <w:rPr>
          <w:rFonts w:hint="eastAsia"/>
        </w:rPr>
        <w:t>曲线为依据，在“漏检风险”与“误提取导致联动错误”的工程代价之间取得平衡。</w:t>
      </w:r>
    </w:p>
    <w:p w14:paraId="59733645">
      <w:pPr>
        <w:pStyle w:val="3"/>
      </w:pPr>
      <w:r>
        <w:rPr>
          <w:rFonts w:hint="eastAsia"/>
        </w:rPr>
        <w:t>4）无答案建模与不确定性触发（工程可落地口径）。为适配真实票据的“某类字段缺失/不在票面”情形，可在起止分布上引入</w:t>
      </w:r>
      <w:r>
        <w:t xml:space="preserve"> No-Answer </w:t>
      </w:r>
      <w:r>
        <w:rPr>
          <w:rFonts w:hint="eastAsia"/>
        </w:rPr>
        <w:t>标签（如将第</w:t>
      </w:r>
      <w:r>
        <w:t xml:space="preserve"> 0 </w:t>
      </w:r>
      <w:r>
        <w:rPr>
          <w:rFonts w:hint="eastAsia"/>
        </w:rPr>
        <w:t>位作为空答案），将“是否存在该类实体”的判定纳入统一概率空间；同时以熵或最大概率作为不确定性量化，作为“是否触发大模型校验/人工复核”的启发式依据。以起点分布为例，其熵定义为：</w:t>
      </w:r>
    </w:p>
    <w:p w14:paraId="13B24B82">
      <w:pPr>
        <w:pStyle w:val="49"/>
      </w:pPr>
      <w:r>
        <w:rPr>
          <w:rStyle w:val="82"/>
        </w:rPr>
        <w:t>H(</w:t>
      </w:r>
      <w:r>
        <w:rPr>
          <w:rStyle w:val="69"/>
        </w:rPr>
        <w:t>\mathbf</w:t>
      </w:r>
      <w:r>
        <w:rPr>
          <w:rStyle w:val="82"/>
        </w:rPr>
        <w:t>{p}_s)=-</w:t>
      </w:r>
      <w:r>
        <w:rPr>
          <w:rStyle w:val="69"/>
        </w:rPr>
        <w:t>\sum</w:t>
      </w:r>
      <w:r>
        <w:rPr>
          <w:rStyle w:val="82"/>
        </w:rPr>
        <w:t>_{i=1}^{L}</w:t>
      </w:r>
      <w:r>
        <w:rPr>
          <w:rStyle w:val="69"/>
        </w:rPr>
        <w:t>\mathbf</w:t>
      </w:r>
      <w:r>
        <w:rPr>
          <w:rStyle w:val="82"/>
        </w:rPr>
        <w:t>{p}_s(i)</w:t>
      </w:r>
      <w:r>
        <w:rPr>
          <w:rStyle w:val="69"/>
        </w:rPr>
        <w:t>\log</w:t>
      </w:r>
      <w:r>
        <w:rPr>
          <w:rStyle w:val="82"/>
        </w:rPr>
        <w:t xml:space="preserve"> </w:t>
      </w:r>
      <w:r>
        <w:rPr>
          <w:rStyle w:val="69"/>
        </w:rPr>
        <w:t>\mathbf</w:t>
      </w:r>
      <w:r>
        <w:rPr>
          <w:rStyle w:val="82"/>
        </w:rPr>
        <w:t>{p}_s(i)</w:t>
      </w:r>
    </w:p>
    <w:p w14:paraId="14324BD2">
      <w:pPr>
        <w:pStyle w:val="23"/>
      </w:pPr>
      <w:r>
        <w:rPr>
          <w:rFonts w:hint="eastAsia"/>
        </w:rPr>
        <w:t>当</w:t>
      </w:r>
      <w:r>
        <w:t xml:space="preserve"> (H(\mathbf{p}^{(s)})) </w:t>
      </w:r>
      <w:r>
        <w:rPr>
          <w:rFonts w:hint="eastAsia"/>
        </w:rPr>
        <w:t>与</w:t>
      </w:r>
      <w:r>
        <w:t xml:space="preserve"> (H(\mathbf{p}^{(e)})) </w:t>
      </w:r>
      <w:r>
        <w:rPr>
          <w:rFonts w:hint="eastAsia"/>
        </w:rPr>
        <w:t>超过阈值或最佳跨度得分低于阈值时，判定该字段存在高不确定性，从而进入“可插拔的校验阶段”。该机制与工程“阈值触发”策略一致：将昂贵或不稳定的环节限制在少量困难样本上，提升整体性价比与稳定性。</w:t>
      </w:r>
    </w:p>
    <w:p w14:paraId="16DA75B4">
      <w:pPr>
        <w:pStyle w:val="3"/>
      </w:pPr>
      <w:r>
        <w:rPr>
          <w:rFonts w:hint="eastAsia"/>
        </w:rPr>
        <w:t>5）文本清洗与术语规范化。为减少</w:t>
      </w:r>
      <w:r>
        <w:t xml:space="preserve"> OCR </w:t>
      </w:r>
      <w:r>
        <w:rPr>
          <w:rFonts w:hint="eastAsia"/>
        </w:rPr>
        <w:t>误差与表格</w:t>
      </w:r>
      <w:r>
        <w:t xml:space="preserve"> HTML </w:t>
      </w:r>
      <w:r>
        <w:rPr>
          <w:rFonts w:hint="eastAsia"/>
        </w:rPr>
        <w:t>噪声对</w:t>
      </w:r>
      <w:r>
        <w:t xml:space="preserve"> NER </w:t>
      </w:r>
      <w:r>
        <w:rPr>
          <w:rFonts w:hint="eastAsia"/>
        </w:rPr>
        <w:t>的干扰，对块文本进行去空白、术语映射、时间格式粗规范化与表格内容净化，从而降低“同一实体多写法”带来的歧义。</w:t>
      </w:r>
    </w:p>
    <w:p w14:paraId="0CE64371">
      <w:pPr>
        <w:pStyle w:val="3"/>
      </w:pPr>
      <w:r>
        <w:rPr>
          <w:rFonts w:hint="eastAsia"/>
        </w:rPr>
        <w:t>6）规则补全与一致性过滤。考虑到票据具有相对固定栏目与强模式字段（如“工作地点”“安全措施”“自…至…”时间段等），在</w:t>
      </w:r>
      <w:r>
        <w:t xml:space="preserve"> MRC-NER </w:t>
      </w:r>
      <w:r>
        <w:rPr>
          <w:rFonts w:hint="eastAsia"/>
        </w:rPr>
        <w:t>输出基础上引入整票级规则抽取，对缺失要素进行补全并对不合规候选进行过滤，形成“模型抽取</w:t>
      </w:r>
      <w:r>
        <w:t xml:space="preserve"> + </w:t>
      </w:r>
      <w:r>
        <w:rPr>
          <w:rFonts w:hint="eastAsia"/>
        </w:rPr>
        <w:t>规则兜底”的稳健组合。典型规则包括：</w:t>
      </w:r>
    </w:p>
    <w:p w14:paraId="3CD8C60B">
      <w:pPr>
        <w:numPr>
          <w:ilvl w:val="0"/>
          <w:numId w:val="1"/>
        </w:numPr>
      </w:pPr>
      <w:r>
        <w:rPr>
          <w:rFonts w:hint="eastAsia"/>
        </w:rPr>
        <w:t>票号/编号的模式抽取与统一标注（TicketNo）；</w:t>
      </w:r>
    </w:p>
    <w:p w14:paraId="3F891FB1">
      <w:pPr>
        <w:numPr>
          <w:ilvl w:val="0"/>
          <w:numId w:val="1"/>
        </w:numPr>
      </w:pPr>
      <w:r>
        <w:rPr>
          <w:rFonts w:hint="eastAsia"/>
        </w:rPr>
        <w:t>工作地点、作业内容等栏目字段的模式抽取；</w:t>
      </w:r>
    </w:p>
    <w:p w14:paraId="43010BF1">
      <w:pPr>
        <w:numPr>
          <w:ilvl w:val="0"/>
          <w:numId w:val="1"/>
        </w:numPr>
      </w:pPr>
      <w:r>
        <w:rPr>
          <w:rFonts w:hint="eastAsia"/>
        </w:rPr>
        <w:t>时间窗的起止解析与统一表达（TimeRange），并对无法构成有效时间窗的片段予以降噪；</w:t>
      </w:r>
    </w:p>
    <w:p w14:paraId="0CAEB079">
      <w:pPr>
        <w:numPr>
          <w:ilvl w:val="0"/>
          <w:numId w:val="1"/>
        </w:numPr>
      </w:pPr>
      <w:r>
        <w:rPr>
          <w:rFonts w:hint="eastAsia"/>
        </w:rPr>
        <w:t>电压等级的模式识别与规范化表达（Voltage/VOLTAGE）；</w:t>
      </w:r>
    </w:p>
    <w:p w14:paraId="3AE436AB">
      <w:pPr>
        <w:numPr>
          <w:ilvl w:val="0"/>
          <w:numId w:val="1"/>
        </w:numPr>
      </w:pPr>
      <w:r>
        <w:rPr>
          <w:rFonts w:hint="eastAsia"/>
        </w:rPr>
        <w:t>角色字段（负责人、许可人、监护人、班组成员等）的结构化补充。</w:t>
      </w:r>
    </w:p>
    <w:p w14:paraId="71A4B27A">
      <w:pPr>
        <w:pStyle w:val="23"/>
      </w:pPr>
      <w:r>
        <w:rPr>
          <w:rFonts w:hint="eastAsia"/>
        </w:rPr>
        <w:t>7）约束一致性与字段校验。面向“可执行联动”的需求，规则层除补全外还承担一致性校验职责，典型包括：</w:t>
      </w:r>
    </w:p>
    <w:p w14:paraId="7746A5D0">
      <w:pPr>
        <w:numPr>
          <w:ilvl w:val="0"/>
          <w:numId w:val="1"/>
        </w:numPr>
      </w:pPr>
      <w:r>
        <w:rPr>
          <w:rFonts w:hint="eastAsia"/>
          <w:b/>
          <w:bCs/>
        </w:rPr>
        <w:t>时间窗合法性</w:t>
      </w:r>
      <w:r>
        <w:rPr>
          <w:rFonts w:hint="eastAsia"/>
        </w:rPr>
        <w:t>：若解析得到起止时间</w:t>
      </w:r>
      <w:r>
        <w:t xml:space="preserve"> ((t_s,t_e)) </w:t>
      </w:r>
      <w:r>
        <w:rPr>
          <w:rFonts w:hint="eastAsia"/>
        </w:rPr>
        <w:t>不满足</w:t>
      </w:r>
      <w:r>
        <w:t xml:space="preserve"> </w:t>
      </w:r>
      <w:r>
        <w:rPr>
          <w:rFonts w:hint="eastAsia"/>
        </w:rPr>
        <w:t>(t_s&lt;t_e)，则降级为“仅携票不启用时间窗”或要求人工复核；</w:t>
      </w:r>
    </w:p>
    <w:p w14:paraId="10EB940B">
      <w:pPr>
        <w:numPr>
          <w:ilvl w:val="0"/>
          <w:numId w:val="1"/>
        </w:numPr>
      </w:pPr>
      <w:r>
        <w:rPr>
          <w:rFonts w:hint="eastAsia"/>
          <w:b/>
          <w:bCs/>
        </w:rPr>
        <w:t>地点/设备类型纠偏</w:t>
      </w:r>
      <w:r>
        <w:rPr>
          <w:rFonts w:hint="eastAsia"/>
        </w:rPr>
        <w:t>：对</w:t>
      </w:r>
      <w:r>
        <w:t xml:space="preserve"> LOCATION/EQUIPMENT/ACTION </w:t>
      </w:r>
      <w:r>
        <w:rPr>
          <w:rFonts w:hint="eastAsia"/>
        </w:rPr>
        <w:t>等易混类别进行词法触发纠偏，减少把设备误当地点导致的资产链接失败；</w:t>
      </w:r>
    </w:p>
    <w:p w14:paraId="4443F939">
      <w:pPr>
        <w:numPr>
          <w:ilvl w:val="0"/>
          <w:numId w:val="1"/>
        </w:numPr>
      </w:pPr>
      <w:r>
        <w:rPr>
          <w:rFonts w:hint="eastAsia"/>
          <w:b/>
          <w:bCs/>
        </w:rPr>
        <w:t>字段去重与规范化</w:t>
      </w:r>
      <w:r>
        <w:rPr>
          <w:rFonts w:hint="eastAsia"/>
        </w:rPr>
        <w:t>：通过规范化算子</w:t>
      </w:r>
      <w:r>
        <w:t xml:space="preserve"> </w:t>
      </w:r>
      <w:r>
        <w:rPr>
          <w:rFonts w:hint="eastAsia"/>
        </w:rPr>
        <w:t>(N(\cdot))（去空白、符号清理、大小写规约）控制实体爆炸并提升匹配可复现性。</w:t>
      </w:r>
    </w:p>
    <w:p w14:paraId="33856D87">
      <w:pPr>
        <w:pStyle w:val="23"/>
      </w:pPr>
      <w:r>
        <w:rPr>
          <w:rFonts w:hint="eastAsia"/>
        </w:rPr>
        <w:t>8）联合后处理的形式化表述（便于论文/验收解释）。将模型抽取与规则补全视为对候选实体集合</w:t>
      </w:r>
      <w:r>
        <w:t xml:space="preserve"> (\tilde{\mathcal{E}}) </w:t>
      </w:r>
      <w:r>
        <w:rPr>
          <w:rFonts w:hint="eastAsia"/>
        </w:rPr>
        <w:t>的筛选与修正过程，可用“打分</w:t>
      </w:r>
      <w:r>
        <w:t xml:space="preserve"> + </w:t>
      </w:r>
      <w:r>
        <w:rPr>
          <w:rFonts w:hint="eastAsia"/>
        </w:rPr>
        <w:t>约束”统一描述。记候选实体</w:t>
      </w:r>
      <w:r>
        <w:t xml:space="preserve"> (e) </w:t>
      </w:r>
      <w:r>
        <w:rPr>
          <w:rFonts w:hint="eastAsia"/>
        </w:rPr>
        <w:t>的置信度为</w:t>
      </w:r>
      <w:r>
        <w:t xml:space="preserve"> </w:t>
      </w:r>
      <w:r>
        <w:rPr>
          <w:rFonts w:hint="eastAsia"/>
        </w:rPr>
        <w:t>(\mathrm{conf}(e))（来自跨度得分或规则匹配强度），对最终集合</w:t>
      </w:r>
      <w:r>
        <w:t xml:space="preserve"> (\mathcal{E}^*) </w:t>
      </w:r>
      <w:r>
        <w:rPr>
          <w:rFonts w:hint="eastAsia"/>
        </w:rPr>
        <w:t>可定义为：</w:t>
      </w:r>
    </w:p>
    <w:p w14:paraId="145B5274">
      <w:pPr>
        <w:pStyle w:val="49"/>
      </w:pPr>
      <w:r>
        <w:rPr>
          <w:rStyle w:val="69"/>
        </w:rPr>
        <w:t>\mathcal</w:t>
      </w:r>
      <w:r>
        <w:rPr>
          <w:rStyle w:val="82"/>
        </w:rPr>
        <w:t>{E}^</w:t>
      </w:r>
      <w:r>
        <w:rPr>
          <w:rStyle w:val="69"/>
        </w:rPr>
        <w:t>\*</w:t>
      </w:r>
      <w:r>
        <w:rPr>
          <w:rStyle w:val="82"/>
        </w:rPr>
        <w:t>=</w:t>
      </w:r>
      <w:r>
        <w:rPr>
          <w:rStyle w:val="69"/>
        </w:rPr>
        <w:t>\arg\max</w:t>
      </w:r>
      <w:r>
        <w:rPr>
          <w:rStyle w:val="82"/>
        </w:rPr>
        <w:t>_{</w:t>
      </w:r>
      <w:r>
        <w:rPr>
          <w:rStyle w:val="69"/>
        </w:rPr>
        <w:t>\mathcal</w:t>
      </w:r>
      <w:r>
        <w:rPr>
          <w:rStyle w:val="82"/>
        </w:rPr>
        <w:t>{E}</w:t>
      </w:r>
      <w:r>
        <w:rPr>
          <w:rStyle w:val="69"/>
        </w:rPr>
        <w:t>\subseteq</w:t>
      </w:r>
      <w:r>
        <w:rPr>
          <w:rStyle w:val="82"/>
        </w:rPr>
        <w:t xml:space="preserve"> </w:t>
      </w:r>
      <w:r>
        <w:rPr>
          <w:rStyle w:val="69"/>
        </w:rPr>
        <w:t>\tilde</w:t>
      </w:r>
      <w:r>
        <w:rPr>
          <w:rStyle w:val="82"/>
        </w:rPr>
        <w:t>{</w:t>
      </w:r>
      <w:r>
        <w:rPr>
          <w:rStyle w:val="69"/>
        </w:rPr>
        <w:t>\mathcal</w:t>
      </w:r>
      <w:r>
        <w:rPr>
          <w:rStyle w:val="82"/>
        </w:rPr>
        <w:t>{E}}}</w:t>
      </w:r>
      <w:r>
        <w:rPr>
          <w:rStyle w:val="69"/>
        </w:rPr>
        <w:t>\Big</w:t>
      </w:r>
      <w:r>
        <w:rPr>
          <w:rStyle w:val="82"/>
        </w:rPr>
        <w:t>(</w:t>
      </w:r>
      <w:r>
        <w:rPr>
          <w:rStyle w:val="69"/>
        </w:rPr>
        <w:t>\sum</w:t>
      </w:r>
      <w:r>
        <w:rPr>
          <w:rStyle w:val="82"/>
        </w:rPr>
        <w:t>_{e</w:t>
      </w:r>
      <w:r>
        <w:rPr>
          <w:rStyle w:val="69"/>
        </w:rPr>
        <w:t>\in</w:t>
      </w:r>
      <w:r>
        <w:rPr>
          <w:rStyle w:val="82"/>
        </w:rPr>
        <w:t xml:space="preserve"> </w:t>
      </w:r>
      <w:r>
        <w:rPr>
          <w:rStyle w:val="69"/>
        </w:rPr>
        <w:t>\mathcal</w:t>
      </w:r>
      <w:r>
        <w:rPr>
          <w:rStyle w:val="82"/>
        </w:rPr>
        <w:t>{E}}</w:t>
      </w:r>
      <w:r>
        <w:rPr>
          <w:rStyle w:val="69"/>
        </w:rPr>
        <w:t>\mathrm</w:t>
      </w:r>
      <w:r>
        <w:rPr>
          <w:rStyle w:val="82"/>
        </w:rPr>
        <w:t>{conf}(e)-</w:t>
      </w:r>
      <w:r>
        <w:rPr>
          <w:rStyle w:val="69"/>
        </w:rPr>
        <w:t>\lambda</w:t>
      </w:r>
      <w:r>
        <w:rPr>
          <w:rStyle w:val="82"/>
        </w:rPr>
        <w:t>_1</w:t>
      </w:r>
      <w:r>
        <w:rPr>
          <w:rStyle w:val="69"/>
        </w:rPr>
        <w:t>\cdot</w:t>
      </w:r>
      <w:r>
        <w:rPr>
          <w:rStyle w:val="82"/>
        </w:rPr>
        <w:t xml:space="preserve"> </w:t>
      </w:r>
      <w:r>
        <w:rPr>
          <w:rStyle w:val="69"/>
        </w:rPr>
        <w:t>\mathrm</w:t>
      </w:r>
      <w:r>
        <w:rPr>
          <w:rStyle w:val="82"/>
        </w:rPr>
        <w:t>{pen}_{time}(</w:t>
      </w:r>
      <w:r>
        <w:rPr>
          <w:rStyle w:val="69"/>
        </w:rPr>
        <w:t>\mathcal</w:t>
      </w:r>
      <w:r>
        <w:rPr>
          <w:rStyle w:val="82"/>
        </w:rPr>
        <w:t>{E})-</w:t>
      </w:r>
      <w:r>
        <w:rPr>
          <w:rStyle w:val="69"/>
        </w:rPr>
        <w:t>\lambda</w:t>
      </w:r>
      <w:r>
        <w:rPr>
          <w:rStyle w:val="82"/>
        </w:rPr>
        <w:t>_2</w:t>
      </w:r>
      <w:r>
        <w:rPr>
          <w:rStyle w:val="69"/>
        </w:rPr>
        <w:t>\cdot</w:t>
      </w:r>
      <w:r>
        <w:rPr>
          <w:rStyle w:val="82"/>
        </w:rPr>
        <w:t xml:space="preserve"> </w:t>
      </w:r>
      <w:r>
        <w:rPr>
          <w:rStyle w:val="69"/>
        </w:rPr>
        <w:t>\mathrm</w:t>
      </w:r>
      <w:r>
        <w:rPr>
          <w:rStyle w:val="82"/>
        </w:rPr>
        <w:t>{pen}_{type}(</w:t>
      </w:r>
      <w:r>
        <w:rPr>
          <w:rStyle w:val="69"/>
        </w:rPr>
        <w:t>\mathcal</w:t>
      </w:r>
      <w:r>
        <w:rPr>
          <w:rStyle w:val="82"/>
        </w:rPr>
        <w:t>{E})-</w:t>
      </w:r>
      <w:r>
        <w:rPr>
          <w:rStyle w:val="69"/>
        </w:rPr>
        <w:t>\lambda</w:t>
      </w:r>
      <w:r>
        <w:rPr>
          <w:rStyle w:val="82"/>
        </w:rPr>
        <w:t>_3</w:t>
      </w:r>
      <w:r>
        <w:rPr>
          <w:rStyle w:val="69"/>
        </w:rPr>
        <w:t>\cdot</w:t>
      </w:r>
      <w:r>
        <w:rPr>
          <w:rStyle w:val="82"/>
        </w:rPr>
        <w:t xml:space="preserve"> </w:t>
      </w:r>
      <w:r>
        <w:rPr>
          <w:rStyle w:val="69"/>
        </w:rPr>
        <w:t>\mathrm</w:t>
      </w:r>
      <w:r>
        <w:rPr>
          <w:rStyle w:val="82"/>
        </w:rPr>
        <w:t>{pen}_{dup}(</w:t>
      </w:r>
      <w:r>
        <w:rPr>
          <w:rStyle w:val="69"/>
        </w:rPr>
        <w:t>\mathcal</w:t>
      </w:r>
      <w:r>
        <w:rPr>
          <w:rStyle w:val="82"/>
        </w:rPr>
        <w:t>{E})</w:t>
      </w:r>
      <w:r>
        <w:rPr>
          <w:rStyle w:val="69"/>
        </w:rPr>
        <w:t>\Big</w:t>
      </w:r>
      <w:r>
        <w:rPr>
          <w:rStyle w:val="82"/>
        </w:rPr>
        <w:t>)</w:t>
      </w:r>
    </w:p>
    <w:p w14:paraId="74DB0512">
      <w:pPr>
        <w:pStyle w:val="23"/>
      </w:pPr>
      <w:r>
        <w:rPr>
          <w:rFonts w:hint="eastAsia"/>
        </w:rPr>
        <w:t>其中</w:t>
      </w:r>
      <w:r>
        <w:t xml:space="preserve"> (\mathrm{pen}</w:t>
      </w:r>
      <w:r>
        <w:rPr>
          <w:i/>
          <w:iCs/>
        </w:rPr>
        <w:t xml:space="preserve">{time}) </w:t>
      </w:r>
      <w:r>
        <w:rPr>
          <w:rFonts w:hint="eastAsia"/>
          <w:i/>
          <w:iCs/>
        </w:rPr>
        <w:t>对非法时间窗给出惩罚，(\mathrm{pen}</w:t>
      </w:r>
      <w:r>
        <w:t xml:space="preserve">{type}) </w:t>
      </w:r>
      <w:r>
        <w:rPr>
          <w:rFonts w:hint="eastAsia"/>
        </w:rPr>
        <w:t>对易混类别冲突给出惩罚，(\mathrm{pen}^{(dup)})</w:t>
      </w:r>
      <w:r>
        <w:t xml:space="preserve"> </w:t>
      </w:r>
      <w:r>
        <w:rPr>
          <w:rFonts w:hint="eastAsia"/>
        </w:rPr>
        <w:t>对同指实体冗余给出惩罚。工程实现可不必显式求解该优化问题，但该表述有助于在学术与验收层面对“为何要规则兜底”“为何要阈值触发”给出统一解释框架。</w:t>
      </w:r>
    </w:p>
    <w:bookmarkEnd w:id="3"/>
    <w:p w14:paraId="30097A86">
      <w:pPr>
        <w:pStyle w:val="6"/>
      </w:pPr>
      <w:bookmarkStart w:id="4" w:name="四）大模型一致性复核与关系抽取可选）应对跨段落同指与关系缺失"/>
      <w:r>
        <w:rPr>
          <w:rFonts w:hint="eastAsia"/>
        </w:rPr>
        <w:t>（四）大模型一致性复核与关系抽取（可选）：应对跨段落同指与关系缺失</w:t>
      </w:r>
    </w:p>
    <w:p w14:paraId="16159954">
      <w:pPr>
        <w:pStyle w:val="23"/>
      </w:pPr>
      <w:r>
        <w:rPr>
          <w:rFonts w:hint="eastAsia"/>
        </w:rPr>
        <w:t>在真实票据中，实体跨段落出现、同指与省略现象普遍存在，仅依赖局部块抽取可能导致“实体类型混淆”“关系缺失”等问题。本项目在统一流水线中设计可插拔的大模型阶段，基于</w:t>
      </w:r>
      <w:r>
        <w:t xml:space="preserve"> OCR </w:t>
      </w:r>
      <w:r>
        <w:rPr>
          <w:rFonts w:hint="eastAsia"/>
        </w:rPr>
        <w:t>上下文与已识别实体集合进行一致性增强，主要包括：</w:t>
      </w:r>
    </w:p>
    <w:p w14:paraId="4A075FEC">
      <w:pPr>
        <w:pStyle w:val="3"/>
      </w:pPr>
      <w:r>
        <w:rPr>
          <w:rFonts w:hint="eastAsia"/>
        </w:rPr>
        <w:t>1）实体校验（启发式触发）。对短文本、易混淆类型等实体进行筛选，交由大模型返回校验意见，用于工程侧记录与后续可迭代优化（避免在无依据条件下强行改写实体，降低误改风险）。</w:t>
      </w:r>
    </w:p>
    <w:p w14:paraId="26E8F476">
      <w:pPr>
        <w:pStyle w:val="3"/>
      </w:pPr>
      <w:r>
        <w:rPr>
          <w:rFonts w:hint="eastAsia"/>
        </w:rPr>
        <w:t>2）关系抽取（强约束</w:t>
      </w:r>
      <w:r>
        <w:t xml:space="preserve"> JSON </w:t>
      </w:r>
      <w:r>
        <w:rPr>
          <w:rFonts w:hint="eastAsia"/>
        </w:rPr>
        <w:t>输出）。从票面上下文中抽取关系集合</w:t>
      </w:r>
      <w:r>
        <w:t xml:space="preserve"> </w:t>
      </w:r>
      <w:r>
        <w:rPr>
          <w:rFonts w:hint="eastAsia"/>
        </w:rPr>
        <w:t>(\mathcal{R}={r_m})，并以结构化</w:t>
      </w:r>
      <w:r>
        <w:t xml:space="preserve"> JSON </w:t>
      </w:r>
      <w:r>
        <w:rPr>
          <w:rFonts w:hint="eastAsia"/>
        </w:rPr>
        <w:t>数组输出：</w:t>
      </w:r>
    </w:p>
    <w:p w14:paraId="45BBF1C8">
      <w:pPr>
        <w:pStyle w:val="49"/>
      </w:pPr>
      <w:r>
        <w:rPr>
          <w:rStyle w:val="82"/>
        </w:rPr>
        <w:t>r_m=</w:t>
      </w:r>
      <w:r>
        <w:rPr>
          <w:rStyle w:val="69"/>
        </w:rPr>
        <w:t>\langle</w:t>
      </w:r>
      <w:r>
        <w:rPr>
          <w:rStyle w:val="82"/>
        </w:rPr>
        <w:t xml:space="preserve"> </w:t>
      </w:r>
      <w:r>
        <w:rPr>
          <w:rStyle w:val="69"/>
        </w:rPr>
        <w:t>\text</w:t>
      </w:r>
      <w:r>
        <w:rPr>
          <w:rStyle w:val="82"/>
        </w:rPr>
        <w:t>{subject}_m,</w:t>
      </w:r>
      <w:r>
        <w:rPr>
          <w:rStyle w:val="69"/>
        </w:rPr>
        <w:t>\text</w:t>
      </w:r>
      <w:r>
        <w:rPr>
          <w:rStyle w:val="82"/>
        </w:rPr>
        <w:t>{relation}_m,</w:t>
      </w:r>
      <w:r>
        <w:rPr>
          <w:rStyle w:val="69"/>
        </w:rPr>
        <w:t>\text</w:t>
      </w:r>
      <w:r>
        <w:rPr>
          <w:rStyle w:val="82"/>
        </w:rPr>
        <w:t>{object}_m,</w:t>
      </w:r>
      <w:r>
        <w:rPr>
          <w:rStyle w:val="69"/>
        </w:rPr>
        <w:t>\text</w:t>
      </w:r>
      <w:r>
        <w:rPr>
          <w:rStyle w:val="82"/>
        </w:rPr>
        <w:t>{confidence}_m</w:t>
      </w:r>
      <w:r>
        <w:rPr>
          <w:rStyle w:val="69"/>
        </w:rPr>
        <w:t>\rangle</w:t>
      </w:r>
    </w:p>
    <w:p w14:paraId="2041DB24">
      <w:pPr>
        <w:pStyle w:val="23"/>
      </w:pPr>
      <w:r>
        <w:rPr>
          <w:rFonts w:hint="eastAsia"/>
        </w:rPr>
        <w:t>关系抽取严格限定为“上下文明确表达”，以减少臆测关系带来的图谱污染；同时输出置信度用于下游筛选与审计。</w:t>
      </w:r>
    </w:p>
    <w:p w14:paraId="2409C713">
      <w:pPr>
        <w:pStyle w:val="3"/>
      </w:pPr>
      <w:r>
        <w:rPr>
          <w:rFonts w:hint="eastAsia"/>
        </w:rPr>
        <w:t>3）强结构化输出与解析稳健性。工程上，为降低大模型“夹带解释文本”导致的解析失败风险，关系抽取阶段采用“只输出</w:t>
      </w:r>
      <w:r>
        <w:t xml:space="preserve"> JSON </w:t>
      </w:r>
      <w:r>
        <w:rPr>
          <w:rFonts w:hint="eastAsia"/>
        </w:rPr>
        <w:t>数组”的硬约束，并在服务端执行</w:t>
      </w:r>
      <w:r>
        <w:t xml:space="preserve"> JSON </w:t>
      </w:r>
      <w:r>
        <w:rPr>
          <w:rFonts w:hint="eastAsia"/>
        </w:rPr>
        <w:t>解析与失败回退（保留</w:t>
      </w:r>
      <w:r>
        <w:t xml:space="preserve"> raw </w:t>
      </w:r>
      <w:r>
        <w:rPr>
          <w:rFonts w:hint="eastAsia"/>
        </w:rPr>
        <w:t>输出并标注</w:t>
      </w:r>
      <w:r>
        <w:t xml:space="preserve"> </w:t>
      </w:r>
      <w:r>
        <w:rPr>
          <w:rFonts w:hint="eastAsia"/>
        </w:rPr>
        <w:t>parsed_ok），以实现“可用性优先</w:t>
      </w:r>
      <w:r>
        <w:t xml:space="preserve"> + </w:t>
      </w:r>
      <w:r>
        <w:rPr>
          <w:rFonts w:hint="eastAsia"/>
        </w:rPr>
        <w:t>可审计保真”的策略。该设计用于避免将不确定的自然语言输出直接写入图谱，从而控制知识污染的系统性风险。</w:t>
      </w:r>
    </w:p>
    <w:bookmarkEnd w:id="4"/>
    <w:p w14:paraId="45441B73">
      <w:pPr>
        <w:pStyle w:val="6"/>
      </w:pPr>
      <w:bookmarkStart w:id="5" w:name="五）语义到资源映射时空知识表达与实体链接票据-→-地点设备-→-摄像头流）"/>
      <w:r>
        <w:rPr>
          <w:rFonts w:hint="eastAsia"/>
        </w:rPr>
        <w:t>（五）语义到资源映射：时空知识表达与实体链接（票据</w:t>
      </w:r>
      <w:r>
        <w:t xml:space="preserve"> → </w:t>
      </w:r>
      <w:r>
        <w:rPr>
          <w:rFonts w:hint="eastAsia"/>
        </w:rPr>
        <w:t>地点/设备</w:t>
      </w:r>
      <w:r>
        <w:t xml:space="preserve"> → </w:t>
      </w:r>
      <w:r>
        <w:rPr>
          <w:rFonts w:hint="eastAsia"/>
        </w:rPr>
        <w:t>摄像头/流）</w:t>
      </w:r>
    </w:p>
    <w:p w14:paraId="7E372730">
      <w:pPr>
        <w:pStyle w:val="23"/>
      </w:pPr>
      <w:r>
        <w:rPr>
          <w:rFonts w:hint="eastAsia"/>
        </w:rPr>
        <w:t>1）图谱模式设计。为支持“票据</w:t>
      </w:r>
      <w:r>
        <w:t xml:space="preserve"> → </w:t>
      </w:r>
      <w:r>
        <w:rPr>
          <w:rFonts w:hint="eastAsia"/>
        </w:rPr>
        <w:t>地点/设备</w:t>
      </w:r>
      <w:r>
        <w:t xml:space="preserve"> → </w:t>
      </w:r>
      <w:r>
        <w:rPr>
          <w:rFonts w:hint="eastAsia"/>
        </w:rPr>
        <w:t>摄像头/视频流”的反查与时空检索，本项目采用图数据库表达两类互补数据：</w:t>
      </w:r>
    </w:p>
    <w:p w14:paraId="21962FB0">
      <w:pPr>
        <w:numPr>
          <w:ilvl w:val="0"/>
          <w:numId w:val="1"/>
        </w:numPr>
      </w:pPr>
      <w:r>
        <w:rPr>
          <w:rFonts w:hint="eastAsia"/>
          <w:b/>
          <w:bCs/>
        </w:rPr>
        <w:t>票据语义图（Ticket</w:t>
      </w:r>
      <w:r>
        <w:rPr>
          <w:b/>
          <w:bCs/>
        </w:rPr>
        <w:t xml:space="preserve"> </w:t>
      </w:r>
      <w:r>
        <w:rPr>
          <w:rFonts w:hint="eastAsia"/>
          <w:b/>
          <w:bCs/>
        </w:rPr>
        <w:t>Graph）</w:t>
      </w:r>
      <w:r>
        <w:rPr>
          <w:rFonts w:hint="eastAsia"/>
        </w:rPr>
        <w:t>：以</w:t>
      </w:r>
      <w:r>
        <w:t xml:space="preserve"> Ticket </w:t>
      </w:r>
      <w:r>
        <w:rPr>
          <w:rFonts w:hint="eastAsia"/>
        </w:rPr>
        <w:t>与</w:t>
      </w:r>
      <w:r>
        <w:t xml:space="preserve"> Entity </w:t>
      </w:r>
      <w:r>
        <w:rPr>
          <w:rFonts w:hint="eastAsia"/>
        </w:rPr>
        <w:t>为核心，存储票据抽取结果与实体间关系（REL）；</w:t>
      </w:r>
    </w:p>
    <w:p w14:paraId="51AB31FD">
      <w:pPr>
        <w:numPr>
          <w:ilvl w:val="0"/>
          <w:numId w:val="1"/>
        </w:numPr>
      </w:pPr>
      <w:r>
        <w:rPr>
          <w:rFonts w:hint="eastAsia"/>
          <w:b/>
          <w:bCs/>
        </w:rPr>
        <w:t>基础设施拓扑图（Infrastructure</w:t>
      </w:r>
      <w:r>
        <w:rPr>
          <w:b/>
          <w:bCs/>
        </w:rPr>
        <w:t xml:space="preserve"> </w:t>
      </w:r>
      <w:r>
        <w:rPr>
          <w:rFonts w:hint="eastAsia"/>
          <w:b/>
          <w:bCs/>
        </w:rPr>
        <w:t>Graph）</w:t>
      </w:r>
      <w:r>
        <w:rPr>
          <w:rFonts w:hint="eastAsia"/>
        </w:rPr>
        <w:t>：以</w:t>
      </w:r>
      <w:r>
        <w:t xml:space="preserve"> Location/Device/Camera </w:t>
      </w:r>
      <w:r>
        <w:rPr>
          <w:rFonts w:hint="eastAsia"/>
        </w:rPr>
        <w:t>为核心，表达站点区域、设备归属与摄像头覆盖（COVERS、LOCATED_AT、PART_OF</w:t>
      </w:r>
      <w:r>
        <w:t xml:space="preserve"> </w:t>
      </w:r>
      <w:r>
        <w:rPr>
          <w:rFonts w:hint="eastAsia"/>
        </w:rPr>
        <w:t>等）。</w:t>
      </w:r>
    </w:p>
    <w:p w14:paraId="266788C0">
      <w:pPr>
        <w:pStyle w:val="23"/>
      </w:pPr>
      <w:r>
        <w:rPr>
          <w:rFonts w:hint="eastAsia"/>
        </w:rPr>
        <w:t>两类数据通过实体链接关系进行对齐（例如</w:t>
      </w:r>
      <w:r>
        <w:t xml:space="preserve"> </w:t>
      </w:r>
      <w:r>
        <w:rPr>
          <w:rFonts w:hint="eastAsia"/>
        </w:rPr>
        <w:t>REFERS_TO_ASSET、REFERS_TO_LOC），从而实现“语义层—资产层”映射。</w:t>
      </w:r>
    </w:p>
    <w:p w14:paraId="7364C55F">
      <w:pPr>
        <w:pStyle w:val="3"/>
      </w:pPr>
      <w:r>
        <w:rPr>
          <w:rFonts w:hint="eastAsia"/>
        </w:rPr>
        <w:t>该模式本质上属于属性图（Property</w:t>
      </w:r>
      <w:r>
        <w:t xml:space="preserve"> </w:t>
      </w:r>
      <w:r>
        <w:rPr>
          <w:rFonts w:hint="eastAsia"/>
        </w:rPr>
        <w:t>Graph）范式：节点与边除类型外还携带关键属性（如</w:t>
      </w:r>
      <w:r>
        <w:t xml:space="preserve"> ticket_no、time_range、entity_text、camera_stream_id、site_name </w:t>
      </w:r>
      <w:r>
        <w:rPr>
          <w:rFonts w:hint="eastAsia"/>
        </w:rPr>
        <w:t>等），使得“按属性过滤</w:t>
      </w:r>
      <w:r>
        <w:t xml:space="preserve"> + </w:t>
      </w:r>
      <w:r>
        <w:rPr>
          <w:rFonts w:hint="eastAsia"/>
        </w:rPr>
        <w:t>按拓扑遍历”成为统一的检索方式。面向业务需求，典型查询可抽象为“从票据出发的多跳路径”：Ticket</w:t>
      </w:r>
      <w:r>
        <w:t xml:space="preserve"> (\rightarrow) Entity (\rightarrow) Location/Device (\rightarrow) </w:t>
      </w:r>
      <w:r>
        <w:rPr>
          <w:rFonts w:hint="eastAsia"/>
        </w:rPr>
        <w:t>Camera/Stream。该路径既可用于联动（生成目标流集合），也可用于解释（输出关联依据与路径证据）。</w:t>
      </w:r>
    </w:p>
    <w:p w14:paraId="16648E4E">
      <w:pPr>
        <w:pStyle w:val="3"/>
      </w:pPr>
      <w:r>
        <w:rPr>
          <w:rFonts w:hint="eastAsia"/>
        </w:rPr>
        <w:t>为避免图谱污染与关联漂移，图谱写入遵循“强约束</w:t>
      </w:r>
      <w:r>
        <w:t xml:space="preserve"> + </w:t>
      </w:r>
      <w:r>
        <w:rPr>
          <w:rFonts w:hint="eastAsia"/>
        </w:rPr>
        <w:t>可追溯”的工程原则：对节点/边建立稳定标识并做去重，保留来源字段与置信度属性，必要时可对低置信关系设置只读或隔离标签，确保图谱既能支撑推理检索，又不会把不确定信息直接固化为“事实”。</w:t>
      </w:r>
    </w:p>
    <w:p w14:paraId="57C443BB">
      <w:pPr>
        <w:pStyle w:val="3"/>
      </w:pPr>
      <w:r>
        <w:rPr>
          <w:rFonts w:hint="eastAsia"/>
        </w:rPr>
        <w:t>2）实体唯一标识与可追溯性。票据侧采用稳定的</w:t>
      </w:r>
      <w:r>
        <w:t xml:space="preserve"> ticket_id </w:t>
      </w:r>
      <w:r>
        <w:rPr>
          <w:rFonts w:hint="eastAsia"/>
        </w:rPr>
        <w:t>与</w:t>
      </w:r>
      <w:r>
        <w:t xml:space="preserve"> entity_id </w:t>
      </w:r>
      <w:r>
        <w:rPr>
          <w:rFonts w:hint="eastAsia"/>
        </w:rPr>
        <w:t>构造策略保证可追溯：</w:t>
      </w:r>
    </w:p>
    <w:p w14:paraId="0C445CFF">
      <w:pPr>
        <w:numPr>
          <w:ilvl w:val="0"/>
          <w:numId w:val="1"/>
        </w:numPr>
      </w:pPr>
      <w:r>
        <w:rPr>
          <w:rFonts w:hint="eastAsia"/>
        </w:rPr>
        <w:t>ticket_id：由输入文件内容（或路径回退）经</w:t>
      </w:r>
      <w:r>
        <w:t xml:space="preserve"> SHA-256 </w:t>
      </w:r>
      <w:r>
        <w:rPr>
          <w:rFonts w:hint="eastAsia"/>
        </w:rPr>
        <w:t>生成，保证同票据稳定标识；</w:t>
      </w:r>
    </w:p>
    <w:p w14:paraId="0B8756A5">
      <w:pPr>
        <w:numPr>
          <w:ilvl w:val="0"/>
          <w:numId w:val="1"/>
        </w:numPr>
      </w:pPr>
      <w:r>
        <w:rPr>
          <w:rFonts w:hint="eastAsia"/>
        </w:rPr>
        <w:t>entity_id：由</w:t>
      </w:r>
      <w:r>
        <w:t xml:space="preserve"> </w:t>
      </w:r>
      <w:r>
        <w:rPr>
          <w:rFonts w:hint="eastAsia"/>
        </w:rPr>
        <w:t>ticket_id、实体类型与规范化文本组合，经哈希得到短标识，保证同票据内实体去重与可复写入库；</w:t>
      </w:r>
    </w:p>
    <w:p w14:paraId="40418753">
      <w:pPr>
        <w:numPr>
          <w:ilvl w:val="0"/>
          <w:numId w:val="1"/>
        </w:numPr>
      </w:pPr>
      <w:r>
        <w:rPr>
          <w:rFonts w:hint="eastAsia"/>
        </w:rPr>
        <w:t>rel_id：由实体对与关系类型组合，经哈希生成，确保关系去重。</w:t>
      </w:r>
    </w:p>
    <w:p w14:paraId="60E2F094">
      <w:pPr>
        <w:pStyle w:val="23"/>
      </w:pPr>
      <w:r>
        <w:rPr>
          <w:rFonts w:hint="eastAsia"/>
        </w:rPr>
        <w:t>3）图谱形式化表达。将知识图谱表示为带类型与属性的有向多重图：</w:t>
      </w:r>
    </w:p>
    <w:p w14:paraId="5D67B3B5">
      <w:pPr>
        <w:pStyle w:val="49"/>
      </w:pPr>
      <w:r>
        <w:rPr>
          <w:rStyle w:val="69"/>
        </w:rPr>
        <w:t>\mathcal</w:t>
      </w:r>
      <w:r>
        <w:rPr>
          <w:rStyle w:val="82"/>
        </w:rPr>
        <w:t>{G}=(</w:t>
      </w:r>
      <w:r>
        <w:rPr>
          <w:rStyle w:val="69"/>
        </w:rPr>
        <w:t>\mathcal</w:t>
      </w:r>
      <w:r>
        <w:rPr>
          <w:rStyle w:val="82"/>
        </w:rPr>
        <w:t>{V},</w:t>
      </w:r>
      <w:r>
        <w:rPr>
          <w:rStyle w:val="69"/>
        </w:rPr>
        <w:t>\mathcal</w:t>
      </w:r>
      <w:r>
        <w:rPr>
          <w:rStyle w:val="82"/>
        </w:rPr>
        <w:t>{E},</w:t>
      </w:r>
      <w:r>
        <w:rPr>
          <w:rStyle w:val="69"/>
        </w:rPr>
        <w:t>\phi</w:t>
      </w:r>
      <w:r>
        <w:rPr>
          <w:rStyle w:val="82"/>
        </w:rPr>
        <w:t>,</w:t>
      </w:r>
      <w:r>
        <w:rPr>
          <w:rStyle w:val="69"/>
        </w:rPr>
        <w:t>\psi</w:t>
      </w:r>
      <w:r>
        <w:rPr>
          <w:rStyle w:val="82"/>
        </w:rPr>
        <w:t>),</w:t>
      </w:r>
      <w:r>
        <w:rPr>
          <w:rStyle w:val="69"/>
        </w:rPr>
        <w:t>\quad</w:t>
      </w:r>
      <w:r>
        <w:br w:type="textWrapping"/>
      </w:r>
      <w:r>
        <w:rPr>
          <w:rStyle w:val="69"/>
        </w:rPr>
        <w:t>\phi</w:t>
      </w:r>
      <w:r>
        <w:rPr>
          <w:rStyle w:val="82"/>
        </w:rPr>
        <w:t>:</w:t>
      </w:r>
      <w:r>
        <w:rPr>
          <w:rStyle w:val="69"/>
        </w:rPr>
        <w:t>\mathcal</w:t>
      </w:r>
      <w:r>
        <w:rPr>
          <w:rStyle w:val="82"/>
        </w:rPr>
        <w:t>{V}</w:t>
      </w:r>
      <w:r>
        <w:rPr>
          <w:rStyle w:val="69"/>
        </w:rPr>
        <w:t>\rightarrow</w:t>
      </w:r>
      <w:r>
        <w:rPr>
          <w:rStyle w:val="82"/>
        </w:rPr>
        <w:t xml:space="preserve"> </w:t>
      </w:r>
      <w:r>
        <w:rPr>
          <w:rStyle w:val="69"/>
        </w:rPr>
        <w:t>\mathcal</w:t>
      </w:r>
      <w:r>
        <w:rPr>
          <w:rStyle w:val="82"/>
        </w:rPr>
        <w:t>{T}_v,</w:t>
      </w:r>
      <w:r>
        <w:rPr>
          <w:rStyle w:val="69"/>
        </w:rPr>
        <w:t>\quad</w:t>
      </w:r>
      <w:r>
        <w:br w:type="textWrapping"/>
      </w:r>
      <w:r>
        <w:rPr>
          <w:rStyle w:val="69"/>
        </w:rPr>
        <w:t>\psi</w:t>
      </w:r>
      <w:r>
        <w:rPr>
          <w:rStyle w:val="82"/>
        </w:rPr>
        <w:t>:</w:t>
      </w:r>
      <w:r>
        <w:rPr>
          <w:rStyle w:val="69"/>
        </w:rPr>
        <w:t>\mathcal</w:t>
      </w:r>
      <w:r>
        <w:rPr>
          <w:rStyle w:val="82"/>
        </w:rPr>
        <w:t>{E}</w:t>
      </w:r>
      <w:r>
        <w:rPr>
          <w:rStyle w:val="69"/>
        </w:rPr>
        <w:t>\rightarrow</w:t>
      </w:r>
      <w:r>
        <w:rPr>
          <w:rStyle w:val="82"/>
        </w:rPr>
        <w:t xml:space="preserve"> </w:t>
      </w:r>
      <w:r>
        <w:rPr>
          <w:rStyle w:val="69"/>
        </w:rPr>
        <w:t>\mathcal</w:t>
      </w:r>
      <w:r>
        <w:rPr>
          <w:rStyle w:val="82"/>
        </w:rPr>
        <w:t>{T}_e</w:t>
      </w:r>
    </w:p>
    <w:p w14:paraId="04A04097">
      <w:pPr>
        <w:pStyle w:val="23"/>
      </w:pPr>
      <w:r>
        <w:rPr>
          <w:rFonts w:hint="eastAsia"/>
        </w:rPr>
        <w:t>其中</w:t>
      </w:r>
      <w:r>
        <w:t xml:space="preserve"> (\mathcal{T}^{(v)}) </w:t>
      </w:r>
      <w:r>
        <w:rPr>
          <w:rFonts w:hint="eastAsia"/>
        </w:rPr>
        <w:t>包括</w:t>
      </w:r>
      <w:r>
        <w:t xml:space="preserve"> Ticket、Entity、Location、Device、Camera </w:t>
      </w:r>
      <w:r>
        <w:rPr>
          <w:rFonts w:hint="eastAsia"/>
        </w:rPr>
        <w:t>等节点类型，(\mathcal{T}^{(e)})</w:t>
      </w:r>
      <w:r>
        <w:t xml:space="preserve"> </w:t>
      </w:r>
      <w:r>
        <w:rPr>
          <w:rFonts w:hint="eastAsia"/>
        </w:rPr>
        <w:t>包括</w:t>
      </w:r>
      <w:r>
        <w:t xml:space="preserve"> HAS_ENTITY、REL、LOCATED_AT、COVERS、PART_OF、REFERS_TO_ASSET、REFERS_TO_LOC </w:t>
      </w:r>
      <w:r>
        <w:rPr>
          <w:rFonts w:hint="eastAsia"/>
        </w:rPr>
        <w:t>等边类型。该形式化表达支持在统一语义空间内完成：票据要素检索、资产拓扑反查、摄像头覆盖查询与时空范围过滤等下游任务。</w:t>
      </w:r>
    </w:p>
    <w:p w14:paraId="0C0C1288">
      <w:pPr>
        <w:pStyle w:val="3"/>
      </w:pPr>
      <w:r>
        <w:rPr>
          <w:rFonts w:hint="eastAsia"/>
        </w:rPr>
        <w:t>4）实体链接与空间语义对齐。考虑到冷启动阶段缺乏完备台账与标准编码，本项目采用可解释的字符串规则匹配完成票据实体与基础设施实体对齐。记票据实体为</w:t>
      </w:r>
      <w:r>
        <w:t xml:space="preserve"> </w:t>
      </w:r>
      <w:r>
        <w:rPr>
          <w:rFonts w:hint="eastAsia"/>
        </w:rPr>
        <w:t>(e)，资产库实体为</w:t>
      </w:r>
      <w:r>
        <w:t xml:space="preserve"> </w:t>
      </w:r>
      <w:r>
        <w:rPr>
          <w:rFonts w:hint="eastAsia"/>
        </w:rPr>
        <w:t>(a)，定义规范化算子</w:t>
      </w:r>
      <w:r>
        <w:t xml:space="preserve"> </w:t>
      </w:r>
      <w:r>
        <w:rPr>
          <w:rFonts w:hint="eastAsia"/>
        </w:rPr>
        <w:t>(N(\cdot))（去空白、大小写规约、符号清理），并定义匹配谓词：</w:t>
      </w:r>
    </w:p>
    <w:p w14:paraId="00A270DE">
      <w:pPr>
        <w:pStyle w:val="3"/>
      </w:pPr>
      <m:oMathPara>
        <m:oMathParaPr>
          <m:jc m:val="center"/>
        </m:oMathParaPr>
        <m:oMath>
          <m:r>
            <m:rPr>
              <m:sty m:val="p"/>
            </m:rPr>
            <m:t>match</m:t>
          </m:r>
          <m:d>
            <m:dPr>
              <m:sepChr m:val=""/>
            </m:dPr>
            <m:e>
              <m:r>
                <m:rPr/>
                <m:t>e</m:t>
              </m:r>
              <m:r>
                <m:rPr>
                  <m:sty m:val="p"/>
                </m:rPr>
                <m:t>,</m:t>
              </m:r>
              <m:r>
                <m:rPr/>
                <m:t>a</m:t>
              </m:r>
            </m:e>
          </m:d>
          <m:r>
            <m:rPr>
              <m:sty m:val="p"/>
            </m:rPr>
            <m:t>=</m:t>
          </m:r>
          <m:r>
            <m:rPr>
              <m:sty m:val="p"/>
              <m:scr m:val="double-struck"/>
            </m:rPr>
            <m:t>I</m:t>
          </m:r>
          <m:d>
            <m:dPr>
              <m:sepChr m:val=""/>
            </m:dPr>
            <m:e>
              <m:r>
                <m:rPr/>
                <m:t>N</m:t>
              </m:r>
              <m:d>
                <m:dPr>
                  <m:sepChr m:val=""/>
                </m:dPr>
                <m:e>
                  <m:r>
                    <m:rPr/>
                    <m:t>e</m:t>
                  </m:r>
                </m:e>
              </m:d>
              <m:r>
                <m:rPr>
                  <m:sty m:val="p"/>
                </m:rPr>
                <m:t>=</m:t>
              </m:r>
              <m:r>
                <m:rPr/>
                <m:t>N</m:t>
              </m:r>
              <m:d>
                <m:dPr>
                  <m:sepChr m:val=""/>
                </m:dPr>
                <m:e>
                  <m:r>
                    <m:rPr/>
                    <m:t>a</m:t>
                  </m:r>
                </m:e>
              </m:d>
              <m:r>
                <m:rPr/>
                <m:t> </m:t>
              </m:r>
              <m:r>
                <m:rPr>
                  <m:sty m:val="p"/>
                </m:rPr>
                <m:t>∨</m:t>
              </m:r>
              <m:r>
                <m:rPr/>
                <m:t> N</m:t>
              </m:r>
              <m:d>
                <m:dPr>
                  <m:sepChr m:val=""/>
                </m:dPr>
                <m:e>
                  <m:r>
                    <m:rPr/>
                    <m:t>e</m:t>
                  </m:r>
                </m:e>
              </m:d>
              <m:r>
                <m:rPr>
                  <m:sty m:val="p"/>
                </m:rPr>
                <m:t>⊂</m:t>
              </m:r>
              <m:r>
                <m:rPr/>
                <m:t>N</m:t>
              </m:r>
              <m:d>
                <m:dPr>
                  <m:sepChr m:val=""/>
                </m:dPr>
                <m:e>
                  <m:r>
                    <m:rPr/>
                    <m:t>a</m:t>
                  </m:r>
                </m:e>
              </m:d>
              <m:r>
                <m:rPr/>
                <m:t> </m:t>
              </m:r>
              <m:r>
                <m:rPr>
                  <m:sty m:val="p"/>
                </m:rPr>
                <m:t>∨</m:t>
              </m:r>
              <m:r>
                <m:rPr/>
                <m:t> N</m:t>
              </m:r>
              <m:d>
                <m:dPr>
                  <m:sepChr m:val=""/>
                </m:dPr>
                <m:e>
                  <m:r>
                    <m:rPr/>
                    <m:t>a</m:t>
                  </m:r>
                </m:e>
              </m:d>
              <m:r>
                <m:rPr>
                  <m:sty m:val="p"/>
                </m:rPr>
                <m:t>⊂</m:t>
              </m:r>
              <m:r>
                <m:rPr/>
                <m:t>N</m:t>
              </m:r>
              <m:d>
                <m:dPr>
                  <m:sepChr m:val=""/>
                </m:dPr>
                <m:e>
                  <m:r>
                    <m:rPr/>
                    <m:t>e</m:t>
                  </m:r>
                </m:e>
              </m:d>
            </m:e>
          </m:d>
          <m:r>
            <m:rPr/>
            <m:t>  </m:t>
          </m:r>
          <m:r>
            <m:rPr>
              <m:nor/>
              <m:sty m:val="p"/>
            </m:rPr>
            <w:rPr>
              <w:b w:val="0"/>
              <w:i w:val="0"/>
            </w:rPr>
            <m:t>(2)</m:t>
          </m:r>
        </m:oMath>
      </m:oMathPara>
    </w:p>
    <w:p w14:paraId="2D582FF0">
      <w:pPr>
        <w:pStyle w:val="23"/>
      </w:pPr>
      <w:r>
        <w:rPr>
          <w:rFonts w:hint="eastAsia"/>
        </w:rPr>
        <w:t>当</w:t>
      </w:r>
      <w:r>
        <w:t xml:space="preserve"> (\mathrm{match}(e,a)=1) </w:t>
      </w:r>
      <w:r>
        <w:rPr>
          <w:rFonts w:hint="eastAsia"/>
        </w:rPr>
        <w:t>时建立链接边（如</w:t>
      </w:r>
      <w:r>
        <w:t xml:space="preserve"> Entity(\rightarrow)Device </w:t>
      </w:r>
      <w:r>
        <w:rPr>
          <w:rFonts w:hint="eastAsia"/>
        </w:rPr>
        <w:t>的</w:t>
      </w:r>
      <w:r>
        <w:t xml:space="preserve"> </w:t>
      </w:r>
      <w:r>
        <w:rPr>
          <w:rFonts w:hint="eastAsia"/>
        </w:rPr>
        <w:t>REFERS_TO_ASSET，Entity(\rightarrow)Location</w:t>
      </w:r>
      <w:r>
        <w:t xml:space="preserve"> </w:t>
      </w:r>
      <w:r>
        <w:rPr>
          <w:rFonts w:hint="eastAsia"/>
        </w:rPr>
        <w:t>的</w:t>
      </w:r>
      <w:r>
        <w:t xml:space="preserve"> </w:t>
      </w:r>
      <w:r>
        <w:rPr>
          <w:rFonts w:hint="eastAsia"/>
        </w:rPr>
        <w:t>REFERS_TO_LOC）。该方法具有</w:t>
      </w:r>
      <w:r>
        <w:rPr>
          <w:rFonts w:hint="eastAsia"/>
          <w:b/>
          <w:bCs/>
        </w:rPr>
        <w:t>低成本、可审计、易回退</w:t>
      </w:r>
      <w:r>
        <w:rPr>
          <w:rFonts w:hint="eastAsia"/>
        </w:rPr>
        <w:t>等优点，适用于工程联调与逐步引入更强匹配模型（向量检索、别名词典、设备编码规则等）的渐进演进路径。</w:t>
      </w:r>
    </w:p>
    <w:p w14:paraId="4023DE05">
      <w:pPr>
        <w:pStyle w:val="3"/>
      </w:pPr>
      <w:r>
        <w:rPr>
          <w:rFonts w:hint="eastAsia"/>
        </w:rPr>
        <w:t>在更一般的学术表述中，可将实体链接写为“候选生成</w:t>
      </w:r>
      <w:r>
        <w:t xml:space="preserve"> + </w:t>
      </w:r>
      <w:r>
        <w:rPr>
          <w:rFonts w:hint="eastAsia"/>
        </w:rPr>
        <w:t>相似度打分</w:t>
      </w:r>
      <w:r>
        <w:t xml:space="preserve"> + </w:t>
      </w:r>
      <w:r>
        <w:rPr>
          <w:rFonts w:hint="eastAsia"/>
        </w:rPr>
        <w:t>置信度阈值”的统一框架。记候选集为</w:t>
      </w:r>
      <w:r>
        <w:t xml:space="preserve"> (\mathcal{A}(e)\subseteq </w:t>
      </w:r>
      <w:r>
        <w:rPr>
          <w:rFonts w:hint="eastAsia"/>
        </w:rPr>
        <w:t>\mathcal{A})，定义相似度函数</w:t>
      </w:r>
      <w:r>
        <w:t xml:space="preserve"> </w:t>
      </w:r>
      <w:r>
        <w:rPr>
          <w:rFonts w:hint="eastAsia"/>
        </w:rPr>
        <w:t>(s(e,a)\in[0,1])（如规范化后字符串包含、编辑距离归一化、token</w:t>
      </w:r>
      <w:r>
        <w:t xml:space="preserve"> Jaccard </w:t>
      </w:r>
      <w:r>
        <w:rPr>
          <w:rFonts w:hint="eastAsia"/>
        </w:rPr>
        <w:t>等的加权组合），则：</w:t>
      </w:r>
    </w:p>
    <w:p w14:paraId="78CE13D1">
      <w:pPr>
        <w:pStyle w:val="3"/>
      </w:pPr>
      <w:r>
        <w:t>$$a^\*(e)=\arg\max_{a\in \mathcal{A}(e)} s(e,a),\quad \text{link}\Leftrightarrow s(e,a^\*(e))\ge \gamma\qquad\text{(3)}$$</w:t>
      </w:r>
    </w:p>
    <w:p w14:paraId="4FC795E2">
      <w:pPr>
        <w:pStyle w:val="23"/>
      </w:pPr>
      <w:r>
        <w:rPr>
          <w:rFonts w:hint="eastAsia"/>
        </w:rPr>
        <w:t>当</w:t>
      </w:r>
      <w:r>
        <w:t xml:space="preserve"> (s(\cdot,\cdot)) </w:t>
      </w:r>
      <w:r>
        <w:rPr>
          <w:rFonts w:hint="eastAsia"/>
        </w:rPr>
        <w:t>退化为上一段的匹配谓词</w:t>
      </w:r>
      <w:r>
        <w:t xml:space="preserve"> (\mathrm{match}(\cdot,\cdot)) </w:t>
      </w:r>
      <w:r>
        <w:rPr>
          <w:rFonts w:hint="eastAsia"/>
        </w:rPr>
        <w:t>时，即得到当前工程可落地的低成本实现。复杂度上，朴素全量匹配为</w:t>
      </w:r>
      <w:r>
        <w:t xml:space="preserve"> </w:t>
      </w:r>
      <w:r>
        <w:rPr>
          <w:rFonts w:hint="eastAsia"/>
        </w:rPr>
        <w:t>(O(|\mathcal{E}|\cdot|\mathcal{A}|))；工程上可通过站点/电压等级等先验条件裁剪候选集、或用倒排索引对齐关键</w:t>
      </w:r>
      <w:r>
        <w:t xml:space="preserve"> token </w:t>
      </w:r>
      <w:r>
        <w:rPr>
          <w:rFonts w:hint="eastAsia"/>
        </w:rPr>
        <w:t>将候选生成降为近似线性。</w:t>
      </w:r>
    </w:p>
    <w:p w14:paraId="66BE156B">
      <w:pPr>
        <w:pStyle w:val="3"/>
      </w:pPr>
      <w:r>
        <w:rPr>
          <w:rFonts w:hint="eastAsia"/>
        </w:rPr>
        <w:t>5）时空一致性校验与约束传播。对解析出的计划时间窗</w:t>
      </w:r>
      <w:r>
        <w:t xml:space="preserve"> ([t_s,t_e]) </w:t>
      </w:r>
      <w:r>
        <w:rPr>
          <w:rFonts w:hint="eastAsia"/>
        </w:rPr>
        <w:t>与监控侧生效窗口进行一致性约束，典型的生效函数可表示为：</w:t>
      </w:r>
    </w:p>
    <w:p w14:paraId="185E4CDC">
      <w:pPr>
        <w:pStyle w:val="49"/>
      </w:pPr>
      <w:r>
        <w:rPr>
          <w:rStyle w:val="69"/>
        </w:rPr>
        <w:t>\mathrm</w:t>
      </w:r>
      <w:r>
        <w:rPr>
          <w:rStyle w:val="82"/>
        </w:rPr>
        <w:t>{Active}(t)=</w:t>
      </w:r>
      <w:r>
        <w:rPr>
          <w:rStyle w:val="69"/>
        </w:rPr>
        <w:t>\mathbb</w:t>
      </w:r>
      <w:r>
        <w:rPr>
          <w:rStyle w:val="82"/>
        </w:rPr>
        <w:t>{I}(t_s</w:t>
      </w:r>
      <w:r>
        <w:rPr>
          <w:rStyle w:val="69"/>
        </w:rPr>
        <w:t>\le</w:t>
      </w:r>
      <w:r>
        <w:rPr>
          <w:rStyle w:val="82"/>
        </w:rPr>
        <w:t xml:space="preserve"> t</w:t>
      </w:r>
      <w:r>
        <w:rPr>
          <w:rStyle w:val="69"/>
        </w:rPr>
        <w:t>\le</w:t>
      </w:r>
      <w:r>
        <w:rPr>
          <w:rStyle w:val="82"/>
        </w:rPr>
        <w:t xml:space="preserve"> t_e)</w:t>
      </w:r>
      <w:r>
        <w:rPr>
          <w:rStyle w:val="69"/>
        </w:rPr>
        <w:t>\cdot</w:t>
      </w:r>
      <w:r>
        <w:rPr>
          <w:rStyle w:val="82"/>
        </w:rPr>
        <w:t xml:space="preserve"> </w:t>
      </w:r>
      <w:r>
        <w:rPr>
          <w:rStyle w:val="69"/>
        </w:rPr>
        <w:t>\mathbb</w:t>
      </w:r>
      <w:r>
        <w:rPr>
          <w:rStyle w:val="82"/>
        </w:rPr>
        <w:t>{I}(h_s</w:t>
      </w:r>
      <w:r>
        <w:rPr>
          <w:rStyle w:val="69"/>
        </w:rPr>
        <w:t>\le</w:t>
      </w:r>
      <w:r>
        <w:rPr>
          <w:rStyle w:val="82"/>
        </w:rPr>
        <w:t xml:space="preserve"> </w:t>
      </w:r>
      <w:r>
        <w:rPr>
          <w:rStyle w:val="69"/>
        </w:rPr>
        <w:t>\mathrm</w:t>
      </w:r>
      <w:r>
        <w:rPr>
          <w:rStyle w:val="82"/>
        </w:rPr>
        <w:t>{hour}(t)</w:t>
      </w:r>
      <w:r>
        <w:rPr>
          <w:rStyle w:val="69"/>
        </w:rPr>
        <w:t>\le</w:t>
      </w:r>
      <w:r>
        <w:rPr>
          <w:rStyle w:val="82"/>
        </w:rPr>
        <w:t xml:space="preserve"> h_e)</w:t>
      </w:r>
    </w:p>
    <w:p w14:paraId="0A23012A">
      <w:pPr>
        <w:pStyle w:val="23"/>
      </w:pPr>
      <w:r>
        <w:rPr>
          <w:rFonts w:hint="eastAsia"/>
        </w:rPr>
        <w:t>其中</w:t>
      </w:r>
      <w:r>
        <w:t xml:space="preserve"> ([h_s,h_e]) </w:t>
      </w:r>
      <w:r>
        <w:rPr>
          <w:rFonts w:hint="eastAsia"/>
        </w:rPr>
        <w:t>表示工作时段（可由站点习惯或票据字段下发），用于在非作业时间抑制无意义监测与告警。</w:t>
      </w:r>
    </w:p>
    <w:p w14:paraId="0B3C11AD">
      <w:pPr>
        <w:pStyle w:val="3"/>
      </w:pPr>
      <w:r>
        <w:rPr>
          <w:rFonts w:hint="eastAsia"/>
        </w:rPr>
        <w:t>进一步地，资源映射可形式化为从“票据空间语义”到“可观测资源集合”的映射算子。记基础设施图上的摄像头覆盖关系为</w:t>
      </w:r>
      <w:r>
        <w:t xml:space="preserve"> (C(l)\subseteq </w:t>
      </w:r>
      <w:r>
        <w:rPr>
          <w:rFonts w:hint="eastAsia"/>
        </w:rPr>
        <w:t>\mathcal{C})（地点</w:t>
      </w:r>
      <w:r>
        <w:t xml:space="preserve"> (l) </w:t>
      </w:r>
      <w:r>
        <w:rPr>
          <w:rFonts w:hint="eastAsia"/>
        </w:rPr>
        <w:t>可观测的摄像头集合），票据实体集合中与地点相关的子集为</w:t>
      </w:r>
      <w:r>
        <w:t xml:space="preserve"> (\mathcal{E}</w:t>
      </w:r>
      <w:r>
        <w:rPr>
          <w:rFonts w:hint="eastAsia"/>
          <w:i/>
          <w:iCs/>
        </w:rPr>
        <w:t>{loc})，链接函数为</w:t>
      </w:r>
      <w:r>
        <w:rPr>
          <w:i/>
          <w:iCs/>
        </w:rPr>
        <w:t xml:space="preserve"> (\ell:\mathcal{E}</w:t>
      </w:r>
      <w:r>
        <w:t xml:space="preserve">{loc}\rightarrow </w:t>
      </w:r>
      <w:r>
        <w:rPr>
          <w:rFonts w:hint="eastAsia"/>
        </w:rPr>
        <w:t>\mathcal{L})（由</w:t>
      </w:r>
      <w:r>
        <w:t xml:space="preserve"> REFERS_TO_LOC </w:t>
      </w:r>
      <w:r>
        <w:rPr>
          <w:rFonts w:hint="eastAsia"/>
        </w:rPr>
        <w:t>给出）。则联动目标摄像头集合可表示为：</w:t>
      </w:r>
    </w:p>
    <w:p w14:paraId="634178E8">
      <w:pPr>
        <w:pStyle w:val="49"/>
      </w:pPr>
      <w:r>
        <w:rPr>
          <w:rStyle w:val="69"/>
        </w:rPr>
        <w:t>\mathcal</w:t>
      </w:r>
      <w:r>
        <w:rPr>
          <w:rStyle w:val="82"/>
        </w:rPr>
        <w:t>{C}^</w:t>
      </w:r>
      <w:r>
        <w:rPr>
          <w:rStyle w:val="69"/>
        </w:rPr>
        <w:t>\*</w:t>
      </w:r>
      <w:r>
        <w:rPr>
          <w:rStyle w:val="82"/>
        </w:rPr>
        <w:t>=</w:t>
      </w:r>
      <w:r>
        <w:rPr>
          <w:rStyle w:val="69"/>
        </w:rPr>
        <w:t>\bigcup</w:t>
      </w:r>
      <w:r>
        <w:rPr>
          <w:rStyle w:val="82"/>
        </w:rPr>
        <w:t>_{e</w:t>
      </w:r>
      <w:r>
        <w:rPr>
          <w:rStyle w:val="69"/>
        </w:rPr>
        <w:t>\in</w:t>
      </w:r>
      <w:r>
        <w:rPr>
          <w:rStyle w:val="82"/>
        </w:rPr>
        <w:t xml:space="preserve"> </w:t>
      </w:r>
      <w:r>
        <w:rPr>
          <w:rStyle w:val="69"/>
        </w:rPr>
        <w:t>\mathcal</w:t>
      </w:r>
      <w:r>
        <w:rPr>
          <w:rStyle w:val="82"/>
        </w:rPr>
        <w:t>{E}_{loc}} C(</w:t>
      </w:r>
      <w:r>
        <w:rPr>
          <w:rStyle w:val="69"/>
        </w:rPr>
        <w:t>\ell</w:t>
      </w:r>
      <w:r>
        <w:rPr>
          <w:rStyle w:val="82"/>
        </w:rPr>
        <w:t>(e))</w:t>
      </w:r>
    </w:p>
    <w:p w14:paraId="7B8E2DA8">
      <w:pPr>
        <w:pStyle w:val="23"/>
      </w:pPr>
      <w:r>
        <w:rPr>
          <w:rFonts w:hint="eastAsia"/>
        </w:rPr>
        <w:t>该集合为配置下发与监控调度提供“可解释的关联依据”：每一路流为何进入携票运行，可追溯到“票面地点实体</w:t>
      </w:r>
      <w:r>
        <w:t xml:space="preserve"> → </w:t>
      </w:r>
      <w:r>
        <w:rPr>
          <w:rFonts w:hint="eastAsia"/>
        </w:rPr>
        <w:t>链接到的基础设施地点</w:t>
      </w:r>
      <w:r>
        <w:t xml:space="preserve"> → </w:t>
      </w:r>
      <w:r>
        <w:rPr>
          <w:rFonts w:hint="eastAsia"/>
        </w:rPr>
        <w:t>覆盖摄像头集合”的路径证据。</w:t>
      </w:r>
    </w:p>
    <w:p w14:paraId="0945576E">
      <w:pPr>
        <w:pStyle w:val="3"/>
      </w:pPr>
      <w:r>
        <w:rPr>
          <w:rFonts w:hint="eastAsia"/>
        </w:rPr>
        <w:t>在工程联动中，若</w:t>
      </w:r>
      <w:r>
        <w:t xml:space="preserve"> (\mathcal{C}^*) </w:t>
      </w:r>
      <w:r>
        <w:rPr>
          <w:rFonts w:hint="eastAsia"/>
        </w:rPr>
        <w:t>为空或规模异常（如覆盖摄像头过多），系统可依据站点维度的默认策略进行降级：例如退化为“站点级全量携票但不启用高成本检测”、或要求补充更细粒度的位置要素后再触发精确映射。该设计将“关联失败”显式化为可控状态，避免因静默失败导致漏监或误监，同时为后续引入更强的空间语义（如区域多边形、设备编码规则、向量召回候选集）预留扩展空间。</w:t>
      </w:r>
    </w:p>
    <w:p w14:paraId="446153BF">
      <w:pPr>
        <w:pStyle w:val="3"/>
      </w:pPr>
      <w:r>
        <w:rPr>
          <w:rFonts w:hint="eastAsia"/>
        </w:rPr>
        <w:t>6）复杂度与工程代价分析（定性）。在端到端链路中，主要代价来源包括：图像预处理（像素级线性复杂度）、OCR</w:t>
      </w:r>
      <w:r>
        <w:t xml:space="preserve"> </w:t>
      </w:r>
      <w:r>
        <w:rPr>
          <w:rFonts w:hint="eastAsia"/>
        </w:rPr>
        <w:t>推理（与输入分辨率、版面复杂度相关）、实体抽取（与</w:t>
      </w:r>
      <w:r>
        <w:t xml:space="preserve"> token </w:t>
      </w:r>
      <w:r>
        <w:rPr>
          <w:rFonts w:hint="eastAsia"/>
        </w:rPr>
        <w:t>长度与查询集合规模相关）、实体链接（与候选资产规模相关）以及可选的大模型调用（外部服务时延与成本）。因此工程上采用“可插拔阶段</w:t>
      </w:r>
      <w:r>
        <w:t xml:space="preserve"> + </w:t>
      </w:r>
      <w:r>
        <w:rPr>
          <w:rFonts w:hint="eastAsia"/>
        </w:rPr>
        <w:t>阈值触发”的策略：在大多数常规票据上以</w:t>
      </w:r>
      <w:r>
        <w:t xml:space="preserve"> </w:t>
      </w:r>
      <w:r>
        <w:rPr>
          <w:rFonts w:hint="eastAsia"/>
        </w:rPr>
        <w:t>OCR+MRC+规则获得可用结果，仅在复杂样本或关键字段不确定时触发大模型阶段，以达到“可靠性—成本—时延”的平衡。</w:t>
      </w:r>
    </w:p>
    <w:bookmarkEnd w:id="5"/>
    <w:p w14:paraId="277BBA43">
      <w:pPr>
        <w:pStyle w:val="6"/>
      </w:pPr>
      <w:bookmarkStart w:id="6" w:name="六）安全可控的闭环联动从解析结果到可执行配置"/>
      <w:r>
        <w:rPr>
          <w:rFonts w:hint="eastAsia"/>
        </w:rPr>
        <w:t>（六）安全可控的闭环联动：从解析结果到可执行配置</w:t>
      </w:r>
    </w:p>
    <w:p w14:paraId="776C8725">
      <w:pPr>
        <w:pStyle w:val="23"/>
      </w:pPr>
      <w:r>
        <w:rPr>
          <w:rFonts w:hint="eastAsia"/>
        </w:rPr>
        <w:t>为实现“票据驱动”的可执行闭环，本项目提供标准化接口将票号与时间窗写入配置管理系统，形成跨服务联动能力：</w:t>
      </w:r>
    </w:p>
    <w:p w14:paraId="0D51D311">
      <w:pPr>
        <w:pStyle w:val="3"/>
      </w:pPr>
      <w:r>
        <w:rPr>
          <w:rFonts w:hint="eastAsia"/>
        </w:rPr>
        <w:t>闭环联动遵循“最小可用、最小变更、可追溯回退”的工程原则：在不依赖图谱与大模型的情况下也可完成票号与时间窗的最小闭环；在启用图谱与实体链接后再逐步收敛到“精确到摄像头/流”的细粒度策略；在任何阶段都保留中间产物与下发记录，以支持事后复盘与责任追溯。为降低联动风险，下发前对关键字段执行一致性校验（时间窗合法、站点存在、票号可用），下发过程强调幂等写入与更新范围可控，避免因重复请求或网络重试造成配置漂移。</w:t>
      </w:r>
    </w:p>
    <w:p w14:paraId="0E45BA40">
      <w:pPr>
        <w:pStyle w:val="3"/>
      </w:pPr>
      <w:r>
        <w:rPr>
          <w:rFonts w:hint="eastAsia"/>
        </w:rPr>
        <w:t>1）工作票解析接口。通过</w:t>
      </w:r>
      <w:r>
        <w:t xml:space="preserve"> Ticket API </w:t>
      </w:r>
      <w:r>
        <w:rPr>
          <w:rFonts w:hint="eastAsia"/>
        </w:rPr>
        <w:t>接收工作票图片，执行“预处理</w:t>
      </w:r>
      <w:r>
        <w:t xml:space="preserve"> + OCR + NER + </w:t>
      </w:r>
      <w:r>
        <w:rPr>
          <w:rFonts w:hint="eastAsia"/>
        </w:rPr>
        <w:t>规则补全</w:t>
      </w:r>
      <w:r>
        <w:t xml:space="preserve"> </w:t>
      </w:r>
      <w:r>
        <w:rPr>
          <w:rFonts w:hint="eastAsia"/>
        </w:rPr>
        <w:t>+（可选）大模型关系抽取</w:t>
      </w:r>
      <w:r>
        <w:t xml:space="preserve"> </w:t>
      </w:r>
      <w:r>
        <w:rPr>
          <w:rFonts w:hint="eastAsia"/>
        </w:rPr>
        <w:t>+（可选）图谱写入”，输出结构化实体与关系结果，并可返回中间产物路径用于追溯与复现。</w:t>
      </w:r>
    </w:p>
    <w:p w14:paraId="572008C0">
      <w:pPr>
        <w:pStyle w:val="3"/>
      </w:pPr>
      <w:r>
        <w:rPr>
          <w:rFonts w:hint="eastAsia"/>
        </w:rPr>
        <w:t>2）站点级工单号下发接口（集成联动）。在解析完成后，可选调用配置管理服务的“按站点批量下发”接口，将：</w:t>
      </w:r>
    </w:p>
    <w:p w14:paraId="2559538E">
      <w:pPr>
        <w:numPr>
          <w:ilvl w:val="0"/>
          <w:numId w:val="1"/>
        </w:numPr>
      </w:pPr>
      <w:r>
        <w:rPr>
          <w:rFonts w:hint="eastAsia"/>
        </w:rPr>
        <w:t>票号（ticket_no/active_ticket_no）</w:t>
      </w:r>
    </w:p>
    <w:p w14:paraId="6DEEA952">
      <w:pPr>
        <w:numPr>
          <w:ilvl w:val="0"/>
          <w:numId w:val="1"/>
        </w:numPr>
      </w:pPr>
      <w:r>
        <w:rPr>
          <w:rFonts w:hint="eastAsia"/>
        </w:rPr>
        <w:t>生效窗口（active_from/active_to，来自</w:t>
      </w:r>
      <w:r>
        <w:t xml:space="preserve"> TimeRange </w:t>
      </w:r>
      <w:r>
        <w:rPr>
          <w:rFonts w:hint="eastAsia"/>
        </w:rPr>
        <w:t>解析）</w:t>
      </w:r>
    </w:p>
    <w:p w14:paraId="6F7CB628">
      <w:pPr>
        <w:numPr>
          <w:ilvl w:val="0"/>
          <w:numId w:val="1"/>
        </w:numPr>
      </w:pPr>
      <w:r>
        <w:rPr>
          <w:rFonts w:hint="eastAsia"/>
        </w:rPr>
        <w:t>工作时段（work_start_hour/work_end_hour，可按需指定）</w:t>
      </w:r>
    </w:p>
    <w:p w14:paraId="61E861F4">
      <w:pPr>
        <w:numPr>
          <w:ilvl w:val="0"/>
          <w:numId w:val="1"/>
        </w:numPr>
      </w:pPr>
      <w:r>
        <w:rPr>
          <w:rFonts w:hint="eastAsia"/>
        </w:rPr>
        <w:t>检测开关（detect_*，可按需指定）</w:t>
      </w:r>
    </w:p>
    <w:p w14:paraId="6246CA4E">
      <w:pPr>
        <w:pStyle w:val="23"/>
      </w:pPr>
      <w:r>
        <w:rPr>
          <w:rFonts w:hint="eastAsia"/>
        </w:rPr>
        <w:t>写入对应站点下的所有视频流配置，使监控主程序在轮询配置时自动携带</w:t>
      </w:r>
      <w:r>
        <w:t xml:space="preserve"> </w:t>
      </w:r>
      <w:r>
        <w:rPr>
          <w:rStyle w:val="48"/>
        </w:rPr>
        <w:t>active_ticket_no</w:t>
      </w:r>
      <w:r>
        <w:t xml:space="preserve"> </w:t>
      </w:r>
      <w:r>
        <w:rPr>
          <w:rFonts w:hint="eastAsia"/>
        </w:rPr>
        <w:t>进入检测与告警归档链路，实现“票据—监控”最小闭环联调。</w:t>
      </w:r>
    </w:p>
    <w:p w14:paraId="44B292F5">
      <w:pPr>
        <w:pStyle w:val="3"/>
      </w:pPr>
      <w:r>
        <w:rPr>
          <w:rFonts w:hint="eastAsia"/>
        </w:rPr>
        <w:t>从系统可靠性角度，该下发过程可以抽象为对站点下多个流配置的原子更新集合：要么全部成功更新并返回明确的</w:t>
      </w:r>
      <w:r>
        <w:t xml:space="preserve"> </w:t>
      </w:r>
      <w:r>
        <w:rPr>
          <w:rFonts w:hint="eastAsia"/>
        </w:rPr>
        <w:t>updated_stream_config_ids，要么在失败时给出错误原因并保持原配置不变。工程上建议同时记录下发请求的</w:t>
      </w:r>
      <w:r>
        <w:t xml:space="preserve"> </w:t>
      </w:r>
      <w:r>
        <w:rPr>
          <w:rFonts w:hint="eastAsia"/>
        </w:rPr>
        <w:t>request_id、票号、时间窗、更新清单与时间戳，作为“配置变更审计”的最小证据；并对票据联动设置显式过期边界（active_to</w:t>
      </w:r>
      <w:r>
        <w:t xml:space="preserve"> </w:t>
      </w:r>
      <w:r>
        <w:rPr>
          <w:rFonts w:hint="eastAsia"/>
        </w:rPr>
        <w:t>到期自动失效），确保策略不会在作业结束后长期残留。</w:t>
      </w:r>
    </w:p>
    <w:bookmarkEnd w:id="6"/>
    <w:p w14:paraId="0D6C7947">
      <w:pPr>
        <w:pStyle w:val="6"/>
      </w:pPr>
      <w:bookmarkStart w:id="7" w:name="七）关键输出要素与数据契约摘要）"/>
      <w:r>
        <w:rPr>
          <w:rFonts w:hint="eastAsia"/>
        </w:rPr>
        <w:t>（七）关键输出要素与数据契约（摘要）</w:t>
      </w:r>
    </w:p>
    <w:p w14:paraId="3654EE93">
      <w:pPr>
        <w:pStyle w:val="23"/>
      </w:pPr>
      <w:r>
        <w:rPr>
          <w:rFonts w:hint="eastAsia"/>
        </w:rPr>
        <w:t>为便于系统对接与验收，本课题将工作票解析输出统一抽象为“实体集合</w:t>
      </w:r>
      <w:r>
        <w:t xml:space="preserve"> + </w:t>
      </w:r>
      <w:r>
        <w:rPr>
          <w:rFonts w:hint="eastAsia"/>
        </w:rPr>
        <w:t>关系集合</w:t>
      </w:r>
      <w:r>
        <w:t xml:space="preserve"> </w:t>
      </w:r>
      <w:r>
        <w:rPr>
          <w:rFonts w:hint="eastAsia"/>
        </w:rPr>
        <w:t>+（可选）图谱写入状态</w:t>
      </w:r>
      <w:r>
        <w:t xml:space="preserve"> </w:t>
      </w:r>
      <w:r>
        <w:rPr>
          <w:rFonts w:hint="eastAsia"/>
        </w:rPr>
        <w:t>+（可选）配置同步状态”。关键要素与用途如下表所示。</w:t>
      </w:r>
    </w:p>
    <w:tbl>
      <w:tblPr>
        <w:tblStyle w:val="41"/>
        <w:tblW w:w="0" w:type="auto"/>
        <w:tblInd w:w="0" w:type="dxa"/>
        <w:tblLayout w:type="autofit"/>
        <w:tblCellMar>
          <w:top w:w="0" w:type="dxa"/>
          <w:left w:w="108" w:type="dxa"/>
          <w:bottom w:w="0" w:type="dxa"/>
          <w:right w:w="108" w:type="dxa"/>
        </w:tblCellMar>
      </w:tblPr>
      <w:tblGrid>
        <w:gridCol w:w="900"/>
        <w:gridCol w:w="2094"/>
        <w:gridCol w:w="1837"/>
        <w:gridCol w:w="1574"/>
        <w:gridCol w:w="2451"/>
      </w:tblGrid>
      <w:tr w14:paraId="2344A632">
        <w:tblPrEx>
          <w:tblCellMar>
            <w:top w:w="0" w:type="dxa"/>
            <w:left w:w="108" w:type="dxa"/>
            <w:bottom w:w="0" w:type="dxa"/>
            <w:right w:w="108" w:type="dxa"/>
          </w:tblCellMar>
        </w:tblPrEx>
        <w:trPr>
          <w:tblHeader/>
        </w:trPr>
        <w:tc>
          <w:p w14:paraId="4F81B06D">
            <w:pPr>
              <w:pStyle w:val="24"/>
            </w:pPr>
            <w:r>
              <w:rPr>
                <w:rFonts w:hint="eastAsia"/>
              </w:rPr>
              <w:t>要素类别</w:t>
            </w:r>
          </w:p>
        </w:tc>
        <w:tc>
          <w:p w14:paraId="636D61F8">
            <w:pPr>
              <w:pStyle w:val="24"/>
            </w:pPr>
            <w:r>
              <w:rPr>
                <w:rFonts w:hint="eastAsia"/>
              </w:rPr>
              <w:t>典型类型/标签</w:t>
            </w:r>
          </w:p>
        </w:tc>
        <w:tc>
          <w:p w14:paraId="2908FA44">
            <w:pPr>
              <w:pStyle w:val="24"/>
            </w:pPr>
            <w:r>
              <w:rPr>
                <w:rFonts w:hint="eastAsia"/>
              </w:rPr>
              <w:t>含义（面向工作票语义）</w:t>
            </w:r>
          </w:p>
        </w:tc>
        <w:tc>
          <w:p w14:paraId="0671D461">
            <w:pPr>
              <w:pStyle w:val="24"/>
            </w:pPr>
            <w:r>
              <w:rPr>
                <w:rFonts w:hint="eastAsia"/>
              </w:rPr>
              <w:t>主要来源</w:t>
            </w:r>
          </w:p>
        </w:tc>
        <w:tc>
          <w:p w14:paraId="1A855DD0">
            <w:pPr>
              <w:pStyle w:val="24"/>
            </w:pPr>
            <w:r>
              <w:rPr>
                <w:rFonts w:hint="eastAsia"/>
              </w:rPr>
              <w:t>下游用途</w:t>
            </w:r>
          </w:p>
        </w:tc>
      </w:tr>
      <w:tr w14:paraId="3C63D40D">
        <w:tblPrEx>
          <w:tblCellMar>
            <w:top w:w="0" w:type="dxa"/>
            <w:left w:w="108" w:type="dxa"/>
            <w:bottom w:w="0" w:type="dxa"/>
            <w:right w:w="108" w:type="dxa"/>
          </w:tblCellMar>
        </w:tblPrEx>
        <w:tc>
          <w:p w14:paraId="1ACD040D">
            <w:pPr>
              <w:pStyle w:val="24"/>
            </w:pPr>
            <w:r>
              <w:rPr>
                <w:rFonts w:hint="eastAsia"/>
              </w:rPr>
              <w:t>票据标识</w:t>
            </w:r>
          </w:p>
        </w:tc>
        <w:tc>
          <w:p w14:paraId="77086616">
            <w:pPr>
              <w:pStyle w:val="24"/>
            </w:pPr>
            <w:r>
              <w:t>TicketNo</w:t>
            </w:r>
          </w:p>
        </w:tc>
        <w:tc>
          <w:p w14:paraId="0675DB8D">
            <w:pPr>
              <w:pStyle w:val="24"/>
            </w:pPr>
            <w:r>
              <w:rPr>
                <w:rFonts w:hint="eastAsia"/>
              </w:rPr>
              <w:t>工作票编号/工单号</w:t>
            </w:r>
          </w:p>
        </w:tc>
        <w:tc>
          <w:p w14:paraId="6C049BF7">
            <w:pPr>
              <w:pStyle w:val="24"/>
            </w:pPr>
            <w:r>
              <w:rPr>
                <w:rFonts w:hint="eastAsia"/>
              </w:rPr>
              <w:t>规则抽取</w:t>
            </w:r>
            <w:r>
              <w:t xml:space="preserve"> + NER</w:t>
            </w:r>
          </w:p>
        </w:tc>
        <w:tc>
          <w:p w14:paraId="79973B60">
            <w:pPr>
              <w:pStyle w:val="24"/>
            </w:pPr>
            <w:r>
              <w:rPr>
                <w:rFonts w:hint="eastAsia"/>
              </w:rPr>
              <w:t>关联监控告警、检索与归档主键</w:t>
            </w:r>
          </w:p>
        </w:tc>
      </w:tr>
      <w:tr w14:paraId="5A09448A">
        <w:tblPrEx>
          <w:tblCellMar>
            <w:top w:w="0" w:type="dxa"/>
            <w:left w:w="108" w:type="dxa"/>
            <w:bottom w:w="0" w:type="dxa"/>
            <w:right w:w="108" w:type="dxa"/>
          </w:tblCellMar>
        </w:tblPrEx>
        <w:tc>
          <w:p w14:paraId="7C96AD1C">
            <w:pPr>
              <w:pStyle w:val="24"/>
            </w:pPr>
            <w:r>
              <w:rPr>
                <w:rFonts w:hint="eastAsia"/>
              </w:rPr>
              <w:t>时间窗</w:t>
            </w:r>
          </w:p>
        </w:tc>
        <w:tc>
          <w:p w14:paraId="0A3DBD1E">
            <w:pPr>
              <w:pStyle w:val="24"/>
            </w:pPr>
            <w:r>
              <w:t>TIME / TimeRange</w:t>
            </w:r>
          </w:p>
        </w:tc>
        <w:tc>
          <w:p w14:paraId="172DDA67">
            <w:pPr>
              <w:pStyle w:val="24"/>
            </w:pPr>
            <w:r>
              <w:rPr>
                <w:rFonts w:hint="eastAsia"/>
              </w:rPr>
              <w:t>计划起止时间</w:t>
            </w:r>
          </w:p>
        </w:tc>
        <w:tc>
          <w:p w14:paraId="336B1F01">
            <w:pPr>
              <w:pStyle w:val="24"/>
            </w:pPr>
            <w:r>
              <w:t xml:space="preserve">NER + </w:t>
            </w:r>
            <w:r>
              <w:rPr>
                <w:rFonts w:hint="eastAsia"/>
              </w:rPr>
              <w:t>规则抽取</w:t>
            </w:r>
          </w:p>
        </w:tc>
        <w:tc>
          <w:p w14:paraId="568B7962">
            <w:pPr>
              <w:pStyle w:val="24"/>
            </w:pPr>
            <w:r>
              <w:rPr>
                <w:rFonts w:hint="eastAsia"/>
              </w:rPr>
              <w:t>监控生效窗口、告警过滤、事后回溯</w:t>
            </w:r>
          </w:p>
        </w:tc>
      </w:tr>
      <w:tr w14:paraId="5A65CD11">
        <w:tblPrEx>
          <w:tblCellMar>
            <w:top w:w="0" w:type="dxa"/>
            <w:left w:w="108" w:type="dxa"/>
            <w:bottom w:w="0" w:type="dxa"/>
            <w:right w:w="108" w:type="dxa"/>
          </w:tblCellMar>
        </w:tblPrEx>
        <w:tc>
          <w:p w14:paraId="3647674F">
            <w:pPr>
              <w:pStyle w:val="24"/>
            </w:pPr>
            <w:r>
              <w:rPr>
                <w:rFonts w:hint="eastAsia"/>
              </w:rPr>
              <w:t>空间语义</w:t>
            </w:r>
          </w:p>
        </w:tc>
        <w:tc>
          <w:p w14:paraId="7527385E">
            <w:pPr>
              <w:pStyle w:val="24"/>
            </w:pPr>
            <w:r>
              <w:t>LOCATION / Location</w:t>
            </w:r>
          </w:p>
        </w:tc>
        <w:tc>
          <w:p w14:paraId="5A6779E2">
            <w:pPr>
              <w:pStyle w:val="24"/>
            </w:pPr>
            <w:r>
              <w:rPr>
                <w:rFonts w:hint="eastAsia"/>
              </w:rPr>
              <w:t>站点/区域/作业地点</w:t>
            </w:r>
          </w:p>
        </w:tc>
        <w:tc>
          <w:p w14:paraId="1C819396">
            <w:pPr>
              <w:pStyle w:val="24"/>
            </w:pPr>
            <w:r>
              <w:t xml:space="preserve">NER + </w:t>
            </w:r>
            <w:r>
              <w:rPr>
                <w:rFonts w:hint="eastAsia"/>
              </w:rPr>
              <w:t>规则抽取</w:t>
            </w:r>
          </w:p>
        </w:tc>
        <w:tc>
          <w:p w14:paraId="19FD8A12">
            <w:pPr>
              <w:pStyle w:val="24"/>
            </w:pPr>
            <w:r>
              <w:rPr>
                <w:rFonts w:hint="eastAsia"/>
              </w:rPr>
              <w:t>站点级策略下发、图谱定位与查询</w:t>
            </w:r>
          </w:p>
        </w:tc>
      </w:tr>
      <w:tr w14:paraId="4EDABD0A">
        <w:tblPrEx>
          <w:tblCellMar>
            <w:top w:w="0" w:type="dxa"/>
            <w:left w:w="108" w:type="dxa"/>
            <w:bottom w:w="0" w:type="dxa"/>
            <w:right w:w="108" w:type="dxa"/>
          </w:tblCellMar>
        </w:tblPrEx>
        <w:tc>
          <w:p w14:paraId="3FF5FBEF">
            <w:pPr>
              <w:pStyle w:val="24"/>
            </w:pPr>
            <w:r>
              <w:rPr>
                <w:rFonts w:hint="eastAsia"/>
              </w:rPr>
              <w:t>设备对象</w:t>
            </w:r>
          </w:p>
        </w:tc>
        <w:tc>
          <w:p w14:paraId="264C95A3">
            <w:pPr>
              <w:pStyle w:val="24"/>
            </w:pPr>
            <w:r>
              <w:t>EQUIPMENT</w:t>
            </w:r>
          </w:p>
        </w:tc>
        <w:tc>
          <w:p w14:paraId="28B562B4">
            <w:pPr>
              <w:pStyle w:val="24"/>
            </w:pPr>
            <w:r>
              <w:rPr>
                <w:rFonts w:hint="eastAsia"/>
              </w:rPr>
              <w:t>目标设备/对象</w:t>
            </w:r>
          </w:p>
        </w:tc>
        <w:tc>
          <w:p w14:paraId="230927D1">
            <w:pPr>
              <w:pStyle w:val="24"/>
            </w:pPr>
            <w:r>
              <w:t xml:space="preserve">NER + </w:t>
            </w:r>
            <w:r>
              <w:rPr>
                <w:rFonts w:hint="eastAsia"/>
              </w:rPr>
              <w:t>后处理纠偏</w:t>
            </w:r>
          </w:p>
        </w:tc>
        <w:tc>
          <w:p w14:paraId="1F35943D">
            <w:pPr>
              <w:pStyle w:val="24"/>
            </w:pPr>
            <w:r>
              <w:rPr>
                <w:rFonts w:hint="eastAsia"/>
              </w:rPr>
              <w:t>设备级资源映射、风险归因</w:t>
            </w:r>
          </w:p>
        </w:tc>
      </w:tr>
      <w:tr w14:paraId="5D5AE37D">
        <w:tblPrEx>
          <w:tblCellMar>
            <w:top w:w="0" w:type="dxa"/>
            <w:left w:w="108" w:type="dxa"/>
            <w:bottom w:w="0" w:type="dxa"/>
            <w:right w:w="108" w:type="dxa"/>
          </w:tblCellMar>
        </w:tblPrEx>
        <w:tc>
          <w:p w14:paraId="38BBF86B">
            <w:pPr>
              <w:pStyle w:val="24"/>
            </w:pPr>
            <w:r>
              <w:rPr>
                <w:rFonts w:hint="eastAsia"/>
              </w:rPr>
              <w:t>作业内容</w:t>
            </w:r>
          </w:p>
        </w:tc>
        <w:tc>
          <w:p w14:paraId="718D5598">
            <w:pPr>
              <w:pStyle w:val="24"/>
            </w:pPr>
            <w:r>
              <w:t>TASK / CONTENT</w:t>
            </w:r>
          </w:p>
        </w:tc>
        <w:tc>
          <w:p w14:paraId="5E9DF3CA">
            <w:pPr>
              <w:pStyle w:val="24"/>
            </w:pPr>
            <w:r>
              <w:rPr>
                <w:rFonts w:hint="eastAsia"/>
              </w:rPr>
              <w:t>作业任务描述</w:t>
            </w:r>
          </w:p>
        </w:tc>
        <w:tc>
          <w:p w14:paraId="7EF0A500">
            <w:pPr>
              <w:pStyle w:val="24"/>
            </w:pPr>
            <w:r>
              <w:t xml:space="preserve">NER + </w:t>
            </w:r>
            <w:r>
              <w:rPr>
                <w:rFonts w:hint="eastAsia"/>
              </w:rPr>
              <w:t>规则抽取</w:t>
            </w:r>
          </w:p>
        </w:tc>
        <w:tc>
          <w:p w14:paraId="746FD455">
            <w:pPr>
              <w:pStyle w:val="24"/>
            </w:pPr>
            <w:r>
              <w:rPr>
                <w:rFonts w:hint="eastAsia"/>
              </w:rPr>
              <w:t>生成预警报告、规则选择与解释</w:t>
            </w:r>
          </w:p>
        </w:tc>
      </w:tr>
      <w:tr w14:paraId="2F2903F4">
        <w:tblPrEx>
          <w:tblCellMar>
            <w:top w:w="0" w:type="dxa"/>
            <w:left w:w="108" w:type="dxa"/>
            <w:bottom w:w="0" w:type="dxa"/>
            <w:right w:w="108" w:type="dxa"/>
          </w:tblCellMar>
        </w:tblPrEx>
        <w:tc>
          <w:p w14:paraId="0BA256FC">
            <w:pPr>
              <w:pStyle w:val="24"/>
            </w:pPr>
            <w:r>
              <w:rPr>
                <w:rFonts w:hint="eastAsia"/>
              </w:rPr>
              <w:t>安全措施</w:t>
            </w:r>
          </w:p>
        </w:tc>
        <w:tc>
          <w:p w14:paraId="6AE0F0F1">
            <w:pPr>
              <w:pStyle w:val="24"/>
            </w:pPr>
            <w:r>
              <w:t>SAFETY</w:t>
            </w:r>
          </w:p>
        </w:tc>
        <w:tc>
          <w:p w14:paraId="3A96EEA0">
            <w:pPr>
              <w:pStyle w:val="24"/>
            </w:pPr>
            <w:r>
              <w:rPr>
                <w:rFonts w:hint="eastAsia"/>
              </w:rPr>
              <w:t>关键措施条目</w:t>
            </w:r>
          </w:p>
        </w:tc>
        <w:tc>
          <w:p w14:paraId="272EB8AE">
            <w:pPr>
              <w:pStyle w:val="24"/>
            </w:pPr>
            <w:r>
              <w:t xml:space="preserve">NER + </w:t>
            </w:r>
            <w:r>
              <w:rPr>
                <w:rFonts w:hint="eastAsia"/>
              </w:rPr>
              <w:t>规则抽取</w:t>
            </w:r>
          </w:p>
        </w:tc>
        <w:tc>
          <w:p w14:paraId="1977B710">
            <w:pPr>
              <w:pStyle w:val="24"/>
            </w:pPr>
            <w:r>
              <w:rPr>
                <w:rFonts w:hint="eastAsia"/>
              </w:rPr>
              <w:t>预控要点提示、事后审计比对</w:t>
            </w:r>
          </w:p>
        </w:tc>
      </w:tr>
      <w:tr w14:paraId="2DF7AE46">
        <w:tblPrEx>
          <w:tblCellMar>
            <w:top w:w="0" w:type="dxa"/>
            <w:left w:w="108" w:type="dxa"/>
            <w:bottom w:w="0" w:type="dxa"/>
            <w:right w:w="108" w:type="dxa"/>
          </w:tblCellMar>
        </w:tblPrEx>
        <w:tc>
          <w:p w14:paraId="197E58CD">
            <w:pPr>
              <w:pStyle w:val="24"/>
            </w:pPr>
            <w:r>
              <w:rPr>
                <w:rFonts w:hint="eastAsia"/>
              </w:rPr>
              <w:t>角色/人员</w:t>
            </w:r>
          </w:p>
        </w:tc>
        <w:tc>
          <w:p w14:paraId="6301F40B">
            <w:pPr>
              <w:pStyle w:val="24"/>
            </w:pPr>
            <w:r>
              <w:t xml:space="preserve">PERSON </w:t>
            </w:r>
            <w:r>
              <w:rPr>
                <w:rFonts w:hint="eastAsia"/>
              </w:rPr>
              <w:t>及角色标签</w:t>
            </w:r>
          </w:p>
        </w:tc>
        <w:tc>
          <w:p w14:paraId="62FD037D">
            <w:pPr>
              <w:pStyle w:val="24"/>
            </w:pPr>
            <w:r>
              <w:rPr>
                <w:rFonts w:hint="eastAsia"/>
              </w:rPr>
              <w:t>负责人/许可人/监护人等</w:t>
            </w:r>
          </w:p>
        </w:tc>
        <w:tc>
          <w:p w14:paraId="11A9110A">
            <w:pPr>
              <w:pStyle w:val="24"/>
            </w:pPr>
            <w:r>
              <w:rPr>
                <w:rFonts w:hint="eastAsia"/>
              </w:rPr>
              <w:t>规则抽取为主</w:t>
            </w:r>
          </w:p>
        </w:tc>
        <w:tc>
          <w:p w14:paraId="131BE599">
            <w:pPr>
              <w:pStyle w:val="24"/>
            </w:pPr>
            <w:r>
              <w:rPr>
                <w:rFonts w:hint="eastAsia"/>
              </w:rPr>
              <w:t>审批链与责任追溯支撑</w:t>
            </w:r>
          </w:p>
        </w:tc>
      </w:tr>
      <w:tr w14:paraId="32F80184">
        <w:tblPrEx>
          <w:tblCellMar>
            <w:top w:w="0" w:type="dxa"/>
            <w:left w:w="108" w:type="dxa"/>
            <w:bottom w:w="0" w:type="dxa"/>
            <w:right w:w="108" w:type="dxa"/>
          </w:tblCellMar>
        </w:tblPrEx>
        <w:tc>
          <w:p w14:paraId="3DF7DB85">
            <w:pPr>
              <w:pStyle w:val="24"/>
            </w:pPr>
            <w:r>
              <w:rPr>
                <w:rFonts w:hint="eastAsia"/>
              </w:rPr>
              <w:t>关系集合</w:t>
            </w:r>
          </w:p>
        </w:tc>
        <w:tc>
          <w:p w14:paraId="7B067E54">
            <w:pPr>
              <w:pStyle w:val="24"/>
            </w:pPr>
            <w:r>
              <w:rPr>
                <w:rFonts w:hint="eastAsia"/>
              </w:rPr>
              <w:t>REL（含置信度）</w:t>
            </w:r>
          </w:p>
        </w:tc>
        <w:tc>
          <w:p w14:paraId="666AFE50">
            <w:pPr>
              <w:pStyle w:val="24"/>
            </w:pPr>
            <w:r>
              <w:rPr>
                <w:rFonts w:hint="eastAsia"/>
              </w:rPr>
              <w:t>实体间语义关系</w:t>
            </w:r>
          </w:p>
        </w:tc>
        <w:tc>
          <w:p w14:paraId="41364FD9">
            <w:pPr>
              <w:pStyle w:val="24"/>
            </w:pPr>
            <w:r>
              <w:rPr>
                <w:rFonts w:hint="eastAsia"/>
              </w:rPr>
              <w:t>大模型抽取（可选）</w:t>
            </w:r>
          </w:p>
        </w:tc>
        <w:tc>
          <w:p w14:paraId="2C4200F1">
            <w:pPr>
              <w:pStyle w:val="24"/>
            </w:pPr>
            <w:r>
              <w:rPr>
                <w:rFonts w:hint="eastAsia"/>
              </w:rPr>
              <w:t>图谱推理、问答与审计</w:t>
            </w:r>
          </w:p>
        </w:tc>
      </w:tr>
      <w:bookmarkEnd w:id="7"/>
    </w:tbl>
    <w:p w14:paraId="43317E24">
      <w:pPr>
        <w:pStyle w:val="6"/>
      </w:pPr>
      <w:bookmarkStart w:id="8" w:name="八）工程实现与接口契约对齐本项目实现）"/>
      <w:r>
        <w:rPr>
          <w:rFonts w:hint="eastAsia"/>
        </w:rPr>
        <w:t>（八）工程实现与接口契约对齐（本项目实现）</w:t>
      </w:r>
    </w:p>
    <w:p w14:paraId="442CB3B5">
      <w:pPr>
        <w:pStyle w:val="23"/>
      </w:pPr>
      <w:r>
        <w:rPr>
          <w:rFonts w:hint="eastAsia"/>
        </w:rPr>
        <w:t>为避免“论文式架构与工程实现脱节”，本课题将关键能力以可复现的代码路径与接口契约固化，并支持按场景启用/禁用（如关闭大模型、关闭图谱写入、仅站点级同步等），以降低联调成本并提升交付确定性。核心模块对应关系如下表所示。</w:t>
      </w:r>
    </w:p>
    <w:tbl>
      <w:tblPr>
        <w:tblStyle w:val="41"/>
        <w:tblW w:w="0" w:type="auto"/>
        <w:tblInd w:w="0" w:type="dxa"/>
        <w:tblLayout w:type="autofit"/>
        <w:tblCellMar>
          <w:top w:w="0" w:type="dxa"/>
          <w:left w:w="108" w:type="dxa"/>
          <w:bottom w:w="0" w:type="dxa"/>
          <w:right w:w="108" w:type="dxa"/>
        </w:tblCellMar>
      </w:tblPr>
      <w:tblGrid>
        <w:gridCol w:w="527"/>
        <w:gridCol w:w="1851"/>
        <w:gridCol w:w="2149"/>
        <w:gridCol w:w="4329"/>
      </w:tblGrid>
      <w:tr w14:paraId="0498782A">
        <w:tblPrEx>
          <w:tblCellMar>
            <w:top w:w="0" w:type="dxa"/>
            <w:left w:w="108" w:type="dxa"/>
            <w:bottom w:w="0" w:type="dxa"/>
            <w:right w:w="108" w:type="dxa"/>
          </w:tblCellMar>
        </w:tblPrEx>
        <w:trPr>
          <w:tblHeader/>
        </w:trPr>
        <w:tc>
          <w:p w14:paraId="5595BF8A">
            <w:pPr>
              <w:pStyle w:val="24"/>
            </w:pPr>
            <w:r>
              <w:rPr>
                <w:rFonts w:hint="eastAsia"/>
              </w:rPr>
              <w:t>能力环节</w:t>
            </w:r>
          </w:p>
        </w:tc>
        <w:tc>
          <w:p w14:paraId="48E2C4CA">
            <w:pPr>
              <w:pStyle w:val="24"/>
            </w:pPr>
            <w:r>
              <w:rPr>
                <w:rFonts w:hint="eastAsia"/>
              </w:rPr>
              <w:t>输入形态</w:t>
            </w:r>
          </w:p>
        </w:tc>
        <w:tc>
          <w:p w14:paraId="7312B1B6">
            <w:pPr>
              <w:pStyle w:val="24"/>
            </w:pPr>
            <w:r>
              <w:rPr>
                <w:rFonts w:hint="eastAsia"/>
              </w:rPr>
              <w:t>输出形态</w:t>
            </w:r>
          </w:p>
        </w:tc>
        <w:tc>
          <w:p w14:paraId="1041D1C6">
            <w:pPr>
              <w:pStyle w:val="24"/>
            </w:pPr>
            <w:r>
              <w:rPr>
                <w:rFonts w:hint="eastAsia"/>
              </w:rPr>
              <w:t>对应实现（代码/接口）</w:t>
            </w:r>
          </w:p>
        </w:tc>
      </w:tr>
      <w:tr w14:paraId="6C8744A5">
        <w:tblPrEx>
          <w:tblCellMar>
            <w:top w:w="0" w:type="dxa"/>
            <w:left w:w="108" w:type="dxa"/>
            <w:bottom w:w="0" w:type="dxa"/>
            <w:right w:w="108" w:type="dxa"/>
          </w:tblCellMar>
        </w:tblPrEx>
        <w:tc>
          <w:p w14:paraId="79D0EA92">
            <w:pPr>
              <w:pStyle w:val="24"/>
            </w:pPr>
            <w:r>
              <w:rPr>
                <w:rFonts w:hint="eastAsia"/>
              </w:rPr>
              <w:t>工作票解析</w:t>
            </w:r>
            <w:r>
              <w:t xml:space="preserve"> API</w:t>
            </w:r>
          </w:p>
        </w:tc>
        <w:tc>
          <w:p w14:paraId="71DDB911">
            <w:pPr>
              <w:pStyle w:val="24"/>
            </w:pPr>
            <w:r>
              <w:rPr>
                <w:rFonts w:hint="eastAsia"/>
              </w:rPr>
              <w:t>工作票图片（multipart/form-data）</w:t>
            </w:r>
          </w:p>
        </w:tc>
        <w:tc>
          <w:p w14:paraId="5F7D33F3">
            <w:pPr>
              <w:pStyle w:val="24"/>
            </w:pPr>
            <w:r>
              <w:rPr>
                <w:rFonts w:hint="eastAsia"/>
              </w:rPr>
              <w:t>结构化结果（entities/relationships/状态）</w:t>
            </w:r>
          </w:p>
        </w:tc>
        <w:tc>
          <w:p w14:paraId="2DB150FE">
            <w:pPr>
              <w:pStyle w:val="24"/>
            </w:pPr>
            <w:r>
              <w:rPr>
                <w:rFonts w:hint="eastAsia"/>
              </w:rPr>
              <w:t>Ticket：</w:t>
            </w:r>
            <w:r>
              <w:rPr>
                <w:rStyle w:val="48"/>
              </w:rPr>
              <w:t>POST /api/v1/parse_ticket</w:t>
            </w:r>
            <w:r>
              <w:rPr>
                <w:rFonts w:hint="eastAsia"/>
              </w:rPr>
              <w:t>（ticket/service/api_server.py）</w:t>
            </w:r>
          </w:p>
        </w:tc>
      </w:tr>
      <w:tr w14:paraId="017B04DE">
        <w:tblPrEx>
          <w:tblCellMar>
            <w:top w:w="0" w:type="dxa"/>
            <w:left w:w="108" w:type="dxa"/>
            <w:bottom w:w="0" w:type="dxa"/>
            <w:right w:w="108" w:type="dxa"/>
          </w:tblCellMar>
        </w:tblPrEx>
        <w:tc>
          <w:p w14:paraId="037D9E21">
            <w:pPr>
              <w:pStyle w:val="24"/>
            </w:pPr>
            <w:r>
              <w:rPr>
                <w:rFonts w:hint="eastAsia"/>
              </w:rPr>
              <w:t>图像预处理</w:t>
            </w:r>
            <w:r>
              <w:t xml:space="preserve"> + OCR</w:t>
            </w:r>
          </w:p>
        </w:tc>
        <w:tc>
          <w:p w14:paraId="4AAE7927">
            <w:pPr>
              <w:pStyle w:val="24"/>
            </w:pPr>
            <w:r>
              <w:rPr>
                <w:rFonts w:hint="eastAsia"/>
              </w:rPr>
              <w:t>原始图像</w:t>
            </w:r>
          </w:p>
        </w:tc>
        <w:tc>
          <w:p w14:paraId="45CC43DF">
            <w:pPr>
              <w:pStyle w:val="24"/>
            </w:pPr>
            <w:r>
              <w:t xml:space="preserve">OCR </w:t>
            </w:r>
            <w:r>
              <w:rPr>
                <w:rFonts w:hint="eastAsia"/>
              </w:rPr>
              <w:t>JSON（版面块</w:t>
            </w:r>
            <w:r>
              <w:t xml:space="preserve"> + </w:t>
            </w:r>
            <w:r>
              <w:rPr>
                <w:rFonts w:hint="eastAsia"/>
              </w:rPr>
              <w:t>文本）</w:t>
            </w:r>
          </w:p>
        </w:tc>
        <w:tc>
          <w:p w14:paraId="3823A0DF">
            <w:pPr>
              <w:pStyle w:val="24"/>
            </w:pPr>
            <w:r>
              <w:rPr>
                <w:rFonts w:hint="eastAsia"/>
              </w:rPr>
              <w:t>PaddleOCR-VL：ticket/paddle_models/preprocess_and_ocr.py；预处理：ticket/paddle_models/image_preprocess.py</w:t>
            </w:r>
          </w:p>
        </w:tc>
      </w:tr>
      <w:tr w14:paraId="5783CB10">
        <w:tblPrEx>
          <w:tblCellMar>
            <w:top w:w="0" w:type="dxa"/>
            <w:left w:w="108" w:type="dxa"/>
            <w:bottom w:w="0" w:type="dxa"/>
            <w:right w:w="108" w:type="dxa"/>
          </w:tblCellMar>
        </w:tblPrEx>
        <w:tc>
          <w:p w14:paraId="2C8D3CF0">
            <w:pPr>
              <w:pStyle w:val="24"/>
            </w:pPr>
            <w:r>
              <w:t xml:space="preserve">MRC-NER </w:t>
            </w:r>
            <w:r>
              <w:rPr>
                <w:rFonts w:hint="eastAsia"/>
              </w:rPr>
              <w:t>实体抽取</w:t>
            </w:r>
          </w:p>
        </w:tc>
        <w:tc>
          <w:p w14:paraId="4143B9CE">
            <w:pPr>
              <w:pStyle w:val="24"/>
            </w:pPr>
            <w:r>
              <w:t xml:space="preserve">OCR JSON → </w:t>
            </w:r>
            <w:r>
              <w:rPr>
                <w:rFonts w:hint="eastAsia"/>
              </w:rPr>
              <w:t>文本块</w:t>
            </w:r>
          </w:p>
        </w:tc>
        <w:tc>
          <w:p w14:paraId="562B9116">
            <w:pPr>
              <w:pStyle w:val="24"/>
            </w:pPr>
            <w:r>
              <w:t xml:space="preserve">NER </w:t>
            </w:r>
            <w:r>
              <w:rPr>
                <w:rFonts w:hint="eastAsia"/>
              </w:rPr>
              <w:t>JSON（blocks/entities）</w:t>
            </w:r>
          </w:p>
        </w:tc>
        <w:tc>
          <w:p w14:paraId="31A504D4">
            <w:pPr>
              <w:pStyle w:val="24"/>
            </w:pPr>
            <w:r>
              <w:rPr>
                <w:rFonts w:hint="eastAsia"/>
              </w:rPr>
              <w:t>ticket/mrc-for-flat-nested-ner/inference/work_ticket_ner_from_ocr_json.py；查询模板：ticket/mrc-for-flat-nested-ner/ner2mrc/queries/work_ticket.json</w:t>
            </w:r>
          </w:p>
        </w:tc>
      </w:tr>
      <w:tr w14:paraId="4580CC78">
        <w:tblPrEx>
          <w:tblCellMar>
            <w:top w:w="0" w:type="dxa"/>
            <w:left w:w="108" w:type="dxa"/>
            <w:bottom w:w="0" w:type="dxa"/>
            <w:right w:w="108" w:type="dxa"/>
          </w:tblCellMar>
        </w:tblPrEx>
        <w:tc>
          <w:p w14:paraId="2FEE4EF7">
            <w:pPr>
              <w:pStyle w:val="24"/>
            </w:pPr>
            <w:r>
              <w:rPr>
                <w:rFonts w:hint="eastAsia"/>
              </w:rPr>
              <w:t>规则补全与后处理</w:t>
            </w:r>
          </w:p>
        </w:tc>
        <w:tc>
          <w:p w14:paraId="4889C310">
            <w:pPr>
              <w:pStyle w:val="24"/>
            </w:pPr>
            <w:r>
              <w:t xml:space="preserve">OCR </w:t>
            </w:r>
            <w:r>
              <w:rPr>
                <w:rFonts w:hint="eastAsia"/>
              </w:rPr>
              <w:t>全文</w:t>
            </w:r>
            <w:r>
              <w:t xml:space="preserve"> + NER entities</w:t>
            </w:r>
          </w:p>
        </w:tc>
        <w:tc>
          <w:p w14:paraId="09AB97EC">
            <w:pPr>
              <w:pStyle w:val="24"/>
            </w:pPr>
            <w:r>
              <w:rPr>
                <w:rFonts w:hint="eastAsia"/>
              </w:rPr>
              <w:t>统一</w:t>
            </w:r>
            <w:r>
              <w:t xml:space="preserve"> </w:t>
            </w:r>
            <w:r>
              <w:rPr>
                <w:rFonts w:hint="eastAsia"/>
              </w:rPr>
              <w:t>entities（去重/纠偏/补全）</w:t>
            </w:r>
          </w:p>
        </w:tc>
        <w:tc>
          <w:p w14:paraId="0A5F6897">
            <w:pPr>
              <w:pStyle w:val="24"/>
            </w:pPr>
            <w:r>
              <w:rPr>
                <w:rFonts w:hint="eastAsia"/>
              </w:rPr>
              <w:t>ticket/service/unified_pipeline.py（_postprocess_entities、_rule_entities_from_text</w:t>
            </w:r>
            <w:r>
              <w:t xml:space="preserve"> </w:t>
            </w:r>
            <w:r>
              <w:rPr>
                <w:rFonts w:hint="eastAsia"/>
              </w:rPr>
              <w:t>等）</w:t>
            </w:r>
          </w:p>
        </w:tc>
      </w:tr>
      <w:tr w14:paraId="1CDE0FB8">
        <w:tblPrEx>
          <w:tblCellMar>
            <w:top w:w="0" w:type="dxa"/>
            <w:left w:w="108" w:type="dxa"/>
            <w:bottom w:w="0" w:type="dxa"/>
            <w:right w:w="108" w:type="dxa"/>
          </w:tblCellMar>
        </w:tblPrEx>
        <w:tc>
          <w:p w14:paraId="38CDE75B">
            <w:pPr>
              <w:pStyle w:val="24"/>
            </w:pPr>
            <w:r>
              <w:rPr>
                <w:rFonts w:hint="eastAsia"/>
              </w:rPr>
              <w:t>大模型关系抽取（可选）</w:t>
            </w:r>
          </w:p>
        </w:tc>
        <w:tc>
          <w:p w14:paraId="7ECF9B01">
            <w:pPr>
              <w:pStyle w:val="24"/>
            </w:pPr>
            <w:r>
              <w:t xml:space="preserve">OCR </w:t>
            </w:r>
            <w:r>
              <w:rPr>
                <w:rFonts w:hint="eastAsia"/>
              </w:rPr>
              <w:t>全文</w:t>
            </w:r>
            <w:r>
              <w:t xml:space="preserve"> + entities</w:t>
            </w:r>
          </w:p>
        </w:tc>
        <w:tc>
          <w:p w14:paraId="632753FE">
            <w:pPr>
              <w:pStyle w:val="24"/>
            </w:pPr>
            <w:r>
              <w:rPr>
                <w:rFonts w:hint="eastAsia"/>
              </w:rPr>
              <w:t>relationships（JSON</w:t>
            </w:r>
            <w:r>
              <w:t xml:space="preserve"> </w:t>
            </w:r>
            <w:r>
              <w:rPr>
                <w:rFonts w:hint="eastAsia"/>
              </w:rPr>
              <w:t>数组）</w:t>
            </w:r>
          </w:p>
        </w:tc>
        <w:tc>
          <w:p w14:paraId="08BE8F16">
            <w:pPr>
              <w:pStyle w:val="24"/>
            </w:pPr>
            <w:r>
              <w:rPr>
                <w:rFonts w:hint="eastAsia"/>
              </w:rPr>
              <w:t>ticket/service/ollama_client.py（extract_entity_relationships，provider=ollama/aliyun）</w:t>
            </w:r>
          </w:p>
        </w:tc>
      </w:tr>
      <w:tr w14:paraId="5ABFA5C7">
        <w:tblPrEx>
          <w:tblCellMar>
            <w:top w:w="0" w:type="dxa"/>
            <w:left w:w="108" w:type="dxa"/>
            <w:bottom w:w="0" w:type="dxa"/>
            <w:right w:w="108" w:type="dxa"/>
          </w:tblCellMar>
        </w:tblPrEx>
        <w:tc>
          <w:p w14:paraId="40C8B5D1">
            <w:pPr>
              <w:pStyle w:val="24"/>
            </w:pPr>
            <w:r>
              <w:rPr>
                <w:rFonts w:hint="eastAsia"/>
              </w:rPr>
              <w:t>图谱写入（可选）</w:t>
            </w:r>
          </w:p>
        </w:tc>
        <w:tc>
          <w:p w14:paraId="54220334">
            <w:pPr>
              <w:pStyle w:val="24"/>
            </w:pPr>
            <w:r>
              <w:t>ticket_id/ticket_no + entities + relationships</w:t>
            </w:r>
          </w:p>
        </w:tc>
        <w:tc>
          <w:p w14:paraId="78126491">
            <w:pPr>
              <w:pStyle w:val="24"/>
            </w:pPr>
            <w:r>
              <w:rPr>
                <w:rFonts w:hint="eastAsia"/>
              </w:rPr>
              <w:t>Neo4j：Ticket/Entity/REL</w:t>
            </w:r>
          </w:p>
        </w:tc>
        <w:tc>
          <w:p w14:paraId="1E8D2144">
            <w:pPr>
              <w:pStyle w:val="24"/>
            </w:pPr>
            <w:r>
              <w:rPr>
                <w:rFonts w:hint="eastAsia"/>
              </w:rPr>
              <w:t>ticket/service/neo4j_client.py（write_full_graph_to_neo4j，含约束与</w:t>
            </w:r>
            <w:r>
              <w:t xml:space="preserve"> ID </w:t>
            </w:r>
            <w:r>
              <w:rPr>
                <w:rFonts w:hint="eastAsia"/>
              </w:rPr>
              <w:t>规则）</w:t>
            </w:r>
          </w:p>
        </w:tc>
      </w:tr>
      <w:tr w14:paraId="70C9D572">
        <w:tblPrEx>
          <w:tblCellMar>
            <w:top w:w="0" w:type="dxa"/>
            <w:left w:w="108" w:type="dxa"/>
            <w:bottom w:w="0" w:type="dxa"/>
            <w:right w:w="108" w:type="dxa"/>
          </w:tblCellMar>
        </w:tblPrEx>
        <w:tc>
          <w:p w14:paraId="3E7D7895">
            <w:pPr>
              <w:pStyle w:val="24"/>
            </w:pPr>
            <w:r>
              <w:rPr>
                <w:rFonts w:hint="eastAsia"/>
              </w:rPr>
              <w:t>基建拓扑初始化（可选）</w:t>
            </w:r>
          </w:p>
        </w:tc>
        <w:tc>
          <w:p w14:paraId="183D5FDF">
            <w:pPr>
              <w:pStyle w:val="24"/>
            </w:pPr>
            <w:r>
              <w:rPr>
                <w:rFonts w:hint="eastAsia"/>
              </w:rPr>
              <w:t>站点/区域/设备/摄像头定义</w:t>
            </w:r>
          </w:p>
        </w:tc>
        <w:tc>
          <w:p w14:paraId="40D591F2">
            <w:pPr>
              <w:pStyle w:val="24"/>
            </w:pPr>
            <w:r>
              <w:rPr>
                <w:rFonts w:hint="eastAsia"/>
              </w:rPr>
              <w:t>Neo4j：Location/Device/Camera</w:t>
            </w:r>
          </w:p>
        </w:tc>
        <w:tc>
          <w:p w14:paraId="4415A174">
            <w:pPr>
              <w:pStyle w:val="24"/>
            </w:pPr>
            <w:r>
              <w:t>ticket/service/seed_infrastructure.py</w:t>
            </w:r>
          </w:p>
        </w:tc>
      </w:tr>
      <w:tr w14:paraId="3A771165">
        <w:tblPrEx>
          <w:tblCellMar>
            <w:top w:w="0" w:type="dxa"/>
            <w:left w:w="108" w:type="dxa"/>
            <w:bottom w:w="0" w:type="dxa"/>
            <w:right w:w="108" w:type="dxa"/>
          </w:tblCellMar>
        </w:tblPrEx>
        <w:tc>
          <w:p w14:paraId="5845A493">
            <w:pPr>
              <w:pStyle w:val="24"/>
            </w:pPr>
            <w:r>
              <w:rPr>
                <w:rFonts w:hint="eastAsia"/>
              </w:rPr>
              <w:t>实体链接（可选）</w:t>
            </w:r>
          </w:p>
        </w:tc>
        <w:tc>
          <w:p w14:paraId="1579C0BC">
            <w:pPr>
              <w:pStyle w:val="24"/>
            </w:pPr>
            <w:r>
              <w:t>Ticket Graph + Infrastructure Graph</w:t>
            </w:r>
          </w:p>
        </w:tc>
        <w:tc>
          <w:p w14:paraId="75143162">
            <w:pPr>
              <w:pStyle w:val="24"/>
            </w:pPr>
            <w:r>
              <w:t>REFERS_TO_ASSET / REFERS_TO_LOC</w:t>
            </w:r>
          </w:p>
        </w:tc>
        <w:tc>
          <w:p w14:paraId="2F3813CA">
            <w:pPr>
              <w:pStyle w:val="24"/>
            </w:pPr>
            <w:r>
              <w:rPr>
                <w:rFonts w:hint="eastAsia"/>
              </w:rPr>
              <w:t>ticket/service/ingest_mock_data.py（perform_entity_linking）</w:t>
            </w:r>
          </w:p>
        </w:tc>
      </w:tr>
      <w:tr w14:paraId="668700C3">
        <w:tblPrEx>
          <w:tblCellMar>
            <w:top w:w="0" w:type="dxa"/>
            <w:left w:w="108" w:type="dxa"/>
            <w:bottom w:w="0" w:type="dxa"/>
            <w:right w:w="108" w:type="dxa"/>
          </w:tblCellMar>
        </w:tblPrEx>
        <w:tc>
          <w:p w14:paraId="587E9F55">
            <w:pPr>
              <w:pStyle w:val="24"/>
            </w:pPr>
            <w:r>
              <w:rPr>
                <w:rFonts w:hint="eastAsia"/>
              </w:rPr>
              <w:t>工单号与时间窗下发（可选）</w:t>
            </w:r>
          </w:p>
        </w:tc>
        <w:tc>
          <w:p w14:paraId="052363F1">
            <w:pPr>
              <w:pStyle w:val="24"/>
            </w:pPr>
            <w:r>
              <w:t xml:space="preserve">site_name + ticket_no + active_from/active_to </w:t>
            </w:r>
            <w:r>
              <w:rPr>
                <w:rFonts w:hint="eastAsia"/>
              </w:rPr>
              <w:t>等</w:t>
            </w:r>
          </w:p>
        </w:tc>
        <w:tc>
          <w:p w14:paraId="60EC381B">
            <w:pPr>
              <w:pStyle w:val="24"/>
            </w:pPr>
            <w:r>
              <w:rPr>
                <w:rFonts w:hint="eastAsia"/>
              </w:rPr>
              <w:t>更新站点下所有</w:t>
            </w:r>
            <w:r>
              <w:t xml:space="preserve"> stream_configs</w:t>
            </w:r>
          </w:p>
        </w:tc>
        <w:tc>
          <w:p w14:paraId="0BF1093F">
            <w:pPr>
              <w:pStyle w:val="24"/>
            </w:pPr>
            <w:r>
              <w:t xml:space="preserve">DB </w:t>
            </w:r>
            <w:r>
              <w:rPr>
                <w:rFonts w:hint="eastAsia"/>
              </w:rPr>
              <w:t>Management：</w:t>
            </w:r>
            <w:r>
              <w:rPr>
                <w:rStyle w:val="48"/>
              </w:rPr>
              <w:t>POST /apply_ticket_to_site</w:t>
            </w:r>
            <w:r>
              <w:rPr>
                <w:rFonts w:hint="eastAsia"/>
              </w:rPr>
              <w:t>（Construction-Hazard-Detection/examples/db_management/routers/streams.py；Schema：examples/db_management/schemas/stream_config.py）</w:t>
            </w:r>
          </w:p>
        </w:tc>
      </w:tr>
      <w:bookmarkEnd w:id="8"/>
    </w:tbl>
    <w:p w14:paraId="17E3092D">
      <w:pPr>
        <w:pStyle w:val="6"/>
      </w:pPr>
      <w:bookmarkStart w:id="9" w:name="九）指标体系与验证方法可量化不可臆造）"/>
      <w:r>
        <w:rPr>
          <w:rFonts w:hint="eastAsia"/>
        </w:rPr>
        <w:t>（九）指标体系与验证方法（可量化、不可臆造）</w:t>
      </w:r>
    </w:p>
    <w:p w14:paraId="5DB062B7">
      <w:pPr>
        <w:pStyle w:val="23"/>
      </w:pPr>
      <w:r>
        <w:rPr>
          <w:rFonts w:hint="eastAsia"/>
        </w:rPr>
        <w:t>本课题的验证遵循“分层可测</w:t>
      </w:r>
      <w:r>
        <w:t xml:space="preserve"> + </w:t>
      </w:r>
      <w:r>
        <w:rPr>
          <w:rFonts w:hint="eastAsia"/>
        </w:rPr>
        <w:t>端到端可验”的原则：先在</w:t>
      </w:r>
      <w:r>
        <w:t xml:space="preserve"> </w:t>
      </w:r>
      <w:r>
        <w:rPr>
          <w:rFonts w:hint="eastAsia"/>
        </w:rPr>
        <w:t>OCR、实体抽取、关系抽取、实体链接等层面建立可量化指标，再以“票据解析</w:t>
      </w:r>
      <w:r>
        <w:t xml:space="preserve"> → </w:t>
      </w:r>
      <w:r>
        <w:rPr>
          <w:rFonts w:hint="eastAsia"/>
        </w:rPr>
        <w:t>图谱/配置写入</w:t>
      </w:r>
      <w:r>
        <w:t xml:space="preserve"> → </w:t>
      </w:r>
      <w:r>
        <w:rPr>
          <w:rFonts w:hint="eastAsia"/>
        </w:rPr>
        <w:t>监控携票运行”的端到端闭环进行集成验收。</w:t>
      </w:r>
    </w:p>
    <w:p w14:paraId="0C2D7B63">
      <w:pPr>
        <w:pStyle w:val="3"/>
      </w:pPr>
      <w:r>
        <w:rPr>
          <w:rFonts w:hint="eastAsia"/>
        </w:rPr>
        <w:t>0）OCR</w:t>
      </w:r>
      <w:r>
        <w:t xml:space="preserve"> </w:t>
      </w:r>
      <w:r>
        <w:rPr>
          <w:rFonts w:hint="eastAsia"/>
        </w:rPr>
        <w:t>与版面重建指标。OCR</w:t>
      </w:r>
      <w:r>
        <w:t xml:space="preserve"> </w:t>
      </w:r>
      <w:r>
        <w:rPr>
          <w:rFonts w:hint="eastAsia"/>
        </w:rPr>
        <w:t>层建议同时报告字符级错误率（CER）与词级错误率（WER），用于刻画“图像—文本”转换质量及其对下游传播的上游不确定性。以</w:t>
      </w:r>
      <w:r>
        <w:t xml:space="preserve"> CER </w:t>
      </w:r>
      <w:r>
        <w:rPr>
          <w:rFonts w:hint="eastAsia"/>
        </w:rPr>
        <w:t>为例：</w:t>
      </w:r>
    </w:p>
    <w:p w14:paraId="2F968DC4">
      <w:pPr>
        <w:pStyle w:val="49"/>
      </w:pPr>
      <w:r>
        <w:rPr>
          <w:rStyle w:val="69"/>
        </w:rPr>
        <w:t>\mathrm</w:t>
      </w:r>
      <w:r>
        <w:rPr>
          <w:rStyle w:val="82"/>
        </w:rPr>
        <w:t>{CER}=</w:t>
      </w:r>
      <w:r>
        <w:rPr>
          <w:rStyle w:val="69"/>
        </w:rPr>
        <w:t>\frac</w:t>
      </w:r>
      <w:r>
        <w:rPr>
          <w:rStyle w:val="82"/>
        </w:rPr>
        <w:t>{S+D+I}{N}</w:t>
      </w:r>
    </w:p>
    <w:p w14:paraId="7CD90DB1">
      <w:pPr>
        <w:pStyle w:val="23"/>
      </w:pPr>
      <w:r>
        <w:rPr>
          <w:rFonts w:hint="eastAsia"/>
        </w:rPr>
        <w:t>其中</w:t>
      </w:r>
      <w:r>
        <w:t xml:space="preserve"> (S,D,I) </w:t>
      </w:r>
      <w:r>
        <w:rPr>
          <w:rFonts w:hint="eastAsia"/>
        </w:rPr>
        <w:t>分别为替换/删除/插入错误数，(N)</w:t>
      </w:r>
      <w:r>
        <w:t xml:space="preserve"> </w:t>
      </w:r>
      <w:r>
        <w:rPr>
          <w:rFonts w:hint="eastAsia"/>
        </w:rPr>
        <w:t>为参考字符数。若保留版面块输出，可进一步统计块级重建的稳定性（如块序一致性比例、表格块净化前后可解析率等），用于解释“结构噪声”对抽取错误的贡献。</w:t>
      </w:r>
    </w:p>
    <w:p w14:paraId="08BFBD55">
      <w:pPr>
        <w:pStyle w:val="3"/>
      </w:pPr>
      <w:r>
        <w:rPr>
          <w:rFonts w:hint="eastAsia"/>
        </w:rPr>
        <w:t>1）实体抽取指标。对每一类实体集合</w:t>
      </w:r>
      <w:r>
        <w:t xml:space="preserve"> (\mathcal{E}) </w:t>
      </w:r>
      <w:r>
        <w:rPr>
          <w:rFonts w:hint="eastAsia"/>
        </w:rPr>
        <w:t>，以精确率、召回率与</w:t>
      </w:r>
      <w:r>
        <w:t xml:space="preserve"> F1 </w:t>
      </w:r>
      <w:r>
        <w:rPr>
          <w:rFonts w:hint="eastAsia"/>
        </w:rPr>
        <w:t>评价抽取质量：</w:t>
      </w:r>
    </w:p>
    <w:p w14:paraId="7C869410">
      <w:pPr>
        <w:pStyle w:val="49"/>
      </w:pPr>
      <w:r>
        <w:rPr>
          <w:rStyle w:val="69"/>
        </w:rPr>
        <w:t>\mathrm</w:t>
      </w:r>
      <w:r>
        <w:rPr>
          <w:rStyle w:val="82"/>
        </w:rPr>
        <w:t>{Precision}=</w:t>
      </w:r>
      <w:r>
        <w:rPr>
          <w:rStyle w:val="69"/>
        </w:rPr>
        <w:t>\frac</w:t>
      </w:r>
      <w:r>
        <w:rPr>
          <w:rStyle w:val="82"/>
        </w:rPr>
        <w:t>{</w:t>
      </w:r>
      <w:r>
        <w:rPr>
          <w:rStyle w:val="69"/>
        </w:rPr>
        <w:t>\mathrm</w:t>
      </w:r>
      <w:r>
        <w:rPr>
          <w:rStyle w:val="82"/>
        </w:rPr>
        <w:t>{TP}}{</w:t>
      </w:r>
      <w:r>
        <w:rPr>
          <w:rStyle w:val="69"/>
        </w:rPr>
        <w:t>\mathrm</w:t>
      </w:r>
      <w:r>
        <w:rPr>
          <w:rStyle w:val="82"/>
        </w:rPr>
        <w:t>{TP}+</w:t>
      </w:r>
      <w:r>
        <w:rPr>
          <w:rStyle w:val="69"/>
        </w:rPr>
        <w:t>\mathrm</w:t>
      </w:r>
      <w:r>
        <w:rPr>
          <w:rStyle w:val="82"/>
        </w:rPr>
        <w:t>{FP}},</w:t>
      </w:r>
      <w:r>
        <w:rPr>
          <w:rStyle w:val="69"/>
        </w:rPr>
        <w:t>\quad</w:t>
      </w:r>
      <w:r>
        <w:br w:type="textWrapping"/>
      </w:r>
      <w:r>
        <w:rPr>
          <w:rStyle w:val="69"/>
        </w:rPr>
        <w:t>\mathrm</w:t>
      </w:r>
      <w:r>
        <w:rPr>
          <w:rStyle w:val="82"/>
        </w:rPr>
        <w:t>{Recall}=</w:t>
      </w:r>
      <w:r>
        <w:rPr>
          <w:rStyle w:val="69"/>
        </w:rPr>
        <w:t>\frac</w:t>
      </w:r>
      <w:r>
        <w:rPr>
          <w:rStyle w:val="82"/>
        </w:rPr>
        <w:t>{</w:t>
      </w:r>
      <w:r>
        <w:rPr>
          <w:rStyle w:val="69"/>
        </w:rPr>
        <w:t>\mathrm</w:t>
      </w:r>
      <w:r>
        <w:rPr>
          <w:rStyle w:val="82"/>
        </w:rPr>
        <w:t>{TP}}{</w:t>
      </w:r>
      <w:r>
        <w:rPr>
          <w:rStyle w:val="69"/>
        </w:rPr>
        <w:t>\mathrm</w:t>
      </w:r>
      <w:r>
        <w:rPr>
          <w:rStyle w:val="82"/>
        </w:rPr>
        <w:t>{TP}+</w:t>
      </w:r>
      <w:r>
        <w:rPr>
          <w:rStyle w:val="69"/>
        </w:rPr>
        <w:t>\mathrm</w:t>
      </w:r>
      <w:r>
        <w:rPr>
          <w:rStyle w:val="82"/>
        </w:rPr>
        <w:t>{FN}},</w:t>
      </w:r>
      <w:r>
        <w:rPr>
          <w:rStyle w:val="69"/>
        </w:rPr>
        <w:t>\quad</w:t>
      </w:r>
      <w:r>
        <w:br w:type="textWrapping"/>
      </w:r>
      <w:r>
        <w:rPr>
          <w:rStyle w:val="69"/>
        </w:rPr>
        <w:t>\mathrm</w:t>
      </w:r>
      <w:r>
        <w:rPr>
          <w:rStyle w:val="82"/>
        </w:rPr>
        <w:t>{F1}=</w:t>
      </w:r>
      <w:r>
        <w:rPr>
          <w:rStyle w:val="69"/>
        </w:rPr>
        <w:t>\frac</w:t>
      </w:r>
      <w:r>
        <w:rPr>
          <w:rStyle w:val="82"/>
        </w:rPr>
        <w:t>{2</w:t>
      </w:r>
      <w:r>
        <w:rPr>
          <w:rStyle w:val="69"/>
        </w:rPr>
        <w:t>\cdot</w:t>
      </w:r>
      <w:r>
        <w:rPr>
          <w:rStyle w:val="82"/>
        </w:rPr>
        <w:t xml:space="preserve"> </w:t>
      </w:r>
      <w:r>
        <w:rPr>
          <w:rStyle w:val="69"/>
        </w:rPr>
        <w:t>\mathrm</w:t>
      </w:r>
      <w:r>
        <w:rPr>
          <w:rStyle w:val="82"/>
        </w:rPr>
        <w:t>{Precision}</w:t>
      </w:r>
      <w:r>
        <w:rPr>
          <w:rStyle w:val="69"/>
        </w:rPr>
        <w:t>\cdot</w:t>
      </w:r>
      <w:r>
        <w:rPr>
          <w:rStyle w:val="82"/>
        </w:rPr>
        <w:t xml:space="preserve"> </w:t>
      </w:r>
      <w:r>
        <w:rPr>
          <w:rStyle w:val="69"/>
        </w:rPr>
        <w:t>\mathrm</w:t>
      </w:r>
      <w:r>
        <w:rPr>
          <w:rStyle w:val="82"/>
        </w:rPr>
        <w:t>{Recall}}{</w:t>
      </w:r>
      <w:r>
        <w:rPr>
          <w:rStyle w:val="69"/>
        </w:rPr>
        <w:t>\mathrm</w:t>
      </w:r>
      <w:r>
        <w:rPr>
          <w:rStyle w:val="82"/>
        </w:rPr>
        <w:t>{Precision}+</w:t>
      </w:r>
      <w:r>
        <w:rPr>
          <w:rStyle w:val="69"/>
        </w:rPr>
        <w:t>\mathrm</w:t>
      </w:r>
      <w:r>
        <w:rPr>
          <w:rStyle w:val="82"/>
        </w:rPr>
        <w:t>{Recall}}</w:t>
      </w:r>
    </w:p>
    <w:p w14:paraId="3FA9B6C9">
      <w:pPr>
        <w:pStyle w:val="23"/>
      </w:pPr>
      <w:r>
        <w:rPr>
          <w:rFonts w:hint="eastAsia"/>
        </w:rPr>
        <w:t>其中</w:t>
      </w:r>
      <w:r>
        <w:t xml:space="preserve"> TP/FP/FN </w:t>
      </w:r>
      <w:r>
        <w:rPr>
          <w:rFonts w:hint="eastAsia"/>
        </w:rPr>
        <w:t>的判定可采用“严格匹配”（文本完全一致）或“弱匹配”（规范化后匹配）两种口径；为契合工程链路，建议同时报告两种口径，便于解释</w:t>
      </w:r>
      <w:r>
        <w:t xml:space="preserve"> OCR </w:t>
      </w:r>
      <w:r>
        <w:rPr>
          <w:rFonts w:hint="eastAsia"/>
        </w:rPr>
        <w:t>误差导致的上游传播影响。</w:t>
      </w:r>
    </w:p>
    <w:p w14:paraId="2A444250">
      <w:pPr>
        <w:pStyle w:val="3"/>
      </w:pPr>
      <w:r>
        <w:rPr>
          <w:rFonts w:hint="eastAsia"/>
        </w:rPr>
        <w:t>2）关系抽取指标。以关系三元组</w:t>
      </w:r>
      <w:r>
        <w:t xml:space="preserve"> ((s,r,o)) </w:t>
      </w:r>
      <w:r>
        <w:rPr>
          <w:rFonts w:hint="eastAsia"/>
        </w:rPr>
        <w:t>为基本单元，按关系类型进行</w:t>
      </w:r>
      <w:r>
        <w:t xml:space="preserve"> micro/macro F1 </w:t>
      </w:r>
      <w:r>
        <w:rPr>
          <w:rFonts w:hint="eastAsia"/>
        </w:rPr>
        <w:t>评估；同时保留置信度分布用于审计与阈值选择。</w:t>
      </w:r>
    </w:p>
    <w:p w14:paraId="6987DF03">
      <w:pPr>
        <w:pStyle w:val="3"/>
      </w:pPr>
      <w:r>
        <w:rPr>
          <w:rFonts w:hint="eastAsia"/>
        </w:rPr>
        <w:t>3）实体链接指标。以“票据实体</w:t>
      </w:r>
      <w:r>
        <w:t xml:space="preserve"> → </w:t>
      </w:r>
      <w:r>
        <w:rPr>
          <w:rFonts w:hint="eastAsia"/>
        </w:rPr>
        <w:t>资产实体”的</w:t>
      </w:r>
      <w:r>
        <w:t xml:space="preserve"> Top-1 </w:t>
      </w:r>
      <w:r>
        <w:rPr>
          <w:rFonts w:hint="eastAsia"/>
        </w:rPr>
        <w:t>准确率作为主指标；在引入候选集（如向量检索）后，可进一步使用</w:t>
      </w:r>
      <w:r>
        <w:t xml:space="preserve"> </w:t>
      </w:r>
      <w:r>
        <w:rPr>
          <w:rFonts w:hint="eastAsia"/>
        </w:rPr>
        <w:t>MRR（Mean</w:t>
      </w:r>
      <w:r>
        <w:t xml:space="preserve"> Reciprocal </w:t>
      </w:r>
      <w:r>
        <w:rPr>
          <w:rFonts w:hint="eastAsia"/>
        </w:rPr>
        <w:t>Rank）评价候选排序质量：</w:t>
      </w:r>
    </w:p>
    <w:p w14:paraId="6CCFDDC0">
      <w:pPr>
        <w:pStyle w:val="49"/>
      </w:pPr>
      <w:r>
        <w:rPr>
          <w:rStyle w:val="69"/>
        </w:rPr>
        <w:t>\mathrm</w:t>
      </w:r>
      <w:r>
        <w:rPr>
          <w:rStyle w:val="82"/>
        </w:rPr>
        <w:t>{MRR}=</w:t>
      </w:r>
      <w:r>
        <w:rPr>
          <w:rStyle w:val="69"/>
        </w:rPr>
        <w:t>\frac</w:t>
      </w:r>
      <w:r>
        <w:rPr>
          <w:rStyle w:val="82"/>
        </w:rPr>
        <w:t>{1}{N}</w:t>
      </w:r>
      <w:r>
        <w:rPr>
          <w:rStyle w:val="69"/>
        </w:rPr>
        <w:t>\sum</w:t>
      </w:r>
      <w:r>
        <w:rPr>
          <w:rStyle w:val="82"/>
        </w:rPr>
        <w:t>_{i=1}^{N}</w:t>
      </w:r>
      <w:r>
        <w:rPr>
          <w:rStyle w:val="69"/>
        </w:rPr>
        <w:t>\frac</w:t>
      </w:r>
      <w:r>
        <w:rPr>
          <w:rStyle w:val="82"/>
        </w:rPr>
        <w:t>{1}{</w:t>
      </w:r>
      <w:r>
        <w:rPr>
          <w:rStyle w:val="69"/>
        </w:rPr>
        <w:t>\mathrm</w:t>
      </w:r>
      <w:r>
        <w:rPr>
          <w:rStyle w:val="82"/>
        </w:rPr>
        <w:t>{rank}_i}</w:t>
      </w:r>
    </w:p>
    <w:p w14:paraId="4E569172">
      <w:pPr>
        <w:pStyle w:val="23"/>
      </w:pPr>
      <w:r>
        <w:rPr>
          <w:rFonts w:hint="eastAsia"/>
        </w:rPr>
        <w:t>4）时间窗解析与一致性指标。对解析得到的计划时间窗</w:t>
      </w:r>
      <w:r>
        <w:t xml:space="preserve"> ([t_s,t_e]) </w:t>
      </w:r>
      <w:r>
        <w:rPr>
          <w:rFonts w:hint="eastAsia"/>
        </w:rPr>
        <w:t>与标注时间窗</w:t>
      </w:r>
      <w:r>
        <w:t xml:space="preserve"> ([t_s',t_e']) </w:t>
      </w:r>
      <w:r>
        <w:rPr>
          <w:rFonts w:hint="eastAsia"/>
        </w:rPr>
        <w:t>，可采用区间</w:t>
      </w:r>
      <w:r>
        <w:t xml:space="preserve"> IoU </w:t>
      </w:r>
      <w:r>
        <w:rPr>
          <w:rFonts w:hint="eastAsia"/>
        </w:rPr>
        <w:t>衡量一致性：</w:t>
      </w:r>
    </w:p>
    <w:p w14:paraId="18D2897C">
      <w:pPr>
        <w:pStyle w:val="49"/>
      </w:pPr>
      <w:r>
        <w:rPr>
          <w:rStyle w:val="69"/>
        </w:rPr>
        <w:t>\mathrm</w:t>
      </w:r>
      <w:r>
        <w:rPr>
          <w:rStyle w:val="82"/>
        </w:rPr>
        <w:t>{IoU}_{time}=</w:t>
      </w:r>
      <w:r>
        <w:rPr>
          <w:rStyle w:val="69"/>
        </w:rPr>
        <w:t>\frac</w:t>
      </w:r>
      <w:r>
        <w:rPr>
          <w:rStyle w:val="82"/>
        </w:rPr>
        <w:t>{|[t_s,t_e]</w:t>
      </w:r>
      <w:r>
        <w:rPr>
          <w:rStyle w:val="69"/>
        </w:rPr>
        <w:t>\cap</w:t>
      </w:r>
      <w:r>
        <w:rPr>
          <w:rStyle w:val="82"/>
        </w:rPr>
        <w:t xml:space="preserve"> [t_s',t_e']|}{|[t_s,t_e]</w:t>
      </w:r>
      <w:r>
        <w:rPr>
          <w:rStyle w:val="69"/>
        </w:rPr>
        <w:t>\cup</w:t>
      </w:r>
      <w:r>
        <w:rPr>
          <w:rStyle w:val="82"/>
        </w:rPr>
        <w:t xml:space="preserve"> [t_s',t_e']|}</w:t>
      </w:r>
    </w:p>
    <w:p w14:paraId="57C72AE2">
      <w:pPr>
        <w:pStyle w:val="23"/>
      </w:pPr>
      <w:r>
        <w:rPr>
          <w:rFonts w:hint="eastAsia"/>
        </w:rPr>
        <w:t>该指标能够直接反映“生效窗口是否覆盖实际作业时间”的工程风险。</w:t>
      </w:r>
    </w:p>
    <w:p w14:paraId="48085223">
      <w:pPr>
        <w:pStyle w:val="3"/>
      </w:pPr>
      <w:r>
        <w:rPr>
          <w:rFonts w:hint="eastAsia"/>
        </w:rPr>
        <w:t>5）端到端闭环验证。以接口可用性与链路一致性为核心：解析服务返回成功率、图谱写入成功率、配置下发成功率（updated_stream_config_ids</w:t>
      </w:r>
      <w:r>
        <w:t xml:space="preserve"> </w:t>
      </w:r>
      <w:r>
        <w:rPr>
          <w:rFonts w:hint="eastAsia"/>
        </w:rPr>
        <w:t>非空）、监控侧携票运行有效性（</w:t>
      </w:r>
      <w:r>
        <w:rPr>
          <w:rStyle w:val="48"/>
        </w:rPr>
        <w:t>active_ticket_no</w:t>
      </w:r>
      <w:r>
        <w:t xml:space="preserve"> </w:t>
      </w:r>
      <w:r>
        <w:rPr>
          <w:rFonts w:hint="eastAsia"/>
        </w:rPr>
        <w:t>在告警与记录中可追溯），以及端到端时延（不要求给出固定数值，但需满足联调可接受的响应边界并可通过日志与中间产物复现定位）。</w:t>
      </w:r>
    </w:p>
    <w:p w14:paraId="7CFD23CE">
      <w:pPr>
        <w:pStyle w:val="3"/>
      </w:pPr>
      <w:r>
        <w:rPr>
          <w:rFonts w:hint="eastAsia"/>
        </w:rPr>
        <w:t>6）置信度校准与阈值选择（可选）。当系统使用置信度阈值</w:t>
      </w:r>
      <w:r>
        <w:t xml:space="preserve"> (\tau,\gamma) </w:t>
      </w:r>
      <w:r>
        <w:rPr>
          <w:rFonts w:hint="eastAsia"/>
        </w:rPr>
        <w:t>驱动“字段接纳/触发校验/触发下发”等决策时，建议报告置信度的校准误差，以避免“高置信但错误”的风险放大。常用</w:t>
      </w:r>
      <w:r>
        <w:t xml:space="preserve"> </w:t>
      </w:r>
      <w:r>
        <w:rPr>
          <w:rFonts w:hint="eastAsia"/>
        </w:rPr>
        <w:t>ECE（Expected</w:t>
      </w:r>
      <w:r>
        <w:t xml:space="preserve"> Calibration </w:t>
      </w:r>
      <w:r>
        <w:rPr>
          <w:rFonts w:hint="eastAsia"/>
        </w:rPr>
        <w:t>Error）定义为：</w:t>
      </w:r>
    </w:p>
    <w:p w14:paraId="113AD795">
      <w:pPr>
        <w:pStyle w:val="49"/>
      </w:pPr>
      <w:r>
        <w:rPr>
          <w:rStyle w:val="69"/>
        </w:rPr>
        <w:t>\mathrm</w:t>
      </w:r>
      <w:r>
        <w:rPr>
          <w:rStyle w:val="82"/>
        </w:rPr>
        <w:t>{ECE}=</w:t>
      </w:r>
      <w:r>
        <w:rPr>
          <w:rStyle w:val="69"/>
        </w:rPr>
        <w:t>\sum</w:t>
      </w:r>
      <w:r>
        <w:rPr>
          <w:rStyle w:val="82"/>
        </w:rPr>
        <w:t>_{m=1}^{M}</w:t>
      </w:r>
      <w:r>
        <w:rPr>
          <w:rStyle w:val="69"/>
        </w:rPr>
        <w:t>\frac</w:t>
      </w:r>
      <w:r>
        <w:rPr>
          <w:rStyle w:val="82"/>
        </w:rPr>
        <w:t>{|B_m|}{N}</w:t>
      </w:r>
      <w:r>
        <w:rPr>
          <w:rStyle w:val="69"/>
        </w:rPr>
        <w:t>\left</w:t>
      </w:r>
      <w:r>
        <w:rPr>
          <w:rStyle w:val="82"/>
        </w:rPr>
        <w:t>|</w:t>
      </w:r>
      <w:r>
        <w:rPr>
          <w:rStyle w:val="69"/>
        </w:rPr>
        <w:t>\mathrm</w:t>
      </w:r>
      <w:r>
        <w:rPr>
          <w:rStyle w:val="82"/>
        </w:rPr>
        <w:t>{acc}(B_m)-</w:t>
      </w:r>
      <w:r>
        <w:rPr>
          <w:rStyle w:val="69"/>
        </w:rPr>
        <w:t>\mathrm</w:t>
      </w:r>
      <w:r>
        <w:rPr>
          <w:rStyle w:val="82"/>
        </w:rPr>
        <w:t>{conf}(B_m)</w:t>
      </w:r>
      <w:r>
        <w:rPr>
          <w:rStyle w:val="69"/>
        </w:rPr>
        <w:t>\right</w:t>
      </w:r>
      <w:r>
        <w:rPr>
          <w:rStyle w:val="82"/>
        </w:rPr>
        <w:t>|</w:t>
      </w:r>
    </w:p>
    <w:p w14:paraId="461EDFCB">
      <w:pPr>
        <w:pStyle w:val="23"/>
      </w:pPr>
      <w:r>
        <w:rPr>
          <w:rFonts w:hint="eastAsia"/>
        </w:rPr>
        <w:t>其中</w:t>
      </w:r>
      <w:r>
        <w:t xml:space="preserve"> (B_m) </w:t>
      </w:r>
      <w:r>
        <w:rPr>
          <w:rFonts w:hint="eastAsia"/>
        </w:rPr>
        <w:t>为置信度分桶，(\mathrm{acc})</w:t>
      </w:r>
      <w:r>
        <w:t xml:space="preserve"> </w:t>
      </w:r>
      <w:r>
        <w:rPr>
          <w:rFonts w:hint="eastAsia"/>
        </w:rPr>
        <w:t>与</w:t>
      </w:r>
      <w:r>
        <w:t xml:space="preserve"> (\mathrm{conf}) </w:t>
      </w:r>
      <w:r>
        <w:rPr>
          <w:rFonts w:hint="eastAsia"/>
        </w:rPr>
        <w:t>分别为桶内准确率与平均置信度。该指标可与</w:t>
      </w:r>
      <w:r>
        <w:t xml:space="preserve"> PR </w:t>
      </w:r>
      <w:r>
        <w:rPr>
          <w:rFonts w:hint="eastAsia"/>
        </w:rPr>
        <w:t>曲线共同用于阈值选择与触发策略定标。</w:t>
      </w:r>
    </w:p>
    <w:p w14:paraId="00A6F724">
      <w:pPr>
        <w:pStyle w:val="3"/>
      </w:pPr>
      <w:r>
        <w:rPr>
          <w:rFonts w:hint="eastAsia"/>
        </w:rPr>
        <w:t>7）消融与误差归因建议。为保证评估结论可解释、可复现，建议在同一评测集上依次关闭/开启关键组件进行消融，并记录指标变化与典型错误样例：</w:t>
      </w:r>
    </w:p>
    <w:p w14:paraId="1303DD19">
      <w:pPr>
        <w:numPr>
          <w:ilvl w:val="0"/>
          <w:numId w:val="1"/>
        </w:numPr>
      </w:pPr>
      <w:r>
        <w:rPr>
          <w:rFonts w:hint="eastAsia"/>
        </w:rPr>
        <w:t>仅</w:t>
      </w:r>
      <w:r>
        <w:t xml:space="preserve"> OCR → </w:t>
      </w:r>
      <w:r>
        <w:rPr>
          <w:rFonts w:hint="eastAsia"/>
        </w:rPr>
        <w:t>规则抽取（不启用</w:t>
      </w:r>
      <w:r>
        <w:t xml:space="preserve"> </w:t>
      </w:r>
      <w:r>
        <w:rPr>
          <w:rFonts w:hint="eastAsia"/>
        </w:rPr>
        <w:t>MRC-NER）；</w:t>
      </w:r>
    </w:p>
    <w:p w14:paraId="4C97399C">
      <w:pPr>
        <w:numPr>
          <w:ilvl w:val="0"/>
          <w:numId w:val="1"/>
        </w:numPr>
      </w:pPr>
      <w:r>
        <w:t xml:space="preserve">OCR + </w:t>
      </w:r>
      <w:r>
        <w:rPr>
          <w:rFonts w:hint="eastAsia"/>
        </w:rPr>
        <w:t>MRC-NER（不启用规则补全）；</w:t>
      </w:r>
    </w:p>
    <w:p w14:paraId="26C87466">
      <w:pPr>
        <w:numPr>
          <w:ilvl w:val="0"/>
          <w:numId w:val="1"/>
        </w:numPr>
      </w:pPr>
      <w:r>
        <w:t xml:space="preserve">OCR + MRC-NER + </w:t>
      </w:r>
      <w:r>
        <w:rPr>
          <w:rFonts w:hint="eastAsia"/>
        </w:rPr>
        <w:t>规则补全（不启用大模型）；</w:t>
      </w:r>
    </w:p>
    <w:p w14:paraId="62116444">
      <w:pPr>
        <w:numPr>
          <w:ilvl w:val="0"/>
          <w:numId w:val="1"/>
        </w:numPr>
      </w:pPr>
      <w:r>
        <w:rPr>
          <w:rFonts w:hint="eastAsia"/>
        </w:rPr>
        <w:t>全链路（启用大模型关系抽取与可选图谱写入/实体链接）。</w:t>
      </w:r>
    </w:p>
    <w:p w14:paraId="2CACDB2D">
      <w:pPr>
        <w:pStyle w:val="23"/>
      </w:pPr>
      <w:r>
        <w:rPr>
          <w:rFonts w:hint="eastAsia"/>
        </w:rPr>
        <w:t>误差归因可按“上游传播”与“下游放大”两类：OCR</w:t>
      </w:r>
      <w:r>
        <w:t xml:space="preserve"> </w:t>
      </w:r>
      <w:r>
        <w:rPr>
          <w:rFonts w:hint="eastAsia"/>
        </w:rPr>
        <w:t>错字/漏字导致实体边界错误；实体类型误判导致链接失败；链接失败导致无法反查摄像头；时间窗解析失败导致策略生效窗口错误。该分解便于在工程迭代中进行针对性优化（如加强预处理、补充术语映射、优化规则模式与阈值、扩展资产别名库等）。</w:t>
      </w:r>
    </w:p>
    <w:bookmarkEnd w:id="9"/>
    <w:p w14:paraId="021C64BD">
      <w:pPr>
        <w:pStyle w:val="6"/>
      </w:pPr>
      <w:bookmarkStart w:id="10" w:name="十）可运维与可追溯设计面向交付）"/>
      <w:r>
        <w:rPr>
          <w:rFonts w:hint="eastAsia"/>
        </w:rPr>
        <w:t>（十）可运维与可追溯设计（面向交付）</w:t>
      </w:r>
    </w:p>
    <w:p w14:paraId="2EF7EBA9">
      <w:pPr>
        <w:pStyle w:val="23"/>
      </w:pPr>
      <w:r>
        <w:rPr>
          <w:rFonts w:hint="eastAsia"/>
        </w:rPr>
        <w:t>1）中间产物留存与复现。解析链路输出</w:t>
      </w:r>
      <w:r>
        <w:t xml:space="preserve"> OCR/NER </w:t>
      </w:r>
      <w:r>
        <w:rPr>
          <w:rFonts w:hint="eastAsia"/>
        </w:rPr>
        <w:t>中间</w:t>
      </w:r>
      <w:r>
        <w:t xml:space="preserve"> JSON </w:t>
      </w:r>
      <w:r>
        <w:rPr>
          <w:rFonts w:hint="eastAsia"/>
        </w:rPr>
        <w:t>及可选</w:t>
      </w:r>
      <w:r>
        <w:t xml:space="preserve"> </w:t>
      </w:r>
      <w:r>
        <w:rPr>
          <w:rFonts w:hint="eastAsia"/>
        </w:rPr>
        <w:t>Cypher（用于图谱导入与审计），并在接口响应中返回路径，便于对“某张票为什么抽成这样”进行快速复现与溯源分析。为提升复现粒度，建议同时固化关键运行元信息：模型版本/查询模板版本、阈值参数、是否触发大模型、关系抽取原始输出与</w:t>
      </w:r>
      <w:r>
        <w:t xml:space="preserve"> parsed_ok </w:t>
      </w:r>
      <w:r>
        <w:rPr>
          <w:rFonts w:hint="eastAsia"/>
        </w:rPr>
        <w:t>状态、以及与本次解析关联的票号与请求标识，从而使“同输入、同配置、同输出”具备可验证性。</w:t>
      </w:r>
    </w:p>
    <w:p w14:paraId="5958D36B">
      <w:pPr>
        <w:pStyle w:val="3"/>
      </w:pPr>
      <w:r>
        <w:rPr>
          <w:rFonts w:hint="eastAsia"/>
        </w:rPr>
        <w:t>2）可降级运行策略。系统按需关闭大模型或图谱写入，仍可输出</w:t>
      </w:r>
      <w:r>
        <w:t xml:space="preserve"> entities </w:t>
      </w:r>
      <w:r>
        <w:rPr>
          <w:rFonts w:hint="eastAsia"/>
        </w:rPr>
        <w:t>并完成站点级联动下发，保证在网络抖动、外部依赖不可用或成本受限时仍具备最小可用闭环能力。降级应与“不确定性触发”机制协同：当关键字段置信不足时优先选择“携票不启用高风险检测”“缩小下发范围”“要求人工复核”等保守策略，而不是在信息不足时强行推断，以将错误联动的系统风险显式压缩在可控边界内。</w:t>
      </w:r>
    </w:p>
    <w:p w14:paraId="5E046FC9">
      <w:pPr>
        <w:pStyle w:val="3"/>
      </w:pPr>
      <w:r>
        <w:rPr>
          <w:rFonts w:hint="eastAsia"/>
        </w:rPr>
        <w:t>3）安全边界与合规要点。跨服务联动涉及集成令牌与接口认证信息，应以环境变量与密钥管理为原则进行配置，不在日志与返回体中输出敏感字段；对外提供的解析与下发接口应具备鉴权与最小权限控制（例如站点级下发仅允许具备集成权限的调用方），并保留关键操作审计记录（请求时间、站点、票号、更新的配置项集合等），以满足电力生产系统的可追责要求。对可能引发大范围联动的操作（如站点级批量下发）可进一步引入频控、白名单与变更审批流程，把“模型输出”与“生产变更”之间的安全栅栏制度化，降低误触发造成的生产风险。</w:t>
      </w:r>
    </w:p>
    <w:p w14:paraId="656CB5ED">
      <w:pPr>
        <w:pStyle w:val="3"/>
      </w:pPr>
      <w:r>
        <w:rPr>
          <w:rFonts w:hint="eastAsia"/>
          <w:b/>
          <w:bCs/>
        </w:rPr>
        <w:t>**课题</w:t>
      </w:r>
      <w:r>
        <w:rPr>
          <w:b/>
          <w:bCs/>
        </w:rPr>
        <w:t xml:space="preserve"> </w:t>
      </w:r>
      <w:r>
        <w:rPr>
          <w:rFonts w:hint="eastAsia"/>
          <w:b/>
          <w:bCs/>
        </w:rPr>
        <w:t>2：基于视觉大/小模型融合的安全管控风险智能识别技术研究**</w:t>
      </w:r>
    </w:p>
    <w:p w14:paraId="1C90DD44">
      <w:pPr>
        <w:pStyle w:val="3"/>
      </w:pPr>
      <w:r>
        <w:rPr>
          <w:rFonts w:hint="eastAsia"/>
        </w:rPr>
        <w:t>现场作业环境光照变化剧烈、背景复杂且违章行为具有瞬时性、遮挡性与语义复杂性，单一模型难以兼顾边缘实时性与复杂场景识别精度。本课题构建“边缘侧小模型实时监测</w:t>
      </w:r>
      <w:r>
        <w:t xml:space="preserve"> + </w:t>
      </w:r>
      <w:r>
        <w:rPr>
          <w:rFonts w:hint="eastAsia"/>
        </w:rPr>
        <w:t>云侧大模型二级复核</w:t>
      </w:r>
      <w:r>
        <w:t xml:space="preserve"> + </w:t>
      </w:r>
      <w:r>
        <w:rPr>
          <w:rFonts w:hint="eastAsia"/>
        </w:rPr>
        <w:t>规则推理可解释判据”的弹性视觉计算架构，实现低时延、高可靠的风险识别与告警输出。</w:t>
      </w:r>
    </w:p>
    <w:p w14:paraId="60E603D1">
      <w:pPr>
        <w:pStyle w:val="3"/>
      </w:pPr>
      <w:r>
        <w:rPr>
          <w:rFonts w:hint="eastAsia"/>
        </w:rPr>
        <w:t>1）边缘侧轻量化检测与多目标追踪。构建适配边缘算力的轻量检测模型，对人员、防护装备、车辆机具与关键目标进行实时检测；结合追踪与运动性判别降低瞬时误检影响，提升告警时序稳定性与可复现性。</w:t>
      </w:r>
    </w:p>
    <w:p w14:paraId="2D941802">
      <w:pPr>
        <w:pStyle w:val="3"/>
      </w:pPr>
      <w:r>
        <w:rPr>
          <w:rFonts w:hint="eastAsia"/>
        </w:rPr>
        <w:t>2）典型违章行为识别与规则推理增强。围绕未佩戴安全帽、着装不规范、区域入侵、靠近机具/车辆等典型违章，融合检测结果、区域几何约束与时序窗口约束进行规则推理，形成可解释、可审计的告警判据，并支持按站点/工序的参数化调优。</w:t>
      </w:r>
    </w:p>
    <w:p w14:paraId="3F04387E">
      <w:pPr>
        <w:pStyle w:val="3"/>
      </w:pPr>
      <w:r>
        <w:rPr>
          <w:rFonts w:hint="eastAsia"/>
        </w:rPr>
        <w:t>3）视觉大/小模型协同的二级复核机制。对小模型输出中的低置信度目标、疑似复杂场景或关键类别事件，引入多模态大模型对证据帧/裁剪图进行异步复核；通过并发控制、缓存与冷却策略降低调用成本，在保障边缘侧低时延的同时显著抑制误报并提升复杂场景识别精度。</w:t>
      </w:r>
    </w:p>
    <w:p w14:paraId="011665AF">
      <w:pPr>
        <w:pStyle w:val="3"/>
      </w:pPr>
      <w:r>
        <w:rPr>
          <w:rFonts w:hint="eastAsia"/>
        </w:rPr>
        <w:t>4）云边协同的性能与稳定性保障。依据作业时间窗、风险等级与流量压力动态调整检测频率、复核策略与推送节流参数；在多路流并行条件下通过进程隔离与异常恢复机制保证持续运行与可扩展部署。</w:t>
      </w:r>
    </w:p>
    <w:p w14:paraId="0C2EE3EB">
      <w:pPr>
        <w:pStyle w:val="3"/>
      </w:pPr>
      <w:r>
        <w:rPr>
          <w:rFonts w:hint="eastAsia"/>
          <w:b/>
          <w:bCs/>
        </w:rPr>
        <w:t>**课题</w:t>
      </w:r>
      <w:r>
        <w:rPr>
          <w:b/>
          <w:bCs/>
        </w:rPr>
        <w:t xml:space="preserve"> </w:t>
      </w:r>
      <w:r>
        <w:rPr>
          <w:rFonts w:hint="eastAsia"/>
          <w:b/>
          <w:bCs/>
        </w:rPr>
        <w:t>3：基于大语言模型智能体（Agent）的预警与远程督查技术研究**</w:t>
      </w:r>
    </w:p>
    <w:p w14:paraId="6D0DE4E5">
      <w:pPr>
        <w:pStyle w:val="3"/>
      </w:pPr>
      <w:r>
        <w:rPr>
          <w:rFonts w:hint="eastAsia"/>
        </w:rPr>
        <w:t>现有安全管控系统往往停留在“被动告警”层面，风险识别、评估与处置割裂，难以对多源异构数据进行融合研判与闭环管理。本课题构建基于大语言模型的安全智能体，实现“多源融合研判—预警报告生成—自然语言检索督查—闭环处置支撑”的能力升级。</w:t>
      </w:r>
    </w:p>
    <w:p w14:paraId="27DFB4CE">
      <w:pPr>
        <w:pStyle w:val="3"/>
      </w:pPr>
      <w:r>
        <w:rPr>
          <w:rFonts w:hint="eastAsia"/>
        </w:rPr>
        <w:t>1）多源信息融合与预警信息生成。将视觉识别产生的风险事件、关联的工作票要素（票号、作业内容、安全措施、时间窗）、以及设备/区域语义信息进行统一组织，形成结构化输入；由智能体生成语义清晰、可追溯的预警报告，输出风险等级、规则匹配解释、处置建议与督查要点，提升管理决策效率与处置一致性。</w:t>
      </w:r>
    </w:p>
    <w:p w14:paraId="42CC6038">
      <w:pPr>
        <w:pStyle w:val="3"/>
      </w:pPr>
      <w:r>
        <w:rPr>
          <w:rFonts w:hint="eastAsia"/>
        </w:rPr>
        <w:t>2）面向督查场景的自然语言视频内容检索。面向“查询</w:t>
      </w:r>
      <w:r>
        <w:t xml:space="preserve"> XX </w:t>
      </w:r>
      <w:r>
        <w:rPr>
          <w:rFonts w:hint="eastAsia"/>
        </w:rPr>
        <w:t>站点某时段吊车作业”“检索未佩戴安全帽的高风险片段”等指令，构建自然语言到检索条件的解析与查询能力，支持在海量历史告警与视频片段中快速定位关键证据并回溯复盘。</w:t>
      </w:r>
    </w:p>
    <w:p w14:paraId="01BB6DEB">
      <w:pPr>
        <w:pStyle w:val="3"/>
      </w:pPr>
      <w:r>
        <w:rPr>
          <w:rFonts w:hint="eastAsia"/>
        </w:rPr>
        <w:t>3）闭环处置联动与证据链固化。以智能体输出为驱动，联动配置管理与违章记录系统，完成告警事件的全要素归档（告警结构、证据帧、时空信息、票据关联、处置状态），形成可审计、可追责的证据链；同时为整改复核、策略再下发与持续治理提供数据基础。</w:t>
      </w:r>
    </w:p>
    <w:p w14:paraId="5CF22606">
      <w:pPr>
        <w:pStyle w:val="3"/>
      </w:pPr>
      <w:r>
        <w:rPr>
          <w:rFonts w:hint="eastAsia"/>
        </w:rPr>
        <w:t>4）工程化交付与安全治理。在智能体链路中统一接口契约、权限控制与异常恢复机制，确保跨服务调用在</w:t>
      </w:r>
      <w:r>
        <w:t xml:space="preserve"> Token </w:t>
      </w:r>
      <w:r>
        <w:rPr>
          <w:rFonts w:hint="eastAsia"/>
        </w:rPr>
        <w:t>失效、网络抖动、服务降级等场景下保持可用；完善日志与追踪体系，实现从“票据解析—资源映射—实时检测—告警上报—智能体研判—检索回放”的全链路可观测与可运维能力。</w:t>
      </w:r>
    </w:p>
    <w:bookmarkEnd w:id="0"/>
    <w:bookmarkEnd w:id="10"/>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ComicShannsMono Nerd Fo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micShannsMono Nerd Font">
    <w:panose1 w:val="02000009000000000000"/>
    <w:charset w:val="00"/>
    <w:family w:val="auto"/>
    <w:pitch w:val="default"/>
    <w:sig w:usb0="00000007" w:usb1="00000000" w:usb2="00000000" w:usb3="00000000" w:csb0="00000093" w:csb1="00000000"/>
  </w:font>
  <w:font w:name="Cambria Math">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550976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1469</Words>
  <Characters>1567</Characters>
  <Lines>12</Lines>
  <Paragraphs>8</Paragraphs>
  <TotalTime>6</TotalTime>
  <ScaleCrop>false</ScaleCrop>
  <LinksUpToDate>false</LinksUpToDate>
  <CharactersWithSpaces>1582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2026-02-02T10:49:00Z</dcterms:created>
  <dc:creator>热爱</dc:creator>
  <cp:lastModifiedBy>热爱</cp:lastModifiedBy>
  <dcterms:modified xsi:type="dcterms:W3CDTF">2026-02-03T02:13:16Z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eyJoZGlkIjoiNDk3MThhYmIwYTVjYzM1YzI4ZDE0ODc1MGRiNWNlNGMiLCJ1c2VySWQiOiI3MjM2OTk4ODkifQ==</vt:lpwstr>
  </property>
  <property fmtid="{D5CDD505-2E9C-101B-9397-08002B2CF9AE}" pid="3" name="KSOProductBuildVer">
    <vt:lpwstr>2052-12.1.0.24657</vt:lpwstr>
  </property>
  <property fmtid="{D5CDD505-2E9C-101B-9397-08002B2CF9AE}" pid="4" name="ICV">
    <vt:lpwstr>05A7BD941A3947CF879EAB5EE463A60D_12</vt:lpwstr>
  </property>
</Properties>
</file>