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rFonts w:ascii="Calibri" w:hAnsi="Calibri" w:eastAsia="微软雅黑"/>
          <w:b/>
          <w:color w:val="2E74B5"/>
          <w:sz w:val="22"/>
        </w:rPr>
        <w:t>工作票智能解析项目</w:t>
      </w:r>
    </w:p>
    <w:p>
      <w:pPr>
        <w:spacing w:before="0" w:after="100"/>
      </w:pPr>
      <w:r>
        <w:rPr>
          <w:rFonts w:ascii="Calibri" w:hAnsi="Calibri" w:eastAsia="微软雅黑"/>
          <w:b/>
          <w:color w:val="0B2545"/>
          <w:sz w:val="44"/>
        </w:rPr>
        <w:t>两周工作内容及论文进度报告</w:t>
      </w:r>
    </w:p>
    <w:p>
      <w:pPr>
        <w:spacing w:before="0" w:after="280"/>
      </w:pPr>
      <w:r>
        <w:rPr>
          <w:rFonts w:ascii="Calibri" w:hAnsi="Calibri" w:eastAsia="微软雅黑"/>
          <w:color w:val="666666"/>
          <w:sz w:val="22"/>
        </w:rPr>
        <w:t>报告周期：2026年7月18日—2026年7月31日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项目方向：</w:t>
      </w:r>
      <w:r>
        <w:rPr>
          <w:rFonts w:ascii="Calibri" w:hAnsi="Calibri" w:eastAsia="宋体"/>
          <w:sz w:val="21"/>
        </w:rPr>
        <w:t>基于多模态大模型的工作票智能解析与时空关联技术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当前阶段：</w:t>
      </w:r>
      <w:r>
        <w:rPr>
          <w:rFonts w:ascii="Calibri" w:hAnsi="Calibri" w:eastAsia="宋体"/>
          <w:sz w:val="21"/>
        </w:rPr>
        <w:t>原型验证、技术路线梳理与论文实验方案设计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报告日期：</w:t>
      </w:r>
      <w:r>
        <w:rPr>
          <w:rFonts w:ascii="Calibri" w:hAnsi="Calibri" w:eastAsia="宋体"/>
          <w:sz w:val="21"/>
        </w:rPr>
        <w:t>2026年7月31日</w:t>
      </w:r>
    </w:p>
    <w:p>
      <w:pPr>
        <w:pStyle w:val="Heading1"/>
        <w:keepNext/>
        <w:widowControl/>
      </w:pPr>
      <w:r>
        <w:t>一、本期工作概述</w:t>
      </w:r>
    </w:p>
    <w:p>
      <w:pPr>
        <w:widowControl/>
      </w:pPr>
      <w:r>
        <w:rPr>
          <w:rFonts w:ascii="Calibri" w:hAnsi="Calibri" w:eastAsia="宋体"/>
          <w:sz w:val="22"/>
        </w:rPr>
        <w:t>本周期围绕电力工作票智能解析系统的可运行性验证、关键模块逻辑梳理和论文研究方案细化开展工作。重点完成了统一流水线启动测试，验证了PPStructureV3对工作票图片的版面分析、文字识别和表格解析能力；结合终端日志与输出文件，追踪了OCR JSON、Markdown、实体结果之间的数据流；检查了BERT-MRC工程目录和模型资产，确认当前仅具备中文RoBERTa基础预训练权重与网络结构代码，尚缺少面向工作票任务训练完成的Checkpoint；同时梳理了规则降级、大模型实体校验、关系抽取和Neo4j知识图谱的作用边界。论文方面完成了相关文献精读，并据此调整实验设计和创新点表述。</w:t>
      </w:r>
    </w:p>
    <w:p>
      <w:pPr>
        <w:pStyle w:val="Heading1"/>
        <w:keepNext/>
        <w:widowControl/>
      </w:pPr>
      <w:r>
        <w:t>二、两周内完成的主要工作</w:t>
      </w:r>
    </w:p>
    <w:p>
      <w:pPr>
        <w:pStyle w:val="Heading2"/>
        <w:keepNext/>
        <w:widowControl/>
      </w:pPr>
      <w:r>
        <w:t>统一流水线与OCR模块验证</w:t>
      </w:r>
    </w:p>
    <w:p>
      <w:pPr>
        <w:widowControl/>
      </w:pPr>
      <w:r>
        <w:rPr>
          <w:rFonts w:ascii="Calibri" w:hAnsi="Calibri" w:eastAsia="宋体"/>
          <w:sz w:val="22"/>
        </w:rPr>
        <w:t>在项目根目录下通过unified_pipeline.py运行测试图片test1.png，确认程序能够调用独立OCR环境并加载PP-DocLayout_plus-L、PP-OCRv5_server_det、PP-OCRv5_server_rec以及表格分类、单元格检测和结构恢复等模型。模型均从本地PaddleX缓存读取，未发生重复下载。终端结果显示本次使用原始图片模式，input_image与processed_image路径一致，preprocess.mode为original，说明未启用OpenCV二值化和倾斜校正。OCR阶段成功生成pipeline_output/test1.json和test1.md，前者保存版面区块、文字、坐标、阅读顺序和表格HTML结构，后者用于人工查看识别内容。</w:t>
      </w:r>
    </w:p>
    <w:p>
      <w:pPr>
        <w:pStyle w:val="Heading2"/>
        <w:keepNext/>
        <w:widowControl/>
      </w:pPr>
      <w:r>
        <w:t>OCR文本重构与结果分析</w:t>
      </w:r>
    </w:p>
    <w:p>
      <w:pPr>
        <w:widowControl/>
      </w:pPr>
      <w:r>
        <w:rPr>
          <w:rFonts w:ascii="Calibri" w:hAnsi="Calibri" w:eastAsia="宋体"/>
          <w:sz w:val="22"/>
        </w:rPr>
        <w:t>对OCR JSON到下游文本的转换过程进行了核对。当前程序从parsing_res_list中提取block_content，对表格内容删除HTML标签后按换行拼接为一个长字符串，作为规则抽取和大模型关系抽取的context。测试结果能够识别工作票标题、编号、负责人、班组成员、工作任务、计划时间和安全措施，但表格在扁平化后丢失了部分行列对应关系，并出现“线路”识别为“路线”等字符错误。末尾孤立数字和大段空格也表明仍需增加页码过滤、区块清理及表格结构保持机制。</w:t>
      </w:r>
    </w:p>
    <w:p>
      <w:pPr>
        <w:pStyle w:val="Heading2"/>
        <w:keepNext/>
        <w:widowControl/>
      </w:pPr>
      <w:r>
        <w:t>BERT-MRC模型资产检查</w:t>
      </w:r>
    </w:p>
    <w:p>
      <w:pPr>
        <w:widowControl/>
      </w:pPr>
      <w:r>
        <w:rPr>
          <w:rFonts w:ascii="Calibri" w:hAnsi="Calibri" w:eastAsia="宋体"/>
          <w:sz w:val="22"/>
        </w:rPr>
        <w:t>检查mrc-for-flat-nested-ner目录后确认，models文件夹中的bert_query_ner.py、classifier.py等属于网络结构代码，chinese-roberta-wwm-ext/pytorch_model.bin约392.51 MB，属于通用中文基础预训练权重。当前项目不存在outputs/work_ticket_model目录，未找到任何.ckpt文件，已有lightning_logs中的hparams.yaml内容为空。因此统一流水线没有执行BERT-MRC推理，而是返回mrc_model=null、ner_mode=rule_fallback。此次结果中的实体全部来自正则和规则，共提取出票号、两个时间点、电压等级和时间区间等5项；人员、地点、设备、任务、风险和安全措施等实体尚未有效提取。</w:t>
      </w:r>
    </w:p>
    <w:p>
      <w:pPr>
        <w:pStyle w:val="Heading2"/>
        <w:keepNext/>
        <w:widowControl/>
      </w:pPr>
      <w:r>
        <w:t>大模型与知识图谱流程梳理</w:t>
      </w:r>
    </w:p>
    <w:p>
      <w:pPr>
        <w:widowControl/>
      </w:pPr>
      <w:r>
        <w:rPr>
          <w:rFonts w:ascii="Calibri" w:hAnsi="Calibri" w:eastAsia="宋体"/>
          <w:sz w:val="22"/>
        </w:rPr>
        <w:t>梳理了Qwen大模型在系统中的两个预定任务：一是对低置信度实体进行校验，二是根据OCR全文与实体列表抽取实体关系。现有校验函数以实体长度和类型作为启发式筛选条件，并未使用真实置信度；大模型返回结果目前仅打印而未应用到实体列表。关系抽取模块能够要求模型返回subject、relation、object和confidence组成的JSON数组，但关系类型尚未限定，可能出现同义关系不统一的问题。本次基线命令未启用大模型，也未连接Neo4j，因此llm_results和neo4j_write_status均为空。通过分析明确了Neo4j只负责保存和查询人员、任务、设备、地点、时间、风险之间的关系，不承担OCR或模型推理。</w:t>
      </w:r>
    </w:p>
    <w:p>
      <w:pPr>
        <w:pStyle w:val="Heading1"/>
        <w:keepNext/>
        <w:widowControl/>
      </w:pPr>
      <w:r>
        <w:t>三、当前阶段成果与主要问题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1200"/>
        <w:gridCol w:w="3560"/>
        <w:gridCol w:w="31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阶段成果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主要问题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OCR解析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已打通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完成图片到JSON、Markdown的端到端验证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存在字符误识别及表格扁平化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实体提取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部分完成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规则模式可提取票号、时间和电压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缺少工作票BERT-MRC Checkpoint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大模型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逻辑已梳理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明确实体校验和关系抽取输入输出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校验结果未回写，关系Schema未固定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知识图谱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方案阶段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明确节点、关系和查询目标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尚未进行Neo4j实库验证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论文工作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推进中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完成文献精读、方法框架和实验矩阵草案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尚缺完整数据集与量化实验</w:t>
            </w:r>
          </w:p>
        </w:tc>
      </w:tr>
    </w:tbl>
    <w:p>
      <w:pPr>
        <w:widowControl/>
      </w:pPr>
      <w:r>
        <w:rPr>
          <w:rFonts w:ascii="Calibri" w:hAnsi="Calibri" w:eastAsia="宋体"/>
          <w:sz w:val="22"/>
        </w:rPr>
        <w:t>综合判断，当前系统已经完成OCR主链路验证，但尚未达到“BERT-MRC实体识别、大模型纠错、关系抽取和知识图谱闭环均可复现实验”的阶段。当前规则模式的成功状态只表示程序顺利结束，不能代表实体识别完整准确。下一步工作的重点应由“能否运行”转向“如何形成稳定、可评价的结构化解析方法”。</w:t>
      </w:r>
    </w:p>
    <w:p>
      <w:pPr>
        <w:pStyle w:val="Heading1"/>
        <w:keepNext/>
        <w:widowControl/>
      </w:pPr>
      <w:r>
        <w:t>四、论文进度</w:t>
      </w:r>
    </w:p>
    <w:p>
      <w:pPr>
        <w:pStyle w:val="Heading2"/>
        <w:keepNext/>
        <w:widowControl/>
      </w:pPr>
      <w:r>
        <w:t>相关文献与方法借鉴</w:t>
      </w:r>
    </w:p>
    <w:p>
      <w:pPr>
        <w:widowControl/>
      </w:pPr>
      <w:r>
        <w:rPr>
          <w:rFonts w:ascii="Calibri" w:hAnsi="Calibri" w:eastAsia="宋体"/>
          <w:sz w:val="22"/>
        </w:rPr>
        <w:t>本周期精读了《利用OCR和大型语言模型自动提取植物标本标签信息》一文。该研究采用PaddleOCR与DeepSeek串联的方式，通过字段别名归一化、组合字段拆分、日期与单位标准化、上下文关联和固定JSON输出，实现异构标签信息抽取。论文在600张样本上进行批处理，并使用240张人工标注数据进行字段级评价。其可借鉴之处在于领域提示词、置信度分流、字段级热力图和人机协同机制；不足之处是缺少充分的基线、消融、OCR字符错误率和空字段假阳性评价。本项目将在借鉴其工程框架的同时补充更严格的证据链。</w:t>
      </w:r>
    </w:p>
    <w:p>
      <w:pPr>
        <w:pStyle w:val="Heading2"/>
        <w:keepNext/>
        <w:widowControl/>
      </w:pPr>
      <w:r>
        <w:t>论文技术路线与创新点调整</w:t>
      </w:r>
    </w:p>
    <w:p>
      <w:pPr>
        <w:widowControl/>
      </w:pPr>
      <w:r>
        <w:rPr>
          <w:rFonts w:ascii="Calibri" w:hAnsi="Calibri" w:eastAsia="宋体"/>
          <w:sz w:val="22"/>
        </w:rPr>
        <w:t>论文技术路线已进一步明确为“版面保持型OCR解析—领域实体抽取—不确定度驱动的大小模型协同—时空风险知识图谱”。拟重点凝练三项贡献：其一，针对工作票表格密集、字段跨行和单元格错位问题，研究保留区块类型、阅读顺序与表格行列关系的OCR语义重构；其二，融合OCR置信度、实体置信度和领域规则一致性，对低置信度区域调用大模型或多模态模型进行纠错；其三，构建人员、任务、设备、地点、时间、风险和安全措施的领域Schema，以规则生成确定性关系，以大模型补充复杂隐含关系。上述内容目前属于研究方案，需在实现和实验后才能正式写为创新结论。</w:t>
      </w:r>
    </w:p>
    <w:p>
      <w:pPr>
        <w:pStyle w:val="Heading2"/>
        <w:keepNext/>
        <w:widowControl/>
      </w:pPr>
      <w:r>
        <w:t>实验设计进度</w:t>
      </w:r>
    </w:p>
    <w:p>
      <w:pPr>
        <w:widowControl/>
      </w:pPr>
      <w:r>
        <w:rPr>
          <w:rFonts w:ascii="Calibri" w:hAnsi="Calibri" w:eastAsia="宋体"/>
          <w:sz w:val="22"/>
        </w:rPr>
        <w:t>已形成初步实验矩阵：OCR层比较原图与预处理、PPStructureV3与PaddleOCR-VL；实体层比较规则、BERT-MRC、版面结构增强、领域Schema约束和低置信度大模型校验；关系层比较规则关系、自由关系Prompt与固定关系Schema；系统层评价处理耗时、大模型调用率、单票成本和人工复核率。计划采用字符错误率、实体Precision/Recall/F1、字段Exact Match、关系F1和图谱查询准确率等指标，并通过去除表格结构、去除规则、去除大模型等消融实验验证各模块贡献。</w:t>
      </w:r>
    </w:p>
    <w:p>
      <w:pPr>
        <w:pStyle w:val="Heading1"/>
        <w:keepNext/>
        <w:widowControl/>
      </w:pPr>
      <w:r>
        <w:t>五、下一阶段工作计划</w:t>
      </w:r>
    </w:p>
    <w:p>
      <w:pPr>
        <w:pStyle w:val="Heading2"/>
        <w:keepNext/>
        <w:widowControl/>
      </w:pPr>
      <w:r>
        <w:t>完善数据与标注规范</w:t>
      </w:r>
    </w:p>
    <w:p>
      <w:pPr>
        <w:widowControl/>
      </w:pPr>
      <w:r>
        <w:rPr>
          <w:rFonts w:ascii="Calibri" w:hAnsi="Calibri" w:eastAsia="宋体"/>
          <w:sz w:val="22"/>
        </w:rPr>
        <w:t>整理工作票样本类型和图像质量分层，确定票号、人员角色、设备、地点、时间、任务、安全措施和风险等字段定义，建立训练集、验证集和独立测试集。优先检查是否存在历史Checkpoint；若不存在，则修正训练脚本中的旧路径并开展工作票BERT-MRC训练。</w:t>
      </w:r>
    </w:p>
    <w:p>
      <w:pPr>
        <w:pStyle w:val="Heading2"/>
        <w:keepNext/>
        <w:widowControl/>
      </w:pPr>
      <w:r>
        <w:t>改造OCR结构化输入</w:t>
      </w:r>
    </w:p>
    <w:p>
      <w:pPr>
        <w:widowControl/>
      </w:pPr>
      <w:r>
        <w:rPr>
          <w:rFonts w:ascii="Calibri" w:hAnsi="Calibri" w:eastAsia="宋体"/>
          <w:sz w:val="22"/>
        </w:rPr>
        <w:t>避免直接删除表格HTML后拼接全文，改为生成包含section、block_id、block_type、row、column、text和source_bbox的精简结构化JSON。实体结果保留source_block_id，使后续关系抽取能够追溯原始文本和表格单元格。</w:t>
      </w:r>
    </w:p>
    <w:p>
      <w:pPr>
        <w:pStyle w:val="Heading2"/>
        <w:keepNext/>
        <w:widowControl/>
      </w:pPr>
      <w:r>
        <w:t>完善大模型校验与关系Schema</w:t>
      </w:r>
    </w:p>
    <w:p>
      <w:pPr>
        <w:widowControl/>
      </w:pPr>
      <w:r>
        <w:rPr>
          <w:rFonts w:ascii="Calibri" w:hAnsi="Calibri" w:eastAsia="宋体"/>
          <w:sz w:val="22"/>
        </w:rPr>
        <w:t>将实体校验输出改为accepted、corrected、rejected和added等固定JSON，并真正应用回实体列表；限定RESPONSIBLE_FOR、TARGETS、LOCATED_AT、OCCURS_AT、HAS_RISK、REQUIRES_MEASURE等关系类型，要求返回实体ID和证据区块，减少同义关系漂移和模型幻觉。</w:t>
      </w:r>
    </w:p>
    <w:p>
      <w:pPr>
        <w:pStyle w:val="Heading2"/>
        <w:keepNext/>
        <w:widowControl/>
      </w:pPr>
      <w:r>
        <w:t>推进论文写作与实验记录</w:t>
      </w:r>
    </w:p>
    <w:p>
      <w:pPr>
        <w:widowControl/>
      </w:pPr>
      <w:r>
        <w:rPr>
          <w:rFonts w:ascii="Calibri" w:hAnsi="Calibri" w:eastAsia="宋体"/>
          <w:sz w:val="22"/>
        </w:rPr>
        <w:t>下一周期计划完成研究背景、相关工作和方法总体框架初稿，绘制系统技术路线图与实验流程图；同时建立统一实验记录表，保存模型版本、参数、样本划分、运行耗时、错误案例和指标结果，确保论文中的每项结论能够由可复现数据支撑。</w:t>
      </w:r>
    </w:p>
    <w:p>
      <w:pPr>
        <w:pStyle w:val="Heading1"/>
        <w:keepNext/>
        <w:widowControl/>
      </w:pPr>
      <w:r>
        <w:t>六、本期总结</w:t>
      </w:r>
    </w:p>
    <w:p>
      <w:pPr>
        <w:widowControl/>
      </w:pPr>
      <w:r>
        <w:rPr>
          <w:rFonts w:ascii="Calibri" w:hAnsi="Calibri" w:eastAsia="宋体"/>
          <w:sz w:val="22"/>
        </w:rPr>
        <w:t>本周期完成了工作票OCR流水线的实际验证，厘清了OCR JSON、OCR全文、实体列表、大模型关系结果与Neo4j之间的职责边界，并识别出BERT-MRC工作票Checkpoint缺失、规则实体覆盖不足、表格结构丢失和大模型校验未回写等关键问题。论文工作已由宽泛的系统集成思路逐步收敛为版面结构保持、大小模型协同和时空风险关联三个研究方向。下一阶段将以数据和量化实验为中心，推动系统从“流程可运行”转向“方法有效且论文证据充分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微软雅黑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微软雅黑"/>
        <w:color w:val="666666"/>
        <w:sz w:val="18"/>
      </w:rPr>
      <w:t>工作票智能解析项目  |  两周进展报告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both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工作票智能解析项目两周工作内容及论文进度报告</dc:title>
  <dc:subject>阶段工作总结与论文进度</dc:subject>
  <dc:creator>python-docx</dc:creator>
  <cp:keywords>工作票, OCR, BERT-MRC, 大语言模型, Neo4j, 论文进度</cp:keywords>
  <dc:description>基于2026年7月18日至7月31日实际工作整理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