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pPr>
      <w:r>
        <w:rPr>
          <w:rFonts w:ascii="Arial" w:hAnsi="Arial" w:eastAsia="黑体"/>
          <w:b/>
          <w:color w:val="000000"/>
          <w:sz w:val="36"/>
        </w:rPr>
        <w:t>面向变电站工作票的证据约束OCR—大语言模型</w:t>
        <w:br/>
        <w:t>协同结构化抽取方法</w:t>
      </w:r>
    </w:p>
    <w:p>
      <w:pPr>
        <w:spacing w:after="100"/>
        <w:jc w:val="center"/>
      </w:pPr>
      <w:r>
        <w:rPr>
          <w:rFonts w:ascii="Times New Roman" w:hAnsi="Times New Roman" w:eastAsia="宋体"/>
          <w:b/>
          <w:color w:val="000000"/>
          <w:sz w:val="21"/>
        </w:rPr>
        <w:t>EWT-Guard: Evidence-Grounded OCR–LLM Collaborative Structured Extraction for Substation Work Tickets</w:t>
      </w:r>
    </w:p>
    <w:p>
      <w:pPr>
        <w:spacing w:after="200"/>
        <w:jc w:val="center"/>
      </w:pPr>
      <w:r>
        <w:rPr>
          <w:rFonts w:ascii="Times New Roman" w:hAnsi="Times New Roman" w:eastAsia="宋体"/>
          <w:color w:val="666666"/>
          <w:sz w:val="18"/>
        </w:rPr>
        <w:t>匿名审稿初稿 · 实验待补版 · 2026年7月</w:t>
      </w:r>
    </w:p>
    <w:p>
      <w:pPr>
        <w:pStyle w:val="DraftNote"/>
        <w:shd w:fill="F4F6F9"/>
        <w:pBdr>
          <w:left w:val="single" w:sz="18" w:space="8" w:color="5B6573"/>
        </w:pBdr>
      </w:pPr>
      <w:r>
        <w:rPr>
          <w:rFonts w:ascii="Times New Roman" w:hAnsi="Times New Roman" w:eastAsia="宋体"/>
          <w:color w:val="333333"/>
          <w:sz w:val="18"/>
        </w:rPr>
        <w:t>初稿说明：本文基于现有工作票识别原型形成。当前开发目录中的38个上传文件经内容去重后仅对应7份不同样本，尚不足以支撑正式投稿。正文完整给出研究问题、方法和实验协议；开发阶段预实验采用真实历史记录，主实验结果不作虚构。投稿前应以脱敏后的独立数据集补齐第5节相关结果。</w:t>
      </w:r>
    </w:p>
    <w:p>
      <w:pPr>
        <w:pStyle w:val="Abstract"/>
      </w:pPr>
      <w:r>
        <w:rPr>
          <w:rFonts w:ascii="Arial" w:hAnsi="Arial" w:eastAsia="黑体"/>
          <w:b/>
          <w:color w:val="000000"/>
          <w:sz w:val="19"/>
        </w:rPr>
        <w:t>摘  要：</w:t>
      </w:r>
      <w:r>
        <w:rPr>
          <w:rFonts w:ascii="Times New Roman" w:hAnsi="Times New Roman" w:eastAsia="宋体"/>
          <w:color w:val="000000"/>
          <w:sz w:val="19"/>
        </w:rPr>
        <w:t>针对变电站工作票版式复杂、表格结构密集、设备编号相似以及通用大模型抽取结果易发生字段漂移和无依据生成的问题，提出一种证据约束的OCR—大语言模型协同结构化抽取框架EWT-Guard。该框架首先利用PPStructureV3获取文本、表格与空间位置信息，并依据工作票领域schema为目标字段构建候选证据；随后，通过JSON Schema约束生成统一结构的字段值、来源证据和不确定性标记；最后，利用时间顺序、人员数量、设备状态及安全措施对应关系等业务规则进行一致性校验，对低置信度结果触发视觉大模型复核或人工审核。开发阶段8份历史保存结果均可解析为JSON，但仅50%完全遵循当前固定字段schema，说明仅依赖提示词难以满足安全敏感业务的稳定性要求。本文进一步给出面向真实工作票数据集的对比实验、消融实验、鲁棒性和效率评价协议，为后续形成可复现的主实验提供基础。</w:t>
      </w:r>
    </w:p>
    <w:p>
      <w:pPr>
        <w:pStyle w:val="Keywords"/>
      </w:pPr>
      <w:r>
        <w:rPr>
          <w:rFonts w:ascii="Arial" w:hAnsi="Arial" w:eastAsia="黑体"/>
          <w:b/>
          <w:color w:val="000000"/>
          <w:sz w:val="19"/>
        </w:rPr>
        <w:t>关键词：</w:t>
      </w:r>
      <w:r>
        <w:rPr>
          <w:rFonts w:ascii="Times New Roman" w:hAnsi="Times New Roman" w:eastAsia="宋体"/>
          <w:color w:val="000000"/>
          <w:sz w:val="19"/>
        </w:rPr>
        <w:t>电力工作票；文档智能；OCR；大语言模型；证据约束；结构化信息抽取</w:t>
      </w:r>
    </w:p>
    <w:p>
      <w:pPr>
        <w:pStyle w:val="Abstract"/>
      </w:pPr>
      <w:r>
        <w:rPr>
          <w:rFonts w:ascii="Times New Roman" w:hAnsi="Times New Roman" w:eastAsia="宋体"/>
          <w:b/>
          <w:color w:val="000000"/>
          <w:sz w:val="19"/>
        </w:rPr>
        <w:t xml:space="preserve">Abstract: </w:t>
      </w:r>
      <w:r>
        <w:rPr>
          <w:rFonts w:ascii="Times New Roman" w:hAnsi="Times New Roman" w:eastAsia="宋体"/>
          <w:color w:val="000000"/>
          <w:sz w:val="19"/>
        </w:rPr>
        <w:t>Electrical work tickets contain dense tables, device identifiers, long safety instructions, and strict cross-field dependencies. Conventional OCR pipelines may damage layout relations, whereas large language models can generate schema-drifting or unsupported values. This paper proposes EWT-Guard, an evidence-grounded OCR–LLM framework for reliable structured extraction from substation work tickets. PPStructureV3 is first used to obtain text, table, and spatial information. Field-specific evidence is then retrieved under a domain schema, and constrained generation produces normalized values together with evidence and uncertainty indicators. Domain rules verify temporal order, personnel counts, device states, grounding measures, and operational consistency. Low-confidence cases are routed to a vision-language model or human review. In eight historical development outputs, all responses were JSON-parseable, while only 50% fully conformed to the current fixed schema, demonstrating the need for explicit structural and evidential constraints. A reproducible evaluation protocol covering extraction accuracy, grounding, hallucination, robustness, and latency is provided for the subsequent full-scale study.</w:t>
      </w:r>
    </w:p>
    <w:p>
      <w:pPr>
        <w:pStyle w:val="Keywords"/>
      </w:pPr>
      <w:r>
        <w:rPr>
          <w:rFonts w:ascii="Times New Roman" w:hAnsi="Times New Roman" w:eastAsia="宋体"/>
          <w:b/>
          <w:color w:val="000000"/>
          <w:sz w:val="19"/>
        </w:rPr>
        <w:t xml:space="preserve">Keywords: </w:t>
      </w:r>
      <w:r>
        <w:rPr>
          <w:rFonts w:ascii="Times New Roman" w:hAnsi="Times New Roman" w:eastAsia="宋体"/>
          <w:color w:val="000000"/>
          <w:sz w:val="19"/>
        </w:rPr>
        <w:t>electrical work ticket; document intelligence; optical character recognition; large language model; evidence grounding; information extraction</w:t>
      </w:r>
    </w:p>
    <w:p>
      <w:pPr>
        <w:pStyle w:val="Heading1"/>
      </w:pPr>
      <w:r>
        <w:rPr>
          <w:rFonts w:ascii="Arial" w:hAnsi="Arial" w:eastAsia="黑体"/>
          <w:b/>
          <w:color w:val="000000"/>
          <w:sz w:val="28"/>
        </w:rPr>
        <w:t>1 引言</w:t>
      </w:r>
    </w:p>
    <w:p>
      <w:pPr/>
      <w:r>
        <w:rPr>
          <w:rFonts w:ascii="Times New Roman" w:hAnsi="Times New Roman" w:eastAsia="宋体"/>
          <w:color w:val="000000"/>
          <w:sz w:val="21"/>
        </w:rPr>
        <w:t>工作票是发电厂、变电站和输配电检修作业中组织措施与安全措施的重要载体。票面通常同时包含人员、时间、工作地点、设备双重编号、停电范围、接地措施、许可与终结签名等内容，各字段之间存在严格的业务逻辑。依据电力安全工作规程，工作许可、工作间断、延期和终结等环节需要保持可追溯的一致性[24]。因此，工作票数字化不仅要求识别文字，还要求恢复表格关系、保留证据来源并识别潜在冲突。</w:t>
      </w:r>
    </w:p>
    <w:p>
      <w:pPr/>
      <w:r>
        <w:rPr>
          <w:rFonts w:ascii="Times New Roman" w:hAnsi="Times New Roman" w:eastAsia="宋体"/>
          <w:color w:val="000000"/>
          <w:sz w:val="21"/>
        </w:rPr>
        <w:t>传统OCR系统在规则清晰、版式固定的文档上具有较高效率。PP-OCR系列通过轻量化检测与识别网络降低了部署成本[1-2]，版面分析工具能够进一步恢复标题、文本块和表格区域。然而，工作票常见跨栏表格、红黑双色文字、扫描噪声、印章、空白签名线及相似设备编号，单纯依赖OCR字符结果和正则规则容易产生字段错位。尤其是安全措施往往跨越多个表格行，脱离版面关系后难以判断措施对象与执行状态。</w:t>
      </w:r>
    </w:p>
    <w:p>
      <w:pPr/>
      <w:r>
        <w:rPr>
          <w:rFonts w:ascii="Times New Roman" w:hAnsi="Times New Roman" w:eastAsia="宋体"/>
          <w:color w:val="000000"/>
          <w:sz w:val="21"/>
        </w:rPr>
        <w:t>LayoutLM、LayoutLMv2和LayoutLMv3将文本、视觉与二维位置联合建模[3-5]，DocFormer、StrucTexT和Donut等模型进一步推动了多模态文档理解[6-8]。这些方法在公开表单、票据和问答数据集上取得了良好效果，但通常依赖大规模标注数据或固定任务训练。对模板类型多、样本受隐私限制且业务规则强的电力工作票而言，直接训练专用模型的成本较高。</w:t>
      </w:r>
    </w:p>
    <w:p>
      <w:pPr/>
      <w:r>
        <w:rPr>
          <w:rFonts w:ascii="Times New Roman" w:hAnsi="Times New Roman" w:eastAsia="宋体"/>
          <w:color w:val="000000"/>
          <w:sz w:val="21"/>
        </w:rPr>
        <w:t>大语言模型具备较强的语义归纳和少样本抽取能力[16-20]，可以将OCR结果整理为结构化字段，但提示词并不能保证输出始终符合固定schema。当输入包含OCR错误或证据缺失时，模型还可能根据常识补全不存在的信息。开发阶段历史记录印证了这一问题：8份输出均能被JSON解析，但仅4份完整遵守当前25字段结构。由于这些输出来自不同开发阶段和提示词版本，该比例不能作为模型能力的最终评价，却足以说明工程链路缺少确定性的结构约束。</w:t>
      </w:r>
    </w:p>
    <w:p>
      <w:pPr/>
      <w:r>
        <w:rPr>
          <w:rFonts w:ascii="Times New Roman" w:hAnsi="Times New Roman" w:eastAsia="宋体"/>
          <w:color w:val="000000"/>
          <w:sz w:val="21"/>
        </w:rPr>
        <w:t>为此，本文提出EWT-Guard框架，将工作票识别重新定义为“证据支持的结构化抽取与一致性校验”问题。方法不直接要求模型从完整OCR文本中自由生成答案，而是先围绕目标字段构建候选证据，再进行受约束的结构化生成，并利用电力规则计算可信度和拒答条件。</w:t>
      </w:r>
    </w:p>
    <w:p>
      <w:pPr/>
      <w:r>
        <w:rPr>
          <w:rFonts w:ascii="Times New Roman" w:hAnsi="Times New Roman" w:eastAsia="宋体"/>
          <w:color w:val="000000"/>
          <w:sz w:val="21"/>
        </w:rPr>
        <w:t>本文主要贡献如下。第一，构建面向变电站工作票的统一字段schema与证据表示，使人员、时间、设备、安全措施和签名等结果可以追溯到原始页面位置。第二，提出证据检索与JSON Schema约束相结合的OCR—LLM协同抽取方法，减少长文档输入中的字段错位和结构漂移。第三，引入业务规则校验、不确定性融合和低置信度路由机制，并设计覆盖准确性、证据支持率、幻觉率、鲁棒性和效率的实验协议。</w:t>
      </w:r>
    </w:p>
    <w:p>
      <w:pPr>
        <w:pStyle w:val="Heading1"/>
      </w:pPr>
      <w:r>
        <w:rPr>
          <w:rFonts w:ascii="Arial" w:hAnsi="Arial" w:eastAsia="黑体"/>
          <w:b/>
          <w:color w:val="000000"/>
          <w:sz w:val="28"/>
        </w:rPr>
        <w:t>2 相关工作</w:t>
      </w:r>
    </w:p>
    <w:p>
      <w:pPr>
        <w:pStyle w:val="Heading2"/>
      </w:pPr>
      <w:r>
        <w:rPr>
          <w:rFonts w:ascii="Arial" w:hAnsi="Arial" w:eastAsia="黑体"/>
          <w:b/>
          <w:color w:val="000000"/>
          <w:sz w:val="24"/>
        </w:rPr>
        <w:t>2.1 OCR与文档版面分析</w:t>
      </w:r>
    </w:p>
    <w:p>
      <w:pPr/>
      <w:r>
        <w:rPr>
          <w:rFonts w:ascii="Times New Roman" w:hAnsi="Times New Roman" w:eastAsia="宋体"/>
          <w:color w:val="000000"/>
          <w:sz w:val="21"/>
        </w:rPr>
        <w:t>现代OCR通常由文本检测、方向校正、文字识别和后处理组成。PP-OCR及其后续版本通过可微分二值化、轻量骨干网络和数据增强等策略兼顾速度与精度[1-2]。在复杂文档场景中，仅获得按行排列的文字仍不足以支撑字段抽取。PubLayNet等数据集推动了标题、正文、列表、表格和图像区域的版面检测研究[9]，PubTables-1M及CascadeTabNet则聚焦表格检测和结构恢复[13-14]。工作票与普通票据的差异在于表格单元格跨度大、操作项具有顺序关系，并且空白与签名线本身也具有业务含义。</w:t>
      </w:r>
    </w:p>
    <w:p>
      <w:pPr>
        <w:pStyle w:val="Heading2"/>
      </w:pPr>
      <w:r>
        <w:rPr>
          <w:rFonts w:ascii="Arial" w:hAnsi="Arial" w:eastAsia="黑体"/>
          <w:b/>
          <w:color w:val="000000"/>
          <w:sz w:val="24"/>
        </w:rPr>
        <w:t>2.2 多模态文档信息抽取</w:t>
      </w:r>
    </w:p>
    <w:p>
      <w:pPr/>
      <w:r>
        <w:rPr>
          <w:rFonts w:ascii="Times New Roman" w:hAnsi="Times New Roman" w:eastAsia="宋体"/>
          <w:color w:val="000000"/>
          <w:sz w:val="21"/>
        </w:rPr>
        <w:t>FUNSD、CORD和DocVQA等数据集分别覆盖表单语义实体、票据解析与视觉问答[10-12]。LayoutLM将二维坐标引入预训练语言模型[3]，LayoutLMv2和LayoutLMv3进一步融合图像特征并统一文本与图像掩码学习[4-5]。DocFormer通过多模态自注意力联合编码视觉、文本和空间特征[6]，StrucTexT强调实体与结构之间的关联[7]。Donut采用无OCR的端到端Transformer生成文档结构[8]，Nougat则展示了生成式文档理解在复杂学术页面中的能力[15]。这些方法为工作票理解提供了技术基础，但公开数据集与电力工作票在字段语义、风险等级和业务约束上存在明显域差异。</w:t>
      </w:r>
    </w:p>
    <w:p>
      <w:pPr>
        <w:pStyle w:val="Heading2"/>
      </w:pPr>
      <w:r>
        <w:rPr>
          <w:rFonts w:ascii="Arial" w:hAnsi="Arial" w:eastAsia="黑体"/>
          <w:b/>
          <w:color w:val="000000"/>
          <w:sz w:val="24"/>
        </w:rPr>
        <w:t>2.3 大语言模型结构化抽取与可信性</w:t>
      </w:r>
    </w:p>
    <w:p>
      <w:pPr/>
      <w:r>
        <w:rPr>
          <w:rFonts w:ascii="Times New Roman" w:hAnsi="Times New Roman" w:eastAsia="宋体"/>
          <w:color w:val="000000"/>
          <w:sz w:val="21"/>
        </w:rPr>
        <w:t>统一信息抽取方法通过结构生成将实体、关系和事件任务转化为统一输出[16]。大规模预训练语言模型表现出少样本和指令跟随能力[17-19]，思维链和自一致性策略可增强复杂推理[20-21]。但生成式模型存在事实性错误和幻觉问题，SelfCheckGPT等工作尝试通过采样一致性检测无依据生成[22]。在安全敏感文档中，仅报告平均准确率不足以说明系统可用性，还需要考虑概率校准、选择性预测和拒答机制[23,25]。</w:t>
      </w:r>
    </w:p>
    <w:p>
      <w:pPr/>
      <w:r>
        <w:rPr>
          <w:rFonts w:ascii="Times New Roman" w:hAnsi="Times New Roman" w:eastAsia="宋体"/>
          <w:color w:val="000000"/>
          <w:sz w:val="21"/>
        </w:rPr>
        <w:t>现有研究往往将OCR、文档抽取和规则校验视为独立环节，缺少针对工作票字段的证据级联合建模。本文的核心区别在于：抽取结果必须携带可定位证据，结构约束与业务规则同时参与结果判定，系统允许在不确定时拒绝自动确认。</w:t>
      </w:r>
    </w:p>
    <w:p>
      <w:pPr>
        <w:pStyle w:val="Heading1"/>
      </w:pPr>
      <w:r>
        <w:rPr>
          <w:rFonts w:ascii="Arial" w:hAnsi="Arial" w:eastAsia="黑体"/>
          <w:b/>
          <w:color w:val="000000"/>
          <w:sz w:val="28"/>
        </w:rPr>
        <w:t>3 EWT-Guard方法</w:t>
      </w:r>
    </w:p>
    <w:p>
      <w:pPr>
        <w:pStyle w:val="Heading2"/>
      </w:pPr>
      <w:r>
        <w:rPr>
          <w:rFonts w:ascii="Arial" w:hAnsi="Arial" w:eastAsia="黑体"/>
          <w:b/>
          <w:color w:val="000000"/>
          <w:sz w:val="24"/>
        </w:rPr>
        <w:t>3.1 问题定义</w:t>
      </w:r>
    </w:p>
    <w:p>
      <w:pPr/>
      <w:r>
        <w:rPr>
          <w:rFonts w:ascii="Times New Roman" w:hAnsi="Times New Roman" w:eastAsia="宋体"/>
          <w:color w:val="000000"/>
          <w:sz w:val="21"/>
        </w:rPr>
        <w:t>给定工作票文档D，OCR与版面分析模块输出元素集合O={o_i}。每个元素o_i由文本t_i、边界框b_i、页码p_i、版面类型l_i和OCR置信度c_i组成。目标字段集合记为F={f_j}，包含人员、时间、设备、工作内容、安全措施和流程签名等类别。系统需要为每个字段生成规范化取值v_j、证据集合E_j、不确定度u_j和校验状态r_j。</w:t>
      </w:r>
    </w:p>
    <w:p>
      <w:pPr/>
      <w:r>
        <w:rPr>
          <w:rFonts w:ascii="Times New Roman" w:hAnsi="Times New Roman" w:eastAsia="宋体"/>
          <w:color w:val="000000"/>
          <w:sz w:val="21"/>
        </w:rPr>
        <w:t>与普通键值抽取不同，本文要求满足两个条件：其一，非空字段必须能够映射到原文证据；其二，字段组合必须通过schema约束和业务规则。若证据不足或规则冲突，系统输出不确定标记，而不是根据语言常识补全。</w:t>
      </w:r>
    </w:p>
    <w:p>
      <w:pPr>
        <w:pStyle w:val="Equation"/>
        <w:tabs>
          <w:tab w:pos="8957" w:val="left"/>
        </w:tabs>
      </w:pPr>
      <w:r>
        <w:rPr>
          <w:rFonts w:ascii="Cambria Math" w:hAnsi="Cambria Math" w:eastAsia="宋体"/>
          <w:color w:val="000000"/>
          <w:sz w:val="21"/>
        </w:rPr>
        <w:t>y_j = (v_j, E_j, u_j, r_j),  E_j ⊆ O</w:t>
      </w:r>
      <w:r>
        <w:rPr>
          <w:rFonts w:ascii="Times New Roman" w:hAnsi="Times New Roman" w:eastAsia="宋体"/>
          <w:color w:val="000000"/>
          <w:sz w:val="21"/>
        </w:rPr>
        <w:tab/>
        <w:t>(1)</w:t>
      </w:r>
    </w:p>
    <w:p>
      <w:pPr>
        <w:pStyle w:val="Heading2"/>
      </w:pPr>
      <w:r>
        <w:rPr>
          <w:rFonts w:ascii="Arial" w:hAnsi="Arial" w:eastAsia="黑体"/>
          <w:b/>
          <w:color w:val="000000"/>
          <w:sz w:val="24"/>
        </w:rPr>
        <w:t>3.2 总体框架</w:t>
      </w:r>
    </w:p>
    <w:p>
      <w:pPr/>
      <w:r>
        <w:rPr>
          <w:rFonts w:ascii="Times New Roman" w:hAnsi="Times New Roman" w:eastAsia="宋体"/>
          <w:color w:val="000000"/>
          <w:sz w:val="21"/>
        </w:rPr>
        <w:t>如图1所示，EWT-Guard由版面与OCR解析、字段候选证据构建、Schema约束抽取、安全规则校验以及低置信度复核五部分组成。主路径优先利用OCR结构以降低视觉模型调用成本；当证据冲突、OCR置信度过低或规则校验失败时，系统将原始图像及局部区域发送给视觉大模型复核，仍不能确认的字段进入人工审核。</w:t>
      </w:r>
    </w:p>
    <w:p>
      <w:pPr>
        <w:keepNext/>
        <w:spacing w:before="80" w:after="40"/>
        <w:jc w:val="center"/>
      </w:pPr>
      <w:r>
        <w:drawing>
          <wp:inline xmlns:a="http://schemas.openxmlformats.org/drawingml/2006/main" xmlns:pic="http://schemas.openxmlformats.org/drawingml/2006/picture">
            <wp:extent cx="5688000" cy="2844000"/>
            <wp:docPr id="1" name="Picture 1" descr="图1  EWT-Guard总体框架"/>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688000" cy="2844000"/>
                    </a:xfrm>
                    <a:prstGeom prst="rect"/>
                  </pic:spPr>
                </pic:pic>
              </a:graphicData>
            </a:graphic>
          </wp:inline>
        </w:drawing>
      </w:r>
    </w:p>
    <w:p>
      <w:pPr>
        <w:pStyle w:val="Caption"/>
      </w:pPr>
      <w:r>
        <w:rPr>
          <w:rFonts w:ascii="Times New Roman" w:hAnsi="Times New Roman" w:eastAsia="宋体"/>
          <w:color w:val="000000"/>
          <w:sz w:val="18"/>
        </w:rPr>
        <w:t>图1  EWT-Guard总体框架</w:t>
      </w:r>
    </w:p>
    <w:p>
      <w:pPr>
        <w:pStyle w:val="Heading2"/>
      </w:pPr>
      <w:r>
        <w:rPr>
          <w:rFonts w:ascii="Arial" w:hAnsi="Arial" w:eastAsia="黑体"/>
          <w:b/>
          <w:color w:val="000000"/>
          <w:sz w:val="24"/>
        </w:rPr>
        <w:t>3.3 工作票领域schema与证据表示</w:t>
      </w:r>
    </w:p>
    <w:p>
      <w:pPr/>
      <w:r>
        <w:rPr>
          <w:rFonts w:ascii="Times New Roman" w:hAnsi="Times New Roman" w:eastAsia="宋体"/>
          <w:color w:val="000000"/>
          <w:sz w:val="21"/>
        </w:rPr>
        <w:t>结合当前原型，领域schema包含25个顶层字段。为避免不同模型产生中文字段、驼峰字段或自定义字段，所有响应均先通过JSON Schema和Pydantic模型校验。字段值采用统一的数据类型，时间字段规范为ISO 8601或明确的中文标准格式，人员与措施采用数组，缺失信息使用null而非空字符串。</w:t>
      </w:r>
    </w:p>
    <w:p>
      <w:pPr>
        <w:pStyle w:val="Caption"/>
        <w:keepNext/>
      </w:pPr>
      <w:r>
        <w:rPr>
          <w:rFonts w:ascii="Arial" w:hAnsi="Arial" w:eastAsia="黑体"/>
          <w:b/>
          <w:color w:val="000000"/>
          <w:sz w:val="18"/>
        </w:rPr>
        <w:t>表1  工作票核心字段及证据约束示例</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050"/>
        <w:gridCol w:w="1800"/>
        <w:gridCol w:w="900"/>
        <w:gridCol w:w="2600"/>
        <w:gridCol w:w="2722"/>
      </w:tblGrid>
      <w:tr>
        <w:trPr>
          <w:tblHeader w:val="true"/>
        </w:trPr>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字段类别</w:t>
            </w:r>
          </w:p>
        </w:tc>
        <w:tc>
          <w:tcPr>
            <w:tcW w:type="dxa" w:w="18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代表字段</w:t>
            </w:r>
          </w:p>
        </w:tc>
        <w:tc>
          <w:tcPr>
            <w:tcW w:type="dxa" w:w="9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类型</w:t>
            </w:r>
          </w:p>
        </w:tc>
        <w:tc>
          <w:tcPr>
            <w:tcW w:type="dxa" w:w="26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证据要求</w:t>
            </w:r>
          </w:p>
        </w:tc>
        <w:tc>
          <w:tcPr>
            <w:tcW w:type="dxa" w:w="272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主要校验规则</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票面标识</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ticket_type、ticket_no</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字符串</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标题区、编号区</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编号格式与票种匹配</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人员组织</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work_leader、work_members</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字符串/数组</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人员栏及签名栏</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名单数量与总人数一致</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时间流程</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planned_start_time等</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时间</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计划、许可、终结区域</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开始≤许可≤终结</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任务设备</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work_location、work_content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字符串</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任务栏、地点栏</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电压等级和设备编号一致</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安全措施</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safety_measures、grounding_measures</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数组</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措施表格及执行栏</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应执行项与已执行项对应</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签名许可</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issuer、permit_person、signatures</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对象/数组</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签名线与时间邻域</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流程角色和阶段完整</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可信信息</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uncertain_fields、source_evidence</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数组/对象</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页码、bbox、OCR原文</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非空结果必须有证据</w:t>
            </w:r>
          </w:p>
        </w:tc>
      </w:tr>
    </w:tbl>
    <w:p>
      <w:pPr>
        <w:spacing w:after="40"/>
      </w:pPr>
    </w:p>
    <w:p>
      <w:pPr/>
      <w:r>
        <w:rPr>
          <w:rFonts w:ascii="Times New Roman" w:hAnsi="Times New Roman" w:eastAsia="宋体"/>
          <w:color w:val="000000"/>
          <w:sz w:val="21"/>
        </w:rPr>
        <w:t>证据对象至少包含page、bbox、text、ocr_confidence和source_type。对于表格字段，还需保存row、column和table_id；对于跨行安全措施，允许一个字段对应多个证据片段。证据表示既用于模型输入，也用于结果审计和人工复核。</w:t>
      </w:r>
    </w:p>
    <w:p>
      <w:pPr>
        <w:pStyle w:val="Heading2"/>
      </w:pPr>
      <w:r>
        <w:rPr>
          <w:rFonts w:ascii="Arial" w:hAnsi="Arial" w:eastAsia="黑体"/>
          <w:b/>
          <w:color w:val="000000"/>
          <w:sz w:val="24"/>
        </w:rPr>
        <w:t>3.4 字段候选证据构建</w:t>
      </w:r>
    </w:p>
    <w:p>
      <w:pPr/>
      <w:r>
        <w:rPr>
          <w:rFonts w:ascii="Times New Roman" w:hAnsi="Times New Roman" w:eastAsia="宋体"/>
          <w:color w:val="000000"/>
          <w:sz w:val="21"/>
        </w:rPr>
        <w:t>当前原型将Markdown和截断后的JSON整体拼接给模型，长表格可能导致关键证据被无差别淹没。本文改为以字段定义为查询，综合语义相似度、版面邻近度和领域词典匹配度检索候选区域。对字段f_j与候选证据e_i，其综合得分定义为：</w:t>
      </w:r>
    </w:p>
    <w:p>
      <w:pPr>
        <w:pStyle w:val="Equation"/>
        <w:tabs>
          <w:tab w:pos="8957" w:val="left"/>
        </w:tabs>
      </w:pPr>
      <w:r>
        <w:rPr>
          <w:rFonts w:ascii="Cambria Math" w:hAnsi="Cambria Math" w:eastAsia="宋体"/>
          <w:color w:val="000000"/>
          <w:sz w:val="21"/>
        </w:rPr>
        <w:t>S(e_i,f_j)=λ₁S_sem+λ₂S_layout+λ₃S_lex+λ₄S_conf</w:t>
      </w:r>
      <w:r>
        <w:rPr>
          <w:rFonts w:ascii="Times New Roman" w:hAnsi="Times New Roman" w:eastAsia="宋体"/>
          <w:color w:val="000000"/>
          <w:sz w:val="21"/>
        </w:rPr>
        <w:tab/>
        <w:t>(2)</w:t>
      </w:r>
    </w:p>
    <w:p>
      <w:pPr/>
      <w:r>
        <w:rPr>
          <w:rFonts w:ascii="Times New Roman" w:hAnsi="Times New Roman" w:eastAsia="宋体"/>
          <w:color w:val="000000"/>
          <w:sz w:val="21"/>
        </w:rPr>
        <w:t>其中S_sem表示字段描述与证据文本的语义相关度，S_layout表示候选区域与字段标签的空间关系，S_lex表示设备编号、时间词和角色词典匹配度，S_conf为OCR置信度。权重λ在验证集上确定。每个字段保留前K个候选片段，并将相邻的表格单元格、行标题及页码信息一并提供给模型。</w:t>
      </w:r>
    </w:p>
    <w:p>
      <w:pPr>
        <w:pStyle w:val="Heading2"/>
      </w:pPr>
      <w:r>
        <w:rPr>
          <w:rFonts w:ascii="Arial" w:hAnsi="Arial" w:eastAsia="黑体"/>
          <w:b/>
          <w:color w:val="000000"/>
          <w:sz w:val="24"/>
        </w:rPr>
        <w:t>3.5 Schema约束结构化生成</w:t>
      </w:r>
    </w:p>
    <w:p>
      <w:pPr/>
      <w:r>
        <w:rPr>
          <w:rFonts w:ascii="Times New Roman" w:hAnsi="Times New Roman" w:eastAsia="宋体"/>
          <w:color w:val="000000"/>
          <w:sz w:val="21"/>
        </w:rPr>
        <w:t>约束生成模块的输入由任务说明、字段定义、候选证据和JSON Schema组成。模型只能从候选证据复制或规范化字段值，不允许输出schema之外的键。生成后首先进行语法解析和类型检查；失败时采用同一证据执行有限次数的修复提示，而不是重新读取完整文档。</w:t>
      </w:r>
    </w:p>
    <w:p>
      <w:pPr/>
      <w:r>
        <w:rPr>
          <w:rFonts w:ascii="Times New Roman" w:hAnsi="Times New Roman" w:eastAsia="宋体"/>
          <w:color w:val="000000"/>
          <w:sz w:val="21"/>
        </w:rPr>
        <w:t>对时间、人数和设备编号采用确定性后处理。时间规范化保留原文与标准值，避免将缺失年份擅自补齐；设备编号保留大小写和连字符，同时输出去空格后的比较形式；人员字段通过中文姓名边界和签名邻域判断，禁止把说明文字识别为人员。</w:t>
      </w:r>
    </w:p>
    <w:p>
      <w:pPr>
        <w:pStyle w:val="Heading2"/>
      </w:pPr>
      <w:r>
        <w:rPr>
          <w:rFonts w:ascii="Arial" w:hAnsi="Arial" w:eastAsia="黑体"/>
          <w:b/>
          <w:color w:val="000000"/>
          <w:sz w:val="24"/>
        </w:rPr>
        <w:t>3.6 规则校验、置信度与选择性复核</w:t>
      </w:r>
    </w:p>
    <w:p>
      <w:pPr/>
      <w:r>
        <w:rPr>
          <w:rFonts w:ascii="Times New Roman" w:hAnsi="Times New Roman" w:eastAsia="宋体"/>
          <w:color w:val="000000"/>
          <w:sz w:val="21"/>
        </w:rPr>
        <w:t>业务规则分为字段级、跨字段和流程级三类。字段级规则验证类型、格式和证据存在性；跨字段规则检查工作负责人是否出现在相关签名区域、人员数量是否与名单一致、工作地点与工作内容中的设备信息是否冲突；流程级规则检查计划、许可、终结时间顺序以及应执行措施与已执行措施之间的对应关系。规则应由电力专业人员确认，模型不得自行创造安全规则。</w:t>
      </w:r>
    </w:p>
    <w:p>
      <w:pPr/>
      <w:r>
        <w:rPr>
          <w:rFonts w:ascii="Times New Roman" w:hAnsi="Times New Roman" w:eastAsia="宋体"/>
          <w:color w:val="000000"/>
          <w:sz w:val="21"/>
        </w:rPr>
        <w:t>字段综合置信度由OCR质量、语义匹配、规则通过情况和OCR—视觉模型一致性共同决定：</w:t>
      </w:r>
    </w:p>
    <w:p>
      <w:pPr>
        <w:pStyle w:val="Equation"/>
        <w:tabs>
          <w:tab w:pos="8957" w:val="left"/>
        </w:tabs>
      </w:pPr>
      <w:r>
        <w:rPr>
          <w:rFonts w:ascii="Cambria Math" w:hAnsi="Cambria Math" w:eastAsia="宋体"/>
          <w:color w:val="000000"/>
          <w:sz w:val="21"/>
        </w:rPr>
        <w:t>C_j=αC_ocr+βC_sem+γC_rule+δC_agree</w:t>
      </w:r>
      <w:r>
        <w:rPr>
          <w:rFonts w:ascii="Times New Roman" w:hAnsi="Times New Roman" w:eastAsia="宋体"/>
          <w:color w:val="000000"/>
          <w:sz w:val="21"/>
        </w:rPr>
        <w:tab/>
        <w:t>(3)</w:t>
      </w:r>
    </w:p>
    <w:p>
      <w:pPr/>
      <w:r>
        <w:rPr>
          <w:rFonts w:ascii="Times New Roman" w:hAnsi="Times New Roman" w:eastAsia="宋体"/>
          <w:color w:val="000000"/>
          <w:sz w:val="21"/>
        </w:rPr>
        <w:t>当C_j低于阈值τ，或出现高风险规则冲突时，系统触发局部视觉复核；若复核结果与OCR证据仍不一致，则保留两个候选值并标记为需要人工审核。该机制将系统目标从“强制给出答案”调整为“在可验证时自动确认”。</w:t>
      </w:r>
    </w:p>
    <w:p>
      <w:pPr>
        <w:pStyle w:val="Heading1"/>
      </w:pPr>
      <w:r>
        <w:rPr>
          <w:rFonts w:ascii="Arial" w:hAnsi="Arial" w:eastAsia="黑体"/>
          <w:b/>
          <w:color w:val="000000"/>
          <w:sz w:val="28"/>
        </w:rPr>
        <w:t>4 原型系统实现</w:t>
      </w:r>
    </w:p>
    <w:p>
      <w:pPr>
        <w:pStyle w:val="Heading2"/>
      </w:pPr>
      <w:r>
        <w:rPr>
          <w:rFonts w:ascii="Arial" w:hAnsi="Arial" w:eastAsia="黑体"/>
          <w:b/>
          <w:color w:val="000000"/>
          <w:sz w:val="24"/>
        </w:rPr>
        <w:t>4.1 系统架构</w:t>
      </w:r>
    </w:p>
    <w:p>
      <w:pPr/>
      <w:r>
        <w:rPr>
          <w:rFonts w:ascii="Times New Roman" w:hAnsi="Times New Roman" w:eastAsia="宋体"/>
          <w:color w:val="000000"/>
          <w:sz w:val="21"/>
        </w:rPr>
        <w:t>现有原型采用FastAPI提供后端服务，前端支持结构化识别和图片直传两种模式。结构化识别路径调用PPStructureV3生成JSON与Markdown，再由文本大模型整理为固定字段；图片直传路径将图像编码为Data URL并调用视觉大模型。系统通过Server-Sent Events返回文件接收、OCR、首字等待和模型生成等阶段事件。</w:t>
      </w:r>
    </w:p>
    <w:p>
      <w:pPr/>
      <w:r>
        <w:rPr>
          <w:rFonts w:ascii="Times New Roman" w:hAnsi="Times New Roman" w:eastAsia="宋体"/>
          <w:color w:val="000000"/>
          <w:sz w:val="21"/>
        </w:rPr>
        <w:t>原型保留每次任务的输入文件、OCR中间结果、模型原始输出、解析后的JSON和时延信息，为实验复现与错误分析提供基础。当前实现已经证明完整链路可运行，但证据对象、强制schema和规则引擎尚需按照第3节方案补充。</w:t>
      </w:r>
    </w:p>
    <w:p>
      <w:pPr>
        <w:pStyle w:val="Heading2"/>
      </w:pPr>
      <w:r>
        <w:rPr>
          <w:rFonts w:ascii="Arial" w:hAnsi="Arial" w:eastAsia="黑体"/>
          <w:b/>
          <w:color w:val="000000"/>
          <w:sz w:val="24"/>
        </w:rPr>
        <w:t>4.2 开发环境与模型配置</w:t>
      </w:r>
    </w:p>
    <w:p>
      <w:pPr>
        <w:pStyle w:val="Caption"/>
        <w:keepNext/>
      </w:pPr>
      <w:r>
        <w:rPr>
          <w:rFonts w:ascii="Arial" w:hAnsi="Arial" w:eastAsia="黑体"/>
          <w:b/>
          <w:color w:val="000000"/>
          <w:sz w:val="18"/>
        </w:rPr>
        <w:t>表2  当前原型开发环境</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800"/>
        <w:gridCol w:w="3300"/>
        <w:gridCol w:w="3972"/>
      </w:tblGrid>
      <w:tr>
        <w:trPr>
          <w:tblHeader w:val="true"/>
        </w:trPr>
        <w:tc>
          <w:tcPr>
            <w:tcW w:type="dxa" w:w="18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组件</w:t>
            </w:r>
          </w:p>
        </w:tc>
        <w:tc>
          <w:tcPr>
            <w:tcW w:type="dxa" w:w="33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版本或配置</w:t>
            </w:r>
          </w:p>
        </w:tc>
        <w:tc>
          <w:tcPr>
            <w:tcW w:type="dxa" w:w="39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用途</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操作系统</w:t>
            </w:r>
          </w:p>
        </w:tc>
        <w:tc>
          <w:tcPr>
            <w:tcW w:type="dxa" w:w="33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Windows 11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开发与测试</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Python</w:t>
            </w:r>
          </w:p>
        </w:tc>
        <w:tc>
          <w:tcPr>
            <w:tcW w:type="dxa" w:w="33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3.13.5</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后端运行环境</w:t>
            </w:r>
          </w:p>
        </w:tc>
      </w:tr>
      <w:tr>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FastAPI / httpx</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0.115.6 / 0.28.1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接口与异步模型调用</w:t>
            </w:r>
          </w:p>
        </w:tc>
      </w:tr>
      <w:tr>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PaddleOCR / PaddlePaddle</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3.7.0 / 3.0.0（CPU）</w:t>
            </w:r>
          </w:p>
        </w:tc>
        <w:tc>
          <w:tcPr>
            <w:tcW w:type="dxa" w:w="3972"/>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PPStructureV3版面与OCR</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文本模型</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DeepSeek V4 Flash，temperature=0.1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OCR结果结构化</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视觉模型</w:t>
            </w:r>
          </w:p>
        </w:tc>
        <w:tc>
          <w:tcPr>
            <w:tcW w:type="dxa" w:w="33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Qwen 3.7 Plus</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原图识别与后续复核</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GPU</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NVIDIA GeForce GTX 1650 4 GB</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当前OCR未使用GPU版本</w:t>
            </w:r>
          </w:p>
        </w:tc>
      </w:tr>
    </w:tbl>
    <w:p>
      <w:pPr>
        <w:spacing w:after="40"/>
      </w:pPr>
    </w:p>
    <w:p>
      <w:pPr/>
      <w:r>
        <w:rPr>
          <w:rFonts w:ascii="Times New Roman" w:hAnsi="Times New Roman" w:eastAsia="宋体"/>
          <w:color w:val="000000"/>
          <w:sz w:val="21"/>
        </w:rPr>
        <w:t>正式实验应冻结操作系统、模型版本、提示词版本和依赖文件，并在同一硬件环境重复运行。远程大模型需要记录接口日期、温度、最大输出长度和失败重试次数。对于随机性实验，建议在固定测试子集上重复3次并报告均值和标准差。</w:t>
      </w:r>
    </w:p>
    <w:p>
      <w:pPr>
        <w:pStyle w:val="Heading2"/>
      </w:pPr>
      <w:r>
        <w:rPr>
          <w:rFonts w:ascii="Arial" w:hAnsi="Arial" w:eastAsia="黑体"/>
          <w:b/>
          <w:color w:val="000000"/>
          <w:sz w:val="24"/>
        </w:rPr>
        <w:t>4.3 工程可靠性与隐私</w:t>
      </w:r>
    </w:p>
    <w:p>
      <w:pPr/>
      <w:r>
        <w:rPr>
          <w:rFonts w:ascii="Times New Roman" w:hAnsi="Times New Roman" w:eastAsia="宋体"/>
          <w:color w:val="000000"/>
          <w:sz w:val="21"/>
        </w:rPr>
        <w:t>工作票包含人员姓名、设备位置和运行信息，数据收集、日志和论文样例均需脱敏。正式系统应限制文件大小和扩展名，避免在健康接口中返回密钥片段，禁止将完整异常堆栈发送给前端，并对上传文件设置访问控制和保留期限。网络调用应采用连接复用、超时分类、指数退避重试和结果缓存。上述措施不直接构成算法创新，但决定了系统能否在真实业务环境中安全使用。</w:t>
      </w:r>
    </w:p>
    <w:p>
      <w:pPr>
        <w:pStyle w:val="Heading1"/>
      </w:pPr>
      <w:r>
        <w:rPr>
          <w:rFonts w:ascii="Arial" w:hAnsi="Arial" w:eastAsia="黑体"/>
          <w:b/>
          <w:color w:val="000000"/>
          <w:sz w:val="28"/>
        </w:rPr>
        <w:t>5 实验设计与开发阶段预实验</w:t>
      </w:r>
    </w:p>
    <w:p>
      <w:pPr>
        <w:pStyle w:val="Heading2"/>
      </w:pPr>
      <w:r>
        <w:rPr>
          <w:rFonts w:ascii="Arial" w:hAnsi="Arial" w:eastAsia="黑体"/>
          <w:b/>
          <w:color w:val="000000"/>
          <w:sz w:val="24"/>
        </w:rPr>
        <w:t>5.1 数据集与标注协议</w:t>
      </w:r>
    </w:p>
    <w:p>
      <w:pPr/>
      <w:r>
        <w:rPr>
          <w:rFonts w:ascii="Times New Roman" w:hAnsi="Times New Roman" w:eastAsia="宋体"/>
          <w:color w:val="000000"/>
          <w:sz w:val="21"/>
        </w:rPr>
        <w:t>正式研究建议收集不少于300页、覆盖至少5类模板的脱敏工作票；若面向中文核心期刊，应进一步扩展到800页以上并覆盖多个来源。数据按照原始工作票和模板来源划分训练、验证和测试集，禁止将同一票据的不同副本或增强版本分配到不同集合。另设未见模板测试集，用于评价跨模板泛化。</w:t>
      </w:r>
    </w:p>
    <w:p>
      <w:pPr/>
      <w:r>
        <w:rPr>
          <w:rFonts w:ascii="Times New Roman" w:hAnsi="Times New Roman" w:eastAsia="宋体"/>
          <w:color w:val="000000"/>
          <w:sz w:val="21"/>
        </w:rPr>
        <w:t>标注对象包括25个目标字段、字段原始证据、页码与边界框、表格单元格关系、不可确定状态和业务冲突标签。随机选择至少20%的样本由两名标注人员独立标注，数值与类别字段报告一致率，复杂安全措施报告Cohen's Kappa或条目级F1。分歧由具备电力业务知识的第三方复核。</w:t>
      </w:r>
    </w:p>
    <w:p>
      <w:pPr>
        <w:pStyle w:val="Caption"/>
        <w:keepNext/>
      </w:pPr>
      <w:r>
        <w:rPr>
          <w:rFonts w:ascii="Arial" w:hAnsi="Arial" w:eastAsia="黑体"/>
          <w:b/>
          <w:color w:val="000000"/>
          <w:sz w:val="18"/>
        </w:rPr>
        <w:t>表3  正式数据集统计表（主实验完成后填写）</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450"/>
        <w:gridCol w:w="1250"/>
        <w:gridCol w:w="900"/>
        <w:gridCol w:w="900"/>
        <w:gridCol w:w="1700"/>
        <w:gridCol w:w="2872"/>
      </w:tblGrid>
      <w:tr>
        <w:trPr>
          <w:tblHeader w:val="true"/>
        </w:trPr>
        <w:tc>
          <w:tcPr>
            <w:tcW w:type="dxa" w:w="14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数据子集</w:t>
            </w:r>
          </w:p>
        </w:tc>
        <w:tc>
          <w:tcPr>
            <w:tcW w:type="dxa" w:w="12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独立票据数</w:t>
            </w:r>
          </w:p>
        </w:tc>
        <w:tc>
          <w:tcPr>
            <w:tcW w:type="dxa" w:w="9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页数</w:t>
            </w:r>
          </w:p>
        </w:tc>
        <w:tc>
          <w:tcPr>
            <w:tcW w:type="dxa" w:w="9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模板数</w:t>
            </w:r>
          </w:p>
        </w:tc>
        <w:tc>
          <w:tcPr>
            <w:tcW w:type="dxa" w:w="17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低质量图像占比</w:t>
            </w:r>
          </w:p>
        </w:tc>
        <w:tc>
          <w:tcPr>
            <w:tcW w:type="dxa" w:w="28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用途</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训练集</w:t>
            </w:r>
          </w:p>
        </w:tc>
        <w:tc>
          <w:tcPr>
            <w:tcW w:type="dxa" w:w="12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28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规则/权重开发</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验证集</w:t>
            </w:r>
          </w:p>
        </w:tc>
        <w:tc>
          <w:tcPr>
            <w:tcW w:type="dxa" w:w="12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28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阈值与参数选择</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测试集</w:t>
            </w:r>
          </w:p>
        </w:tc>
        <w:tc>
          <w:tcPr>
            <w:tcW w:type="dxa" w:w="12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28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总体性能评价</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未见模板集</w:t>
            </w:r>
          </w:p>
        </w:tc>
        <w:tc>
          <w:tcPr>
            <w:tcW w:type="dxa" w:w="12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28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跨模板泛化</w:t>
            </w:r>
          </w:p>
        </w:tc>
      </w:tr>
    </w:tbl>
    <w:p>
      <w:pPr>
        <w:spacing w:after="40"/>
      </w:pPr>
    </w:p>
    <w:p>
      <w:pPr>
        <w:pStyle w:val="Heading2"/>
      </w:pPr>
      <w:r>
        <w:rPr>
          <w:rFonts w:ascii="Arial" w:hAnsi="Arial" w:eastAsia="黑体"/>
          <w:b/>
          <w:color w:val="000000"/>
          <w:sz w:val="24"/>
        </w:rPr>
        <w:t>5.2 对比方法与评价指标</w:t>
      </w:r>
    </w:p>
    <w:p>
      <w:pPr/>
      <w:r>
        <w:rPr>
          <w:rFonts w:ascii="Times New Roman" w:hAnsi="Times New Roman" w:eastAsia="宋体"/>
          <w:color w:val="000000"/>
          <w:sz w:val="21"/>
        </w:rPr>
        <w:t>对比方法包括：B1为PPStructureV3加正则规则；B2为当前PPStructureV3加普通LLM提示词；B3为视觉大模型直接结构化抽取；B4为LayoutLMv3或UIE等监督式文档抽取方法；EWT-Guard为本文方法。若监督式方法受数据规模限制，应明确训练数据与预训练权重来源，避免将零样本方法和充分微调方法作不公平比较。</w:t>
      </w:r>
    </w:p>
    <w:p>
      <w:pPr>
        <w:pStyle w:val="Caption"/>
        <w:keepNext/>
      </w:pPr>
      <w:r>
        <w:rPr>
          <w:rFonts w:ascii="Arial" w:hAnsi="Arial" w:eastAsia="黑体"/>
          <w:b/>
          <w:color w:val="000000"/>
          <w:sz w:val="18"/>
        </w:rPr>
        <w:t>表4  评价指标及其含义</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500"/>
        <w:gridCol w:w="2500"/>
        <w:gridCol w:w="5072"/>
      </w:tblGrid>
      <w:tr>
        <w:trPr>
          <w:tblHeader w:val="true"/>
        </w:trPr>
        <w:tc>
          <w:tcPr>
            <w:tcW w:type="dxa" w:w="15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评价层面</w:t>
            </w:r>
          </w:p>
        </w:tc>
        <w:tc>
          <w:tcPr>
            <w:tcW w:type="dxa" w:w="25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指标</w:t>
            </w:r>
          </w:p>
        </w:tc>
        <w:tc>
          <w:tcPr>
            <w:tcW w:type="dxa" w:w="50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说明</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OCR质量</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CER</w:t>
            </w:r>
          </w:p>
        </w:tc>
        <w:tc>
          <w:tcPr>
            <w:tcW w:type="dxa" w:w="5072"/>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字符级编辑距离，评估文字识别误差</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单值字段</w:t>
            </w:r>
          </w:p>
        </w:tc>
        <w:tc>
          <w:tcPr>
            <w:tcW w:type="dxa" w:w="25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Normalized EM、字符F1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时间、姓名和编号规范化后评价</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列表字段</w:t>
            </w:r>
          </w:p>
        </w:tc>
        <w:tc>
          <w:tcPr>
            <w:tcW w:type="dxa" w:w="25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Precision、Recall、F1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人员与安全措施按条目匹配</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总体抽取</w:t>
            </w:r>
          </w:p>
        </w:tc>
        <w:tc>
          <w:tcPr>
            <w:tcW w:type="dxa" w:w="25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Micro-F1、Macro-F1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兼顾高频与低频字段</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结构稳定性</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Schema合法率</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是否完全满足字段和类型约束</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可信性</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证据支持率、幻觉率</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值能否被原始证据支持</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规则能力</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冲突检测F1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业务矛盾识别准确性</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效率</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P50/P95时延、成本/页</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分别报告冷启动和预热结果</w:t>
            </w:r>
          </w:p>
        </w:tc>
      </w:tr>
    </w:tbl>
    <w:p>
      <w:pPr>
        <w:spacing w:after="40"/>
      </w:pPr>
    </w:p>
    <w:p>
      <w:pPr>
        <w:pStyle w:val="Heading2"/>
      </w:pPr>
      <w:r>
        <w:rPr>
          <w:rFonts w:ascii="Arial" w:hAnsi="Arial" w:eastAsia="黑体"/>
          <w:b/>
          <w:color w:val="000000"/>
          <w:sz w:val="24"/>
        </w:rPr>
        <w:t>5.3 开发阶段预实验</w:t>
      </w:r>
    </w:p>
    <w:p>
      <w:pPr/>
      <w:r>
        <w:rPr>
          <w:rFonts w:ascii="Times New Roman" w:hAnsi="Times New Roman" w:eastAsia="宋体"/>
          <w:color w:val="000000"/>
          <w:sz w:val="21"/>
        </w:rPr>
        <w:t>截至2026年7月20日，开发目录包含38个上传文件。按文件内容哈希去重后，仅有7份不同内容，其中包括复杂双页第一种工作票、单页第二种工作票、密集安全措施表格以及小型测试图像。系统保存了8份可解析的LLM结构化结果。</w:t>
      </w:r>
    </w:p>
    <w:p>
      <w:pPr/>
      <w:r>
        <w:rPr>
          <w:rFonts w:ascii="Times New Roman" w:hAnsi="Times New Roman" w:eastAsia="宋体"/>
          <w:color w:val="000000"/>
          <w:sz w:val="21"/>
        </w:rPr>
        <w:t>对历史结果的schema键进行检查发现，8份结果均可解析为JSON，4份完整包含当前定义的25个顶层字段，另外4份分别采用中文字段、自定义英文下划线字段或驼峰字段。需要强调的是，这些结果可能来自不同提示词版本，因此不能将50%的完全遵循率解释为某一固定模型的统计性能；其作用是证明现有原型缺少阻止schema漂移的硬约束。</w:t>
      </w:r>
    </w:p>
    <w:p>
      <w:pPr>
        <w:keepNext/>
        <w:spacing w:before="80" w:after="40"/>
        <w:jc w:val="center"/>
      </w:pPr>
      <w:r>
        <w:drawing>
          <wp:inline xmlns:a="http://schemas.openxmlformats.org/drawingml/2006/main" xmlns:pic="http://schemas.openxmlformats.org/drawingml/2006/picture">
            <wp:extent cx="5328000" cy="2892343"/>
            <wp:docPr id="2" name="Picture 2" descr="图2  开发阶段历史结果的结构稳定性"/>
            <wp:cNvGraphicFramePr>
              <a:graphicFrameLocks noChangeAspect="1"/>
            </wp:cNvGraphicFramePr>
            <a:graphic>
              <a:graphicData uri="http://schemas.openxmlformats.org/drawingml/2006/picture">
                <pic:pic>
                  <pic:nvPicPr>
                    <pic:cNvPr id="0" name="figure2_pretest.png"/>
                    <pic:cNvPicPr/>
                  </pic:nvPicPr>
                  <pic:blipFill>
                    <a:blip r:embed="rId12"/>
                    <a:stretch>
                      <a:fillRect/>
                    </a:stretch>
                  </pic:blipFill>
                  <pic:spPr>
                    <a:xfrm>
                      <a:off x="0" y="0"/>
                      <a:ext cx="5328000" cy="2892343"/>
                    </a:xfrm>
                    <a:prstGeom prst="rect"/>
                  </pic:spPr>
                </pic:pic>
              </a:graphicData>
            </a:graphic>
          </wp:inline>
        </w:drawing>
      </w:r>
    </w:p>
    <w:p>
      <w:pPr>
        <w:pStyle w:val="Caption"/>
      </w:pPr>
      <w:r>
        <w:rPr>
          <w:rFonts w:ascii="Times New Roman" w:hAnsi="Times New Roman" w:eastAsia="宋体"/>
          <w:color w:val="000000"/>
          <w:sz w:val="18"/>
        </w:rPr>
        <w:t>图2  开发阶段历史结果的结构稳定性</w:t>
      </w:r>
    </w:p>
    <w:p>
      <w:pPr>
        <w:pStyle w:val="Caption"/>
        <w:keepNext/>
      </w:pPr>
      <w:r>
        <w:rPr>
          <w:rFonts w:ascii="Arial" w:hAnsi="Arial" w:eastAsia="黑体"/>
          <w:b/>
          <w:color w:val="000000"/>
          <w:sz w:val="18"/>
        </w:rPr>
        <w:t>表5  一次冷启动任务的阶段耗时</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850"/>
        <w:gridCol w:w="1550"/>
        <w:gridCol w:w="1700"/>
        <w:gridCol w:w="3972"/>
      </w:tblGrid>
      <w:tr>
        <w:trPr>
          <w:tblHeader w:val="true"/>
        </w:trPr>
        <w:tc>
          <w:tcPr>
            <w:tcW w:type="dxa" w:w="18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阶段</w:t>
            </w:r>
          </w:p>
        </w:tc>
        <w:tc>
          <w:tcPr>
            <w:tcW w:type="dxa" w:w="15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耗时/ms</w:t>
            </w:r>
          </w:p>
        </w:tc>
        <w:tc>
          <w:tcPr>
            <w:tcW w:type="dxa" w:w="17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占总时延比例</w:t>
            </w:r>
          </w:p>
        </w:tc>
        <w:tc>
          <w:tcPr>
            <w:tcW w:type="dxa" w:w="39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说明</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文件接收</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31.64</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0.02%</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上传保存</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OCR流水线加载</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124630.67</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61.87%</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首次加载模型</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OCR预测</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61649.26</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30.61%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单页预测</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LLM首字等待</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10333.17</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5.13%</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网络与推理等待</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LLM流式生成</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4474.92</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2.22%</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收到首字后的生成</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端到端总耗时</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201427.90</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100%</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约201.43秒</w:t>
            </w:r>
          </w:p>
        </w:tc>
      </w:tr>
    </w:tbl>
    <w:p>
      <w:pPr>
        <w:spacing w:after="40"/>
      </w:pPr>
    </w:p>
    <w:p>
      <w:pPr/>
      <w:r>
        <w:rPr>
          <w:rFonts w:ascii="Times New Roman" w:hAnsi="Times New Roman" w:eastAsia="宋体"/>
          <w:color w:val="000000"/>
          <w:sz w:val="21"/>
        </w:rPr>
        <w:t>该记录表明冷启动的主要瓶颈来自OCR流水线加载，而不是LLM生成。正式实验应先执行固定次数预热，再分别报告冷启动与热启动时延，并对模型下载、磁盘缓存和网络波动进行隔离。单次时延不能用于显著性结论。</w:t>
      </w:r>
    </w:p>
    <w:p>
      <w:pPr>
        <w:pStyle w:val="Heading2"/>
      </w:pPr>
      <w:r>
        <w:rPr>
          <w:rFonts w:ascii="Arial" w:hAnsi="Arial" w:eastAsia="黑体"/>
          <w:b/>
          <w:color w:val="000000"/>
          <w:sz w:val="24"/>
        </w:rPr>
        <w:t>5.4 主实验与消融实验报告方案</w:t>
      </w:r>
    </w:p>
    <w:p>
      <w:pPr/>
      <w:r>
        <w:rPr>
          <w:rFonts w:ascii="Times New Roman" w:hAnsi="Times New Roman" w:eastAsia="宋体"/>
          <w:color w:val="000000"/>
          <w:sz w:val="21"/>
        </w:rPr>
        <w:t>主实验完成后，应在同一测试集和字段规范下填充表6。每个模型使用相同证据输入或明确说明输入差异。除了总体F1，还需同时报告Schema合法率、证据支持率与幻觉率，防止高平均准确率掩盖少量高风险错误。</w:t>
      </w:r>
    </w:p>
    <w:p>
      <w:pPr>
        <w:pStyle w:val="Caption"/>
        <w:keepNext/>
      </w:pPr>
      <w:r>
        <w:rPr>
          <w:rFonts w:ascii="Arial" w:hAnsi="Arial" w:eastAsia="黑体"/>
          <w:b/>
          <w:color w:val="000000"/>
          <w:sz w:val="18"/>
        </w:rPr>
        <w:t>表6  主实验结果表（正式投稿前填写）</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750"/>
        <w:gridCol w:w="1050"/>
        <w:gridCol w:w="1050"/>
        <w:gridCol w:w="1350"/>
        <w:gridCol w:w="1350"/>
        <w:gridCol w:w="1200"/>
        <w:gridCol w:w="1322"/>
      </w:tblGrid>
      <w:tr>
        <w:trPr>
          <w:tblHeader w:val="true"/>
        </w:trPr>
        <w:tc>
          <w:tcPr>
            <w:tcW w:type="dxa" w:w="17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方法</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Macro-F1</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Micro-F1</w:t>
            </w:r>
          </w:p>
        </w:tc>
        <w:tc>
          <w:tcPr>
            <w:tcW w:type="dxa" w:w="13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Schema合法率</w:t>
            </w:r>
          </w:p>
        </w:tc>
        <w:tc>
          <w:tcPr>
            <w:tcW w:type="dxa" w:w="13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证据支持率</w:t>
            </w:r>
          </w:p>
        </w:tc>
        <w:tc>
          <w:tcPr>
            <w:tcW w:type="dxa" w:w="12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幻觉率</w:t>
            </w:r>
          </w:p>
        </w:tc>
        <w:tc>
          <w:tcPr>
            <w:tcW w:type="dxa" w:w="132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P95时延</w:t>
            </w:r>
          </w:p>
        </w:tc>
      </w:tr>
      <w:tr>
        <w:tc>
          <w:tcPr>
            <w:tcW w:type="dxa" w:w="17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B1 OCR+规则</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7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B2 OCR+普通LLM</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7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B3 视觉大模型</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7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B4 监督式文档模型</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7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EWT-Guard</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bl>
    <w:p>
      <w:pPr>
        <w:spacing w:after="40"/>
      </w:pPr>
    </w:p>
    <w:p>
      <w:pPr/>
      <w:r>
        <w:rPr>
          <w:rFonts w:ascii="Times New Roman" w:hAnsi="Times New Roman" w:eastAsia="宋体"/>
          <w:color w:val="000000"/>
          <w:sz w:val="21"/>
        </w:rPr>
        <w:t>消融实验至少包括去除字段证据检索、去除JSON Schema约束、去除业务规则以及去除视觉复核四种设置。预计Schema约束主要影响结构合法率，证据检索主要影响长表格和安全措施字段，规则校验主要降低跨字段矛盾，视觉复核主要改善低质量图像。上述判断属于待检验假设，不能在正式结果产生前写成已验证结论。</w:t>
      </w:r>
    </w:p>
    <w:p>
      <w:pPr/>
      <w:r>
        <w:rPr>
          <w:rFonts w:ascii="Times New Roman" w:hAnsi="Times New Roman" w:eastAsia="宋体"/>
          <w:color w:val="000000"/>
          <w:sz w:val="21"/>
        </w:rPr>
        <w:t>鲁棒性实验可对独立测试样本施加高斯模糊、±5°旋转、低亮度、低对比度和JPEG压缩。增强图像只用于同一原图上的性能退化曲线，不能计入独立样本数量。统计检验采用配对bootstrap获得95%置信区间；对字段正确/错误的配对结果，可使用McNemar检验分析差异显著性。</w:t>
      </w:r>
    </w:p>
    <w:p>
      <w:pPr>
        <w:pStyle w:val="Heading2"/>
      </w:pPr>
      <w:r>
        <w:rPr>
          <w:rFonts w:ascii="Arial" w:hAnsi="Arial" w:eastAsia="黑体"/>
          <w:b/>
          <w:color w:val="000000"/>
          <w:sz w:val="24"/>
        </w:rPr>
        <w:t>5.5 有效性威胁</w:t>
      </w:r>
    </w:p>
    <w:p>
      <w:pPr/>
      <w:r>
        <w:rPr>
          <w:rFonts w:ascii="Times New Roman" w:hAnsi="Times New Roman" w:eastAsia="宋体"/>
          <w:color w:val="000000"/>
          <w:sz w:val="21"/>
        </w:rPr>
        <w:t>首先，工作票数据涉及隐私和运行安全，样本可能来自有限地区或有限模板，从而产生来源偏差。应报告模板、年份、成像方式和票种分布，并设置未见模板测试。其次，远程大模型会随服务版本更新，导致实验难以完全复现。应保存原始输入输出、模型标识、调用日期和参数。再次，业务规则依赖专家知识，规则本身可能不完整或存在地区差异，应对规则来源和适用范围进行说明。最后，开发阶段历史结果数量很少且提示词版本不统一，因此本文初稿仅将其用于问题发现，主结论必须建立在冻结版本后的独立主实验上。</w:t>
      </w:r>
    </w:p>
    <w:p>
      <w:pPr>
        <w:pStyle w:val="Heading1"/>
      </w:pPr>
      <w:r>
        <w:rPr>
          <w:rFonts w:ascii="Arial" w:hAnsi="Arial" w:eastAsia="黑体"/>
          <w:b/>
          <w:color w:val="000000"/>
          <w:sz w:val="28"/>
        </w:rPr>
        <w:t>6 结论</w:t>
      </w:r>
    </w:p>
    <w:p>
      <w:pPr/>
      <w:r>
        <w:rPr>
          <w:rFonts w:ascii="Times New Roman" w:hAnsi="Times New Roman" w:eastAsia="宋体"/>
          <w:color w:val="000000"/>
          <w:sz w:val="21"/>
        </w:rPr>
        <w:t>本文面向变电站工作票的可信结构化抽取需求，提出证据约束的OCR—大语言模型协同框架EWT-Guard。该方法通过字段候选证据、固定JSON Schema、业务规则校验与选择性复核，将传统“从OCR文本生成答案”的流程转化为“基于可定位证据生成并验证字段”的流程。开发阶段历史结果揭示了现有提示词方案的schema漂移和冷启动开销问题，为方法设计提供了直接动机。</w:t>
      </w:r>
    </w:p>
    <w:p>
      <w:pPr/>
      <w:r>
        <w:rPr>
          <w:rFonts w:ascii="Times New Roman" w:hAnsi="Times New Roman" w:eastAsia="宋体"/>
          <w:color w:val="000000"/>
          <w:sz w:val="21"/>
        </w:rPr>
        <w:t>当前稿件完成了研究问题、方法框架、原型系统和实验协议设计，但尚不具备用于投稿的主实验规模。后续工作需要建立脱敏的独立工作票数据集，完成字段与证据双层标注，并依据统一版本开展基线、消融、鲁棒性和效率实验。在此基础上，可进一步研究跨模板迁移、规则自动维护及人机协同审核。</w:t>
      </w:r>
    </w:p>
    <w:p>
      <w:pPr>
        <w:pStyle w:val="Heading1"/>
      </w:pPr>
      <w:r>
        <w:rPr>
          <w:rFonts w:ascii="Arial" w:hAnsi="Arial" w:eastAsia="黑体"/>
          <w:b/>
          <w:color w:val="000000"/>
          <w:sz w:val="28"/>
        </w:rPr>
        <w:t>参考文献</w:t>
      </w:r>
    </w:p>
    <w:p>
      <w:pPr>
        <w:pStyle w:val="Reference"/>
      </w:pPr>
      <w:r>
        <w:rPr>
          <w:rFonts w:ascii="Times New Roman" w:hAnsi="Times New Roman" w:eastAsia="宋体"/>
          <w:color w:val="000000"/>
          <w:sz w:val="17"/>
        </w:rPr>
        <w:t>[1] DU Y, LI C, GUO R, et al. PP-OCR: A Practical Ultra Lightweight OCR System[EB/OL]. arXiv:2009.09941, 2020.</w:t>
      </w:r>
    </w:p>
    <w:p>
      <w:pPr>
        <w:pStyle w:val="Reference"/>
      </w:pPr>
      <w:r>
        <w:rPr>
          <w:rFonts w:ascii="Times New Roman" w:hAnsi="Times New Roman" w:eastAsia="宋体"/>
          <w:color w:val="000000"/>
          <w:sz w:val="17"/>
        </w:rPr>
        <w:t>[2] TANG J, QIAO S, CUI B, et al. PP-OCRv3: More Attempts for the Improvement of Ultra Lightweight OCR System[EB/OL]. arXiv:2206.03001, 2022.</w:t>
      </w:r>
    </w:p>
    <w:p>
      <w:pPr>
        <w:pStyle w:val="Reference"/>
      </w:pPr>
      <w:r>
        <w:rPr>
          <w:rFonts w:ascii="Times New Roman" w:hAnsi="Times New Roman" w:eastAsia="宋体"/>
          <w:color w:val="000000"/>
          <w:sz w:val="17"/>
        </w:rPr>
        <w:t>[3] XU Y, LI M, CUI L, et al. LayoutLM: Pre-training of Text and Layout for Document Image Understanding[C]//Proceedings of KDD. 2020: 1192-1200.</w:t>
      </w:r>
    </w:p>
    <w:p>
      <w:pPr>
        <w:pStyle w:val="Reference"/>
      </w:pPr>
      <w:r>
        <w:rPr>
          <w:rFonts w:ascii="Times New Roman" w:hAnsi="Times New Roman" w:eastAsia="宋体"/>
          <w:color w:val="000000"/>
          <w:sz w:val="17"/>
        </w:rPr>
        <w:t>[4] XU Y, XU Y, LV T, et al. LayoutLMv2: Multi-modal Pre-training for Visually-rich Document Understanding[C]//Proceedings of ACL-IJCNLP. 2021: 2579-2591.</w:t>
      </w:r>
    </w:p>
    <w:p>
      <w:pPr>
        <w:pStyle w:val="Reference"/>
      </w:pPr>
      <w:r>
        <w:rPr>
          <w:rFonts w:ascii="Times New Roman" w:hAnsi="Times New Roman" w:eastAsia="宋体"/>
          <w:color w:val="000000"/>
          <w:sz w:val="17"/>
        </w:rPr>
        <w:t>[5] HUANG Y, LV T, CUI L, et al. LayoutLMv3: Pre-training for Document AI with Unified Text and Image Masking[C]//Proceedings of ACM Multimedia. 2022: 4083-4091.</w:t>
      </w:r>
    </w:p>
    <w:p>
      <w:pPr>
        <w:pStyle w:val="Reference"/>
      </w:pPr>
      <w:r>
        <w:rPr>
          <w:rFonts w:ascii="Times New Roman" w:hAnsi="Times New Roman" w:eastAsia="宋体"/>
          <w:color w:val="000000"/>
          <w:sz w:val="17"/>
        </w:rPr>
        <w:t>[6] APPALARAJU S, JASANI B, KOTA B U, et al. DocFormer: End-to-End Transformer for Document Understanding[C]//Proceedings of ICCV. 2021: 993-1003.</w:t>
      </w:r>
    </w:p>
    <w:p>
      <w:pPr>
        <w:pStyle w:val="Reference"/>
      </w:pPr>
      <w:r>
        <w:rPr>
          <w:rFonts w:ascii="Times New Roman" w:hAnsi="Times New Roman" w:eastAsia="宋体"/>
          <w:color w:val="000000"/>
          <w:sz w:val="17"/>
        </w:rPr>
        <w:t>[7] LI Y, QIAN Y, YU Y, et al. StrucTexT: Structured Text Understanding with Multi-Modal Transformers[C]//Proceedings of ACM Multimedia. 2021: 1912-1920.</w:t>
      </w:r>
    </w:p>
    <w:p>
      <w:pPr>
        <w:pStyle w:val="Reference"/>
      </w:pPr>
      <w:r>
        <w:rPr>
          <w:rFonts w:ascii="Times New Roman" w:hAnsi="Times New Roman" w:eastAsia="宋体"/>
          <w:color w:val="000000"/>
          <w:sz w:val="17"/>
        </w:rPr>
        <w:t>[8] KIM G, HONG T, YIM M, et al. OCR-free Document Understanding Transformer[C]//Proceedings of ECCV. 2022: 498-517.</w:t>
      </w:r>
    </w:p>
    <w:p>
      <w:pPr>
        <w:pStyle w:val="Reference"/>
      </w:pPr>
      <w:r>
        <w:rPr>
          <w:rFonts w:ascii="Times New Roman" w:hAnsi="Times New Roman" w:eastAsia="宋体"/>
          <w:color w:val="000000"/>
          <w:sz w:val="17"/>
        </w:rPr>
        <w:t>[9] ZHONG X, TANG J, YEPES A J. PubLayNet: Largest Dataset Ever for Document Layout Analysis[C]//Proceedings of ICDAR. 2019: 1015-1022.</w:t>
      </w:r>
    </w:p>
    <w:p>
      <w:pPr>
        <w:pStyle w:val="Reference"/>
      </w:pPr>
      <w:r>
        <w:rPr>
          <w:rFonts w:ascii="Times New Roman" w:hAnsi="Times New Roman" w:eastAsia="宋体"/>
          <w:color w:val="000000"/>
          <w:sz w:val="17"/>
        </w:rPr>
        <w:t>[10] JAUME G, EKENEL H K, THIRAN J P. FUNSD: A Dataset for Form Understanding in Noisy Scanned Documents[C]//Proceedings of ICDAR Workshops. 2019: 1-6.</w:t>
      </w:r>
    </w:p>
    <w:p>
      <w:pPr>
        <w:pStyle w:val="Reference"/>
      </w:pPr>
      <w:r>
        <w:rPr>
          <w:rFonts w:ascii="Times New Roman" w:hAnsi="Times New Roman" w:eastAsia="宋体"/>
          <w:color w:val="000000"/>
          <w:sz w:val="17"/>
        </w:rPr>
        <w:t>[11] PARK S, SHIN S, LEE B, et al. CORD: A Consolidated Receipt Dataset for Post-OCR Parsing[C]//Proceedings of ICDAR Workshops. 2019: 1-6.</w:t>
      </w:r>
    </w:p>
    <w:p>
      <w:pPr>
        <w:pStyle w:val="Reference"/>
      </w:pPr>
      <w:r>
        <w:rPr>
          <w:rFonts w:ascii="Times New Roman" w:hAnsi="Times New Roman" w:eastAsia="宋体"/>
          <w:color w:val="000000"/>
          <w:sz w:val="17"/>
        </w:rPr>
        <w:t>[12] MATHEW M, KARATZAS D, JAWAHAR C V. DocVQA: A Dataset for VQA on Document Images[C]//Proceedings of WACV. 2021: 2200-2209.</w:t>
      </w:r>
    </w:p>
    <w:p>
      <w:pPr>
        <w:pStyle w:val="Reference"/>
      </w:pPr>
      <w:r>
        <w:rPr>
          <w:rFonts w:ascii="Times New Roman" w:hAnsi="Times New Roman" w:eastAsia="宋体"/>
          <w:color w:val="000000"/>
          <w:sz w:val="17"/>
        </w:rPr>
        <w:t>[13] SMOCK B, PESALA R, ABRAHAM R. PubTables-1M: Towards Comprehensive Table Extraction from Unstructured Documents[C]//Proceedings of CVPR. 2022: 4634-4642.</w:t>
      </w:r>
    </w:p>
    <w:p>
      <w:pPr>
        <w:pStyle w:val="Reference"/>
      </w:pPr>
      <w:r>
        <w:rPr>
          <w:rFonts w:ascii="Times New Roman" w:hAnsi="Times New Roman" w:eastAsia="宋体"/>
          <w:color w:val="000000"/>
          <w:sz w:val="17"/>
        </w:rPr>
        <w:t>[14] PRASAD D, GADPAL A, KAPADNI K, et al. CascadeTabNet: An Approach for End to End Table Detection and Structure Recognition from Image-based Documents[C]//Proceedings of CVPR Workshops. 2020: 572-573.</w:t>
      </w:r>
    </w:p>
    <w:p>
      <w:pPr>
        <w:pStyle w:val="Reference"/>
      </w:pPr>
      <w:r>
        <w:rPr>
          <w:rFonts w:ascii="Times New Roman" w:hAnsi="Times New Roman" w:eastAsia="宋体"/>
          <w:color w:val="000000"/>
          <w:sz w:val="17"/>
        </w:rPr>
        <w:t>[15] BLECHER L, CUCURULL G, SCIALOM T, STOJNIC R. Nougat: Neural Optical Understanding for Academic Documents[C]//Proceedings of ICLR. 2024.</w:t>
      </w:r>
    </w:p>
    <w:p>
      <w:pPr>
        <w:pStyle w:val="Reference"/>
      </w:pPr>
      <w:r>
        <w:rPr>
          <w:rFonts w:ascii="Times New Roman" w:hAnsi="Times New Roman" w:eastAsia="宋体"/>
          <w:color w:val="000000"/>
          <w:sz w:val="17"/>
        </w:rPr>
        <w:t>[16] LU Y, LIU Q, DAI D, et al. Unified Structure Generation for Universal Information Extraction[C]//Proceedings of ACL. 2022: 5755-5772.</w:t>
      </w:r>
    </w:p>
    <w:p>
      <w:pPr>
        <w:pStyle w:val="Reference"/>
      </w:pPr>
      <w:r>
        <w:rPr>
          <w:rFonts w:ascii="Times New Roman" w:hAnsi="Times New Roman" w:eastAsia="宋体"/>
          <w:color w:val="000000"/>
          <w:sz w:val="17"/>
        </w:rPr>
        <w:t>[17] BROWN T, MANN B, RYDER N, et al. Language Models are Few-Shot Learners[C]//Advances in Neural Information Processing Systems. 2020, 33: 1877-1901.</w:t>
      </w:r>
    </w:p>
    <w:p>
      <w:pPr>
        <w:pStyle w:val="Reference"/>
      </w:pPr>
      <w:r>
        <w:rPr>
          <w:rFonts w:ascii="Times New Roman" w:hAnsi="Times New Roman" w:eastAsia="宋体"/>
          <w:color w:val="000000"/>
          <w:sz w:val="17"/>
        </w:rPr>
        <w:t>[18] OUYANG L, WU J, JIANG X, et al. Training Language Models to Follow Instructions with Human Feedback[C]//Advances in Neural Information Processing Systems. 2022, 35: 27730-27744.</w:t>
      </w:r>
    </w:p>
    <w:p>
      <w:pPr>
        <w:pStyle w:val="Reference"/>
      </w:pPr>
      <w:r>
        <w:rPr>
          <w:rFonts w:ascii="Times New Roman" w:hAnsi="Times New Roman" w:eastAsia="宋体"/>
          <w:color w:val="000000"/>
          <w:sz w:val="17"/>
        </w:rPr>
        <w:t>[19] OPENAI. GPT-4 Technical Report[EB/OL]. arXiv:2303.08774, 2023.</w:t>
      </w:r>
    </w:p>
    <w:p>
      <w:pPr>
        <w:pStyle w:val="Reference"/>
      </w:pPr>
      <w:r>
        <w:rPr>
          <w:rFonts w:ascii="Times New Roman" w:hAnsi="Times New Roman" w:eastAsia="宋体"/>
          <w:color w:val="000000"/>
          <w:sz w:val="17"/>
        </w:rPr>
        <w:t>[20] WEI J, WANG X, SCHUURMANS D, et al. Chain-of-Thought Prompting Elicits Reasoning in Large Language Models[C]//Advances in Neural Information Processing Systems. 2022, 35: 24824-24837.</w:t>
      </w:r>
    </w:p>
    <w:p>
      <w:pPr>
        <w:pStyle w:val="Reference"/>
      </w:pPr>
      <w:r>
        <w:rPr>
          <w:rFonts w:ascii="Times New Roman" w:hAnsi="Times New Roman" w:eastAsia="宋体"/>
          <w:color w:val="000000"/>
          <w:sz w:val="17"/>
        </w:rPr>
        <w:t>[21] WANG X, WEI J, SCHUURMANS D, et al. Self-Consistency Improves Chain of Thought Reasoning in Language Models[C]//Proceedings of ICLR. 2023.</w:t>
      </w:r>
    </w:p>
    <w:p>
      <w:pPr>
        <w:pStyle w:val="Reference"/>
      </w:pPr>
      <w:r>
        <w:rPr>
          <w:rFonts w:ascii="Times New Roman" w:hAnsi="Times New Roman" w:eastAsia="宋体"/>
          <w:color w:val="000000"/>
          <w:sz w:val="17"/>
        </w:rPr>
        <w:t>[22] MANAKUL P, Liusie A, Gales M J F. SelfCheckGPT: Zero-Resource Black-Box Hallucination Detection for Generative Large Language Models[C]//Proceedings of EMNLP. 2023.</w:t>
      </w:r>
    </w:p>
    <w:p>
      <w:pPr>
        <w:pStyle w:val="Reference"/>
      </w:pPr>
      <w:r>
        <w:rPr>
          <w:rFonts w:ascii="Times New Roman" w:hAnsi="Times New Roman" w:eastAsia="宋体"/>
          <w:color w:val="000000"/>
          <w:sz w:val="17"/>
        </w:rPr>
        <w:t>[23] GUO C, PLEISS G, SUN Y, WEINBERGER K Q. On Calibration of Modern Neural Networks[C]//Proceedings of ICML. 2017: 1321-1330.</w:t>
      </w:r>
    </w:p>
    <w:p>
      <w:pPr>
        <w:pStyle w:val="Reference"/>
      </w:pPr>
      <w:r>
        <w:rPr>
          <w:rFonts w:ascii="Times New Roman" w:hAnsi="Times New Roman" w:eastAsia="宋体"/>
          <w:color w:val="000000"/>
          <w:sz w:val="17"/>
        </w:rPr>
        <w:t>[24] 中华人民共和国国家质量监督检验检疫总局, 中国国家标准化管理委员会. GB 26860—2011 电力安全工作规程 发电厂和变电站电气部分[S]. 北京: 中国标准出版社, 2011.</w:t>
      </w:r>
    </w:p>
    <w:p>
      <w:pPr>
        <w:pStyle w:val="Reference"/>
      </w:pPr>
      <w:r>
        <w:rPr>
          <w:rFonts w:ascii="Times New Roman" w:hAnsi="Times New Roman" w:eastAsia="宋体"/>
          <w:color w:val="000000"/>
          <w:sz w:val="17"/>
        </w:rPr>
        <w:t>[25] GEIFMAN Y, EL-YANIV R. SelectiveNet: A Deep Neural Network with an Integrated Reject Option[C]//Proceedings of ICML. 2019: 2151-2159.</w:t>
      </w:r>
    </w:p>
    <w:p>
      <w:r>
        <w:br w:type="page"/>
      </w:r>
    </w:p>
    <w:p>
      <w:pPr>
        <w:pStyle w:val="Heading1"/>
      </w:pPr>
      <w:r>
        <w:rPr>
          <w:rFonts w:ascii="Arial" w:hAnsi="Arial" w:eastAsia="黑体"/>
          <w:b/>
          <w:color w:val="000000"/>
          <w:sz w:val="28"/>
        </w:rPr>
        <w:t>附录A  投稿前实验补全清单（投稿时删除）</w:t>
      </w:r>
    </w:p>
    <w:p>
      <w:pPr/>
      <w:r>
        <w:rPr>
          <w:rFonts w:ascii="Times New Roman" w:hAnsi="Times New Roman" w:eastAsia="宋体"/>
          <w:color w:val="000000"/>
          <w:sz w:val="21"/>
        </w:rPr>
        <w:t>A.1 数据：完成独立票据去重、脱敏、模板统计、训练/验证/测试划分和双人标注一致性分析。</w:t>
      </w:r>
    </w:p>
    <w:p>
      <w:pPr/>
      <w:r>
        <w:rPr>
          <w:rFonts w:ascii="Times New Roman" w:hAnsi="Times New Roman" w:eastAsia="宋体"/>
          <w:color w:val="000000"/>
          <w:sz w:val="21"/>
        </w:rPr>
        <w:t>A.2 方法：冻结字段schema、证据格式、提示词、模型版本、规则库和置信度阈值。</w:t>
      </w:r>
    </w:p>
    <w:p>
      <w:pPr/>
      <w:r>
        <w:rPr>
          <w:rFonts w:ascii="Times New Roman" w:hAnsi="Times New Roman" w:eastAsia="宋体"/>
          <w:color w:val="000000"/>
          <w:sz w:val="21"/>
        </w:rPr>
        <w:t>A.3 实验：补齐表3和表6，完成总体对比、至少3项消融、未见模板、图像退化、冷/热启动效率和成本实验。</w:t>
      </w:r>
    </w:p>
    <w:p>
      <w:pPr/>
      <w:r>
        <w:rPr>
          <w:rFonts w:ascii="Times New Roman" w:hAnsi="Times New Roman" w:eastAsia="宋体"/>
          <w:color w:val="000000"/>
          <w:sz w:val="21"/>
        </w:rPr>
        <w:t>A.4 写作：根据真实结果重写中英文摘要、5.4节和结论；核对2023—2026年相关文献及目标会议/期刊格式；删除初稿说明和本附录。</w:t>
      </w:r>
    </w:p>
    <w:p>
      <w:pPr/>
      <w:r>
        <w:rPr>
          <w:rFonts w:ascii="Times New Roman" w:hAnsi="Times New Roman" w:eastAsia="宋体"/>
          <w:color w:val="000000"/>
          <w:sz w:val="21"/>
        </w:rPr>
        <w:t>A.5 合规：确认数据授权与脱敏，检查示例图片、设备位置和人员信息，补充伦理与数据可用性声明。</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66666"/>
        <w:sz w:val="16"/>
      </w:rPr>
      <w:t>面向变电站工作票的证据约束OCR—大语言模型协同结构化抽取方法（初稿）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00" w:lineRule="auto"/>
      <w:ind w:firstLine="420"/>
      <w:jc w:val="both"/>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jc w:val="left"/>
      <w:outlineLvl w:val="0"/>
    </w:pPr>
    <w:rPr>
      <w:rFonts w:asciiTheme="majorHAnsi" w:eastAsiaTheme="majorEastAsia" w:hAnsiTheme="majorHAnsi" w:cstheme="majorBidi" w:ascii="Arial" w:hAnsi="Arial"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line="276" w:lineRule="auto"/>
      <w:ind w:firstLine="0"/>
      <w:jc w:val="left"/>
      <w:outlineLvl w:val="1"/>
    </w:pPr>
    <w:rPr>
      <w:rFonts w:asciiTheme="majorHAnsi" w:eastAsiaTheme="majorEastAsia" w:hAnsiTheme="majorHAnsi" w:cstheme="majorBidi" w:ascii="Arial" w:hAnsi="Arial"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jc w:val="left"/>
      <w:outlineLvl w:val="2"/>
    </w:pPr>
    <w:rPr>
      <w:rFonts w:asciiTheme="majorHAnsi" w:eastAsiaTheme="majorEastAsia" w:hAnsiTheme="majorHAnsi" w:cstheme="majorBidi" w:ascii="Arial" w:hAnsi="Arial"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ind w:firstLine="0"/>
      <w:jc w:val="center"/>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before="0" w:after="40" w:line="276" w:lineRule="auto"/>
      <w:ind w:firstLine="0"/>
      <w:jc w:val="both"/>
    </w:pPr>
    <w:rPr>
      <w:rFonts w:ascii="Times New Roman" w:hAnsi="Times New Roman" w:eastAsia="宋体"/>
      <w:b w:val="0"/>
      <w:color w:val="000000"/>
      <w:sz w:val="19"/>
    </w:rPr>
  </w:style>
  <w:style w:type="paragraph" w:customStyle="1" w:styleId="Keywords">
    <w:name w:val="Keywords"/>
    <w:pPr>
      <w:spacing w:before="0" w:after="120" w:line="276" w:lineRule="auto"/>
      <w:ind w:firstLine="0"/>
      <w:jc w:val="left"/>
    </w:pPr>
    <w:rPr>
      <w:rFonts w:ascii="Times New Roman" w:hAnsi="Times New Roman" w:eastAsia="宋体"/>
      <w:b w:val="0"/>
      <w:color w:val="000000"/>
      <w:sz w:val="19"/>
    </w:rPr>
  </w:style>
  <w:style w:type="paragraph" w:customStyle="1" w:styleId="TableText">
    <w:name w:val="TableText"/>
    <w:pPr>
      <w:spacing w:before="0" w:after="0" w:line="252" w:lineRule="auto"/>
      <w:ind w:firstLine="0"/>
      <w:jc w:val="left"/>
    </w:pPr>
    <w:rPr>
      <w:rFonts w:ascii="Times New Roman" w:hAnsi="Times New Roman" w:eastAsia="宋体"/>
      <w:b w:val="0"/>
      <w:color w:val="000000"/>
      <w:sz w:val="17"/>
    </w:rPr>
  </w:style>
  <w:style w:type="paragraph" w:customStyle="1" w:styleId="Equation">
    <w:name w:val="Equation"/>
    <w:pPr>
      <w:spacing w:before="0" w:after="80" w:line="240" w:lineRule="auto"/>
      <w:ind w:firstLine="0"/>
      <w:jc w:val="center"/>
    </w:pPr>
    <w:rPr>
      <w:rFonts w:ascii="Times New Roman" w:hAnsi="Times New Roman" w:eastAsia="宋体"/>
      <w:b w:val="0"/>
      <w:color w:val="000000"/>
      <w:sz w:val="21"/>
    </w:rPr>
  </w:style>
  <w:style w:type="paragraph" w:customStyle="1" w:styleId="Reference">
    <w:name w:val="Reference"/>
    <w:pPr>
      <w:spacing w:before="0" w:after="40" w:line="240" w:lineRule="auto"/>
      <w:ind w:left="340" w:hanging="340"/>
      <w:jc w:val="left"/>
    </w:pPr>
    <w:rPr>
      <w:rFonts w:ascii="Times New Roman" w:hAnsi="Times New Roman" w:eastAsia="宋体"/>
      <w:b w:val="0"/>
      <w:color w:val="000000"/>
      <w:sz w:val="17"/>
    </w:rPr>
  </w:style>
  <w:style w:type="paragraph" w:customStyle="1" w:styleId="DraftNote">
    <w:name w:val="DraftNote"/>
    <w:pPr>
      <w:spacing w:before="0" w:after="160" w:line="264" w:lineRule="auto"/>
      <w:ind w:firstLine="0"/>
      <w:jc w:val="both"/>
    </w:pPr>
    <w:rPr>
      <w:rFonts w:ascii="Times New Roman" w:hAnsi="Times New Roman" w:eastAsia="宋体"/>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面向变电站工作票的证据约束OCR—大语言模型协同结构化抽取方法</dc:title>
  <dc:subject>匿名审稿初稿，实验待补版</dc:subject>
  <dc:creator>Anonymous</dc:creator>
  <cp:keywords>工作票, OCR, 大语言模型, 文档智能, 证据约束</cp:keywords>
  <dc:description>Generated as an evidence-based draft; formal experimental results are intentionally not fabricated.</dc:description>
  <cp:lastModifiedBy/>
  <cp:revision>1</cp:revision>
  <dcterms:created xsi:type="dcterms:W3CDTF">2013-12-23T23:15:00Z</dcterms:created>
  <dcterms:modified xsi:type="dcterms:W3CDTF">2013-12-23T23:15:00Z</dcterms:modified>
  <cp:category/>
</cp:coreProperties>
</file>