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증시 시황 및 주요 뉴스 정리</w:t>
      </w:r>
    </w:p>
    <w:p>
      <w:r>
        <w:rPr>
          <w:i/>
          <w:sz w:val="20"/>
        </w:rPr>
        <w:t>작성일: 2026년 6월 6일 (토) | 기준: 2026년 6월 5일(금) 마감</w:t>
      </w:r>
    </w:p>
    <w:p/>
    <w:p>
      <w:pPr>
        <w:pStyle w:val="Heading1"/>
      </w:pPr>
      <w:r>
        <w:t>1. 한눈에 보는 시황</w:t>
      </w:r>
    </w:p>
    <w:p>
      <w:r>
        <w:t>2026년 6월 5일 국내 증시는 '검은 금요일'을 맞았다. 미국 브로드컴의 AI 칩 매출 전망이 시장 기대에 못 미치면서 반도체 투자심리가 급격히 얼어붙었고, 반도체 비중이 큰 국내 증시가 직격탄을 맞았다. 코스피는 5.54% 급락한 8,160.59에 마감했고, 코스닥은 4.50% 내린 1,002.44로 장중 한때 1,000선이 붕괴됐다. 외국인 매도세가 거세지며 원·달러 환율은 장중 1,549원까지 치솟아 2009년 3월 이후 약 17년 만의 최고치를 기록했다.</w:t>
      </w:r>
    </w:p>
    <w:p>
      <w:pPr>
        <w:pStyle w:val="Heading1"/>
      </w:pPr>
      <w:r>
        <w:t>2. 주요 지수 및 시장 지표</w:t>
      </w:r>
    </w:p>
    <w:p>
      <w:pPr>
        <w:pStyle w:val="Heading2"/>
      </w:pPr>
      <w:r>
        <w:t>국내 증시 (6/5 마감)</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지수/지표</w:t>
            </w:r>
          </w:p>
        </w:tc>
        <w:tc>
          <w:tcPr>
            <w:tcW w:type="dxa" w:w="2880"/>
          </w:tcPr>
          <w:p>
            <w:r>
              <w:t>수치</w:t>
            </w:r>
          </w:p>
        </w:tc>
        <w:tc>
          <w:tcPr>
            <w:tcW w:type="dxa" w:w="2880"/>
          </w:tcPr>
          <w:p>
            <w:r>
              <w:t>등락</w:t>
            </w:r>
          </w:p>
        </w:tc>
      </w:tr>
      <w:tr>
        <w:tc>
          <w:tcPr>
            <w:tcW w:type="dxa" w:w="2880"/>
          </w:tcPr>
          <w:p>
            <w:r>
              <w:t>코스피</w:t>
            </w:r>
          </w:p>
        </w:tc>
        <w:tc>
          <w:tcPr>
            <w:tcW w:type="dxa" w:w="2880"/>
          </w:tcPr>
          <w:p>
            <w:r>
              <w:t>8,160.59</w:t>
            </w:r>
          </w:p>
        </w:tc>
        <w:tc>
          <w:tcPr>
            <w:tcW w:type="dxa" w:w="2880"/>
          </w:tcPr>
          <w:p>
            <w:r>
              <w:t>-5.54%</w:t>
            </w:r>
          </w:p>
        </w:tc>
      </w:tr>
      <w:tr>
        <w:tc>
          <w:tcPr>
            <w:tcW w:type="dxa" w:w="2880"/>
          </w:tcPr>
          <w:p>
            <w:r>
              <w:t>코스닥</w:t>
            </w:r>
          </w:p>
        </w:tc>
        <w:tc>
          <w:tcPr>
            <w:tcW w:type="dxa" w:w="2880"/>
          </w:tcPr>
          <w:p>
            <w:r>
              <w:t>1,002.44</w:t>
            </w:r>
          </w:p>
        </w:tc>
        <w:tc>
          <w:tcPr>
            <w:tcW w:type="dxa" w:w="2880"/>
          </w:tcPr>
          <w:p>
            <w:r>
              <w:t>-4.50% (장중 1,000선 붕괴)</w:t>
            </w:r>
          </w:p>
        </w:tc>
      </w:tr>
      <w:tr>
        <w:tc>
          <w:tcPr>
            <w:tcW w:type="dxa" w:w="2880"/>
          </w:tcPr>
          <w:p>
            <w:r>
              <w:t>원·달러 환율</w:t>
            </w:r>
          </w:p>
        </w:tc>
        <w:tc>
          <w:tcPr>
            <w:tcW w:type="dxa" w:w="2880"/>
          </w:tcPr>
          <w:p>
            <w:r>
              <w:t>1,539.1원</w:t>
            </w:r>
          </w:p>
        </w:tc>
        <w:tc>
          <w:tcPr>
            <w:tcW w:type="dxa" w:w="2880"/>
          </w:tcPr>
          <w:p>
            <w:r>
              <w:t>+9.4원 (장중 1,549원, 17년래 최고)</w:t>
            </w:r>
          </w:p>
        </w:tc>
      </w:tr>
      <w:tr>
        <w:tc>
          <w:tcPr>
            <w:tcW w:type="dxa" w:w="2880"/>
          </w:tcPr>
          <w:p>
            <w:r>
              <w:t>국고채 10년</w:t>
            </w:r>
          </w:p>
        </w:tc>
        <w:tc>
          <w:tcPr>
            <w:tcW w:type="dxa" w:w="2880"/>
          </w:tcPr>
          <w:p>
            <w:r>
              <w:t>연 4.254%</w:t>
            </w:r>
          </w:p>
        </w:tc>
        <w:tc>
          <w:tcPr>
            <w:tcW w:type="dxa" w:w="2880"/>
          </w:tcPr>
          <w:p>
            <w:r>
              <w:t>+0.025%p</w:t>
            </w:r>
          </w:p>
        </w:tc>
      </w:tr>
    </w:tbl>
    <w:p/>
    <w:p>
      <w:pPr>
        <w:pStyle w:val="Heading2"/>
      </w:pPr>
      <w:r>
        <w:t>해외 증시 (전일 미국 마감 / 글로벌)</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지수</w:t>
            </w:r>
          </w:p>
        </w:tc>
        <w:tc>
          <w:tcPr>
            <w:tcW w:type="dxa" w:w="2880"/>
          </w:tcPr>
          <w:p>
            <w:r>
              <w:t>수치</w:t>
            </w:r>
          </w:p>
        </w:tc>
        <w:tc>
          <w:tcPr>
            <w:tcW w:type="dxa" w:w="2880"/>
          </w:tcPr>
          <w:p>
            <w:r>
              <w:t>등락</w:t>
            </w:r>
          </w:p>
        </w:tc>
      </w:tr>
      <w:tr>
        <w:tc>
          <w:tcPr>
            <w:tcW w:type="dxa" w:w="2880"/>
          </w:tcPr>
          <w:p>
            <w:r>
              <w:t>다우존스30</w:t>
            </w:r>
          </w:p>
        </w:tc>
        <w:tc>
          <w:tcPr>
            <w:tcW w:type="dxa" w:w="2880"/>
          </w:tcPr>
          <w:p>
            <w:r>
              <w:t>-</w:t>
            </w:r>
          </w:p>
        </w:tc>
        <w:tc>
          <w:tcPr>
            <w:tcW w:type="dxa" w:w="2880"/>
          </w:tcPr>
          <w:p>
            <w:r>
              <w:t>+1.73%</w:t>
            </w:r>
          </w:p>
        </w:tc>
      </w:tr>
      <w:tr>
        <w:tc>
          <w:tcPr>
            <w:tcW w:type="dxa" w:w="2880"/>
          </w:tcPr>
          <w:p>
            <w:r>
              <w:t>S&amp;P500</w:t>
            </w:r>
          </w:p>
        </w:tc>
        <w:tc>
          <w:tcPr>
            <w:tcW w:type="dxa" w:w="2880"/>
          </w:tcPr>
          <w:p>
            <w:r>
              <w:t>7,383.74</w:t>
            </w:r>
          </w:p>
        </w:tc>
        <w:tc>
          <w:tcPr>
            <w:tcW w:type="dxa" w:w="2880"/>
          </w:tcPr>
          <w:p>
            <w:r>
              <w:t>+0.41% (한경)/ -2.64%(야후 실시간)</w:t>
            </w:r>
          </w:p>
        </w:tc>
      </w:tr>
      <w:tr>
        <w:tc>
          <w:tcPr>
            <w:tcW w:type="dxa" w:w="2880"/>
          </w:tcPr>
          <w:p>
            <w:r>
              <w:t>나스닥</w:t>
            </w:r>
          </w:p>
        </w:tc>
        <w:tc>
          <w:tcPr>
            <w:tcW w:type="dxa" w:w="2880"/>
          </w:tcPr>
          <w:p>
            <w:r>
              <w:t>25,709.43</w:t>
            </w:r>
          </w:p>
        </w:tc>
        <w:tc>
          <w:tcPr>
            <w:tcW w:type="dxa" w:w="2880"/>
          </w:tcPr>
          <w:p>
            <w:r>
              <w:t>-0.09%~-4.18% (반도체 약세 집중)</w:t>
            </w:r>
          </w:p>
        </w:tc>
      </w:tr>
      <w:tr>
        <w:tc>
          <w:tcPr>
            <w:tcW w:type="dxa" w:w="2880"/>
          </w:tcPr>
          <w:p>
            <w:r>
              <w:t>필라델피아반도체</w:t>
            </w:r>
          </w:p>
        </w:tc>
        <w:tc>
          <w:tcPr>
            <w:tcW w:type="dxa" w:w="2880"/>
          </w:tcPr>
          <w:p>
            <w:r>
              <w:t>-</w:t>
            </w:r>
          </w:p>
        </w:tc>
        <w:tc>
          <w:tcPr>
            <w:tcW w:type="dxa" w:w="2880"/>
          </w:tcPr>
          <w:p>
            <w:r>
              <w:t>-2.15%</w:t>
            </w:r>
          </w:p>
        </w:tc>
      </w:tr>
      <w:tr>
        <w:tc>
          <w:tcPr>
            <w:tcW w:type="dxa" w:w="2880"/>
          </w:tcPr>
          <w:p>
            <w:r>
              <w:t>니케이225</w:t>
            </w:r>
          </w:p>
        </w:tc>
        <w:tc>
          <w:tcPr>
            <w:tcW w:type="dxa" w:w="2880"/>
          </w:tcPr>
          <w:p>
            <w:r>
              <w:t>66,588.12</w:t>
            </w:r>
          </w:p>
        </w:tc>
        <w:tc>
          <w:tcPr>
            <w:tcW w:type="dxa" w:w="2880"/>
          </w:tcPr>
          <w:p>
            <w:r>
              <w:t>-1.31%</w:t>
            </w:r>
          </w:p>
        </w:tc>
      </w:tr>
      <w:tr>
        <w:tc>
          <w:tcPr>
            <w:tcW w:type="dxa" w:w="2880"/>
          </w:tcPr>
          <w:p>
            <w:r>
              <w:t>항셍</w:t>
            </w:r>
          </w:p>
        </w:tc>
        <w:tc>
          <w:tcPr>
            <w:tcW w:type="dxa" w:w="2880"/>
          </w:tcPr>
          <w:p>
            <w:r>
              <w:t>24,961.95</w:t>
            </w:r>
          </w:p>
        </w:tc>
        <w:tc>
          <w:tcPr>
            <w:tcW w:type="dxa" w:w="2880"/>
          </w:tcPr>
          <w:p>
            <w:r>
              <w:t>-1.15%</w:t>
            </w:r>
          </w:p>
        </w:tc>
      </w:tr>
      <w:tr>
        <w:tc>
          <w:tcPr>
            <w:tcW w:type="dxa" w:w="2880"/>
          </w:tcPr>
          <w:p>
            <w:r>
              <w:t>상해종합</w:t>
            </w:r>
          </w:p>
        </w:tc>
        <w:tc>
          <w:tcPr>
            <w:tcW w:type="dxa" w:w="2880"/>
          </w:tcPr>
          <w:p>
            <w:r>
              <w:t>4,027.74</w:t>
            </w:r>
          </w:p>
        </w:tc>
        <w:tc>
          <w:tcPr>
            <w:tcW w:type="dxa" w:w="2880"/>
          </w:tcPr>
          <w:p>
            <w:r>
              <w:t>-0.74%</w:t>
            </w:r>
          </w:p>
        </w:tc>
      </w:tr>
    </w:tbl>
    <w:p/>
    <w:p>
      <w:pPr>
        <w:pStyle w:val="Heading2"/>
      </w:pPr>
      <w:r>
        <w:t>주요 원자재·채권</w:t>
      </w:r>
    </w:p>
    <w:tbl>
      <w:tblPr>
        <w:tblStyle w:val="LightGrid-Accent1"/>
        <w:tblW w:type="auto" w:w="0"/>
        <w:tblLook w:firstColumn="1" w:firstRow="1" w:lastColumn="0" w:lastRow="0" w:noHBand="0" w:noVBand="1" w:val="04A0"/>
      </w:tblPr>
      <w:tblGrid>
        <w:gridCol w:w="4320"/>
        <w:gridCol w:w="4320"/>
      </w:tblGrid>
      <w:tr>
        <w:tc>
          <w:tcPr>
            <w:tcW w:type="dxa" w:w="4320"/>
          </w:tcPr>
          <w:p>
            <w:r>
              <w:t>항목</w:t>
            </w:r>
          </w:p>
        </w:tc>
        <w:tc>
          <w:tcPr>
            <w:tcW w:type="dxa" w:w="4320"/>
          </w:tcPr>
          <w:p>
            <w:r>
              <w:t>내용</w:t>
            </w:r>
          </w:p>
        </w:tc>
      </w:tr>
      <w:tr>
        <w:tc>
          <w:tcPr>
            <w:tcW w:type="dxa" w:w="4320"/>
          </w:tcPr>
          <w:p>
            <w:r>
              <w:t>미 국채 30년물</w:t>
            </w:r>
          </w:p>
        </w:tc>
        <w:tc>
          <w:tcPr>
            <w:tcW w:type="dxa" w:w="4320"/>
          </w:tcPr>
          <w:p>
            <w:r>
              <w:t>연 5.0% 재돌파 (고용 호조로 금리 급등)</w:t>
            </w:r>
          </w:p>
        </w:tc>
      </w:tr>
      <w:tr>
        <w:tc>
          <w:tcPr>
            <w:tcW w:type="dxa" w:w="4320"/>
          </w:tcPr>
          <w:p>
            <w:r>
              <w:t>미 국채 10년 / 2년</w:t>
            </w:r>
          </w:p>
        </w:tc>
        <w:tc>
          <w:tcPr>
            <w:tcW w:type="dxa" w:w="4320"/>
          </w:tcPr>
          <w:p>
            <w:r>
              <w:t>각각 연 4.5% / 4.1% 상회</w:t>
            </w:r>
          </w:p>
        </w:tc>
      </w:tr>
      <w:tr>
        <w:tc>
          <w:tcPr>
            <w:tcW w:type="dxa" w:w="4320"/>
          </w:tcPr>
          <w:p>
            <w:r>
              <w:t>국제유가(WTI)</w:t>
            </w:r>
          </w:p>
        </w:tc>
        <w:tc>
          <w:tcPr>
            <w:tcW w:type="dxa" w:w="4320"/>
          </w:tcPr>
          <w:p>
            <w:r>
              <w:t>약 90.5달러 (-2.7%)</w:t>
            </w:r>
          </w:p>
        </w:tc>
      </w:tr>
      <w:tr>
        <w:tc>
          <w:tcPr>
            <w:tcW w:type="dxa" w:w="4320"/>
          </w:tcPr>
          <w:p>
            <w:r>
              <w:t>금</w:t>
            </w:r>
          </w:p>
        </w:tc>
        <w:tc>
          <w:tcPr>
            <w:tcW w:type="dxa" w:w="4320"/>
          </w:tcPr>
          <w:p>
            <w:r>
              <w:t>약 4,365달러 (-3.1%)</w:t>
            </w:r>
          </w:p>
        </w:tc>
      </w:tr>
    </w:tbl>
    <w:p>
      <w:pPr>
        <w:pStyle w:val="Heading1"/>
      </w:pPr>
      <w:r>
        <w:t>3. 주요 종목 동향</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종목</w:t>
            </w:r>
          </w:p>
        </w:tc>
        <w:tc>
          <w:tcPr>
            <w:tcW w:type="dxa" w:w="2880"/>
          </w:tcPr>
          <w:p>
            <w:r>
              <w:t>종가</w:t>
            </w:r>
          </w:p>
        </w:tc>
        <w:tc>
          <w:tcPr>
            <w:tcW w:type="dxa" w:w="2880"/>
          </w:tcPr>
          <w:p>
            <w:r>
              <w:t>등락</w:t>
            </w:r>
          </w:p>
        </w:tc>
      </w:tr>
      <w:tr>
        <w:tc>
          <w:tcPr>
            <w:tcW w:type="dxa" w:w="2880"/>
          </w:tcPr>
          <w:p>
            <w:r>
              <w:t>삼성전자</w:t>
            </w:r>
          </w:p>
        </w:tc>
        <w:tc>
          <w:tcPr>
            <w:tcW w:type="dxa" w:w="2880"/>
          </w:tcPr>
          <w:p>
            <w:r>
              <w:t>329,000원</w:t>
            </w:r>
          </w:p>
        </w:tc>
        <w:tc>
          <w:tcPr>
            <w:tcW w:type="dxa" w:w="2880"/>
          </w:tcPr>
          <w:p>
            <w:r>
              <w:t>-6.40%</w:t>
            </w:r>
          </w:p>
        </w:tc>
      </w:tr>
      <w:tr>
        <w:tc>
          <w:tcPr>
            <w:tcW w:type="dxa" w:w="2880"/>
          </w:tcPr>
          <w:p>
            <w:r>
              <w:t>SK하이닉스</w:t>
            </w:r>
          </w:p>
        </w:tc>
        <w:tc>
          <w:tcPr>
            <w:tcW w:type="dxa" w:w="2880"/>
          </w:tcPr>
          <w:p>
            <w:r>
              <w:t>2,070,000원</w:t>
            </w:r>
          </w:p>
        </w:tc>
        <w:tc>
          <w:tcPr>
            <w:tcW w:type="dxa" w:w="2880"/>
          </w:tcPr>
          <w:p>
            <w:r>
              <w:t>-9.92%</w:t>
            </w:r>
          </w:p>
        </w:tc>
      </w:tr>
      <w:tr>
        <w:tc>
          <w:tcPr>
            <w:tcW w:type="dxa" w:w="2880"/>
          </w:tcPr>
          <w:p>
            <w:r>
              <w:t>SK스퀘어</w:t>
            </w:r>
          </w:p>
        </w:tc>
        <w:tc>
          <w:tcPr>
            <w:tcW w:type="dxa" w:w="2880"/>
          </w:tcPr>
          <w:p>
            <w:r>
              <w:t>-</w:t>
            </w:r>
          </w:p>
        </w:tc>
        <w:tc>
          <w:tcPr>
            <w:tcW w:type="dxa" w:w="2880"/>
          </w:tcPr>
          <w:p>
            <w:r>
              <w:t>-7.57%</w:t>
            </w:r>
          </w:p>
        </w:tc>
      </w:tr>
      <w:tr>
        <w:tc>
          <w:tcPr>
            <w:tcW w:type="dxa" w:w="2880"/>
          </w:tcPr>
          <w:p>
            <w:r>
              <w:t>주성엔지니어링</w:t>
            </w:r>
          </w:p>
        </w:tc>
        <w:tc>
          <w:tcPr>
            <w:tcW w:type="dxa" w:w="2880"/>
          </w:tcPr>
          <w:p>
            <w:r>
              <w:t>-</w:t>
            </w:r>
          </w:p>
        </w:tc>
        <w:tc>
          <w:tcPr>
            <w:tcW w:type="dxa" w:w="2880"/>
          </w:tcPr>
          <w:p>
            <w:r>
              <w:t>-16.17%</w:t>
            </w:r>
          </w:p>
        </w:tc>
      </w:tr>
      <w:tr>
        <w:tc>
          <w:tcPr>
            <w:tcW w:type="dxa" w:w="2880"/>
          </w:tcPr>
          <w:p>
            <w:r>
              <w:t>리노공업</w:t>
            </w:r>
          </w:p>
        </w:tc>
        <w:tc>
          <w:tcPr>
            <w:tcW w:type="dxa" w:w="2880"/>
          </w:tcPr>
          <w:p>
            <w:r>
              <w:t>-</w:t>
            </w:r>
          </w:p>
        </w:tc>
        <w:tc>
          <w:tcPr>
            <w:tcW w:type="dxa" w:w="2880"/>
          </w:tcPr>
          <w:p>
            <w:r>
              <w:t>-5.52%</w:t>
            </w:r>
          </w:p>
        </w:tc>
      </w:tr>
      <w:tr>
        <w:tc>
          <w:tcPr>
            <w:tcW w:type="dxa" w:w="2880"/>
          </w:tcPr>
          <w:p>
            <w:r>
              <w:t>알테오젠(코스닥)</w:t>
            </w:r>
          </w:p>
        </w:tc>
        <w:tc>
          <w:tcPr>
            <w:tcW w:type="dxa" w:w="2880"/>
          </w:tcPr>
          <w:p>
            <w:r>
              <w:t>-</w:t>
            </w:r>
          </w:p>
        </w:tc>
        <w:tc>
          <w:tcPr>
            <w:tcW w:type="dxa" w:w="2880"/>
          </w:tcPr>
          <w:p>
            <w:r>
              <w:t>-4.04%</w:t>
            </w:r>
          </w:p>
        </w:tc>
      </w:tr>
      <w:tr>
        <w:tc>
          <w:tcPr>
            <w:tcW w:type="dxa" w:w="2880"/>
          </w:tcPr>
          <w:p>
            <w:r>
              <w:t>에코프로비엠</w:t>
            </w:r>
          </w:p>
        </w:tc>
        <w:tc>
          <w:tcPr>
            <w:tcW w:type="dxa" w:w="2880"/>
          </w:tcPr>
          <w:p>
            <w:r>
              <w:t>-</w:t>
            </w:r>
          </w:p>
        </w:tc>
        <w:tc>
          <w:tcPr>
            <w:tcW w:type="dxa" w:w="2880"/>
          </w:tcPr>
          <w:p>
            <w:r>
              <w:t>-8.76%</w:t>
            </w:r>
          </w:p>
        </w:tc>
      </w:tr>
    </w:tbl>
    <w:p>
      <w:pPr>
        <w:pStyle w:val="Heading1"/>
      </w:pPr>
      <w:r>
        <w:t>4. 주요 뉴스</w:t>
      </w:r>
    </w:p>
    <w:p>
      <w:pPr>
        <w:pStyle w:val="Heading2"/>
      </w:pPr>
      <w:r>
        <w:t>① '브로드컴 쇼크'에 반도체 패닉셀</w:t>
      </w:r>
    </w:p>
    <w:p>
      <w:r>
        <w:t>브로드컴이 3분기 AI 칩 매출 전망으로 160억 달러를 제시, 시장 예상치(163.6억 달러)를 소폭 밑돌자 주가가 12.6% 급락했다. 이 여파로 마이크론·AMD 등 미 반도체주에 차익실현 매물이 쏟아졌고, 반도체 비중이 큰 국내 증시는 삼성전자·SK하이닉스를 중심으로 투매가 확산됐다. 다만 증권가는 'AI 투자 사이클 둔화 신호가 아니다'라며 저가 매수 기회로 평가했다. 지난달 반도체 수출은 전년比 169% 증가(전체 수출의 약 42% 비중)하며 견조한 펀더멘털을 보였다. 미래에셋·한국투자·삼성증권 등은 비중 확대를 권고했다.</w:t>
      </w:r>
    </w:p>
    <w:p>
      <w:pPr>
        <w:pStyle w:val="Heading2"/>
      </w:pPr>
      <w:r>
        <w:t>② 외국인 매도에 환율 17년래 최고</w:t>
      </w:r>
    </w:p>
    <w:p>
      <w:r>
        <w:t>외국인은 유가증권시장에서 약 4조3,000억 원을 순매도하며 지수 급락을 주도했다. 최근 6거래일 연속 순매도로 누적 27조 원을 넘겼다. 스페이스X 미국 상장을 앞두고 글로벌 자금이 이탈하고 있다는 분석이 나온다. 외국인 매도→환율 상승→환차손 우려에 따른 추가 매도라는 부정적 루프가 형성됐다는 평가다.</w:t>
      </w:r>
    </w:p>
    <w:p>
      <w:pPr>
        <w:pStyle w:val="Heading2"/>
      </w:pPr>
      <w:r>
        <w:t>③ 미국 5월 고용 깜짝 증가, 30년물 금리 5% 돌파</w:t>
      </w:r>
    </w:p>
    <w:p>
      <w:r>
        <w:t>미국 5월 비농업 일자리가 17만2,000개 증가하며 전망치(8만 개)를 두 배 이상 웃돌았다. 실업률은 4.3%로 유지. 이에 6월 FOMC 금리 동결 확률이 98%로 높아졌고, 미 국채 30년물 금리가 연 5.0%를 재돌파했다. 장기금리 급등은 기술·성장주에 부담이며, 달러 강세를 통해 원·달러 환율을 추가로 밀어 올릴 수 있다.</w:t>
      </w:r>
    </w:p>
    <w:p>
      <w:pPr>
        <w:pStyle w:val="Heading2"/>
      </w:pPr>
      <w:r>
        <w:t>④ 코스닥 '천스닥' 장중 붕괴 후 회복</w:t>
      </w:r>
    </w:p>
    <w:p>
      <w:r>
        <w:t>코스닥은 장중 992.80까지 밀려 3개월 만에 1,000선이 붕괴됐으나, 기관(1,493억)·개인(1,132억) 순매수로 1,002.44에 마감했다. 증권가는 지정학 리스크 완화와 국민성장펀드 자금 집행이 본격화되는 하반기(6~8월) 반등 가능성을 제시했다.</w:t>
      </w:r>
    </w:p>
    <w:p>
      <w:pPr>
        <w:pStyle w:val="Heading1"/>
      </w:pPr>
      <w:r>
        <w:t>5. 종합 코멘트</w:t>
      </w:r>
    </w:p>
    <w:p>
      <w:r>
        <w:t>이번 급락은 반도체 업종에 집중된 심리적 충격과 외국인 수급·환율 악순환이 겹친 결과로, 메모리 업황 펀더멘털 훼손과는 거리가 있다는 것이 증권가의 대체적 시각이다. 단기적으로는 환율·미 장기금리 추이와 외국인 매도 지속 여부가 변수다. 다만 반도체 수출 호조와 HBM 수요 강세가 유지되고 있어 다수 증권사는 현 조정 국면을 비중 확대 기회로 보고 있다.</w:t>
      </w:r>
    </w:p>
    <w:p/>
    <w:p>
      <w:r>
        <w:rPr>
          <w:i/>
          <w:sz w:val="18"/>
        </w:rPr>
        <w:t>출처: 한국경제, Yahoo Finance, 한국거래소(KRX) 기준 수치. ※ 네이버증권·인베스팅닷컴·매일경제는 접근 제한으로 직접 확인하지 못함.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