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7FCBAD1E">
      <w:pPr>
        <w:pStyle w:val="Bodytext10"/>
        <w:numPr>
          <w:ilvl w:val="0"/>
          <w:numId w:val="1"/>
        </w:numPr>
        <w:spacing w:line="360" w:lineRule="auto"/>
        <w:rPr>
          <w:sz w:val="24"/>
          <w:szCs w:val="24"/>
        </w:rPr>
      </w:pPr>
      <w:r>
        <w:rPr>
          <w:rFonts w:hint="eastAsia"/>
          <w:sz w:val="24"/>
          <w:szCs w:val="24"/>
        </w:rPr>
        <w:t>目的</w:t>
      </w:r>
    </w:p>
    <w:p w14:paraId="25C83CCD">
      <w:pPr>
        <w:pStyle w:val="Bodytext10"/>
        <w:spacing w:line="360" w:lineRule="auto"/>
        <w:ind w:firstLine="420"/>
        <w:rPr>
          <w:sz w:val="24"/>
          <w:szCs w:val="24"/>
        </w:rPr>
      </w:pPr>
      <w:r>
        <w:rPr>
          <w:rFonts w:hint="eastAsia"/>
          <w:sz w:val="24"/>
          <w:szCs w:val="24"/>
        </w:rPr>
        <w:t>对质量管理体系过程进行监视和测量，以确保质量管理体系的符合性；对产品特性进行监视和测量</w:t>
      </w:r>
      <w:r>
        <w:rPr>
          <w:rFonts w:hint="eastAsia"/>
          <w:sz w:val="24"/>
          <w:szCs w:val="24"/>
          <w:lang w:eastAsia="zh-CN"/>
        </w:rPr>
        <w:t>，</w:t>
      </w:r>
      <w:r>
        <w:rPr>
          <w:rFonts w:hint="eastAsia"/>
          <w:sz w:val="24"/>
          <w:szCs w:val="24"/>
        </w:rPr>
        <w:t>以验证产品要求得到满足。</w:t>
      </w:r>
      <w:bookmarkStart w:id="0" w:name="bookmark0"/>
      <w:bookmarkEnd w:id="0"/>
    </w:p>
    <w:p w14:paraId="63F4D55F">
      <w:pPr>
        <w:pStyle w:val="Bodytext10"/>
        <w:numPr>
          <w:ilvl w:val="0"/>
          <w:numId w:val="1"/>
        </w:numPr>
        <w:spacing w:line="360" w:lineRule="auto"/>
        <w:rPr>
          <w:sz w:val="24"/>
          <w:szCs w:val="24"/>
        </w:rPr>
      </w:pPr>
      <w:r>
        <w:rPr>
          <w:rFonts w:hint="eastAsia"/>
          <w:sz w:val="24"/>
          <w:szCs w:val="24"/>
        </w:rPr>
        <w:t>范围</w:t>
      </w:r>
    </w:p>
    <w:p w14:paraId="433919EB">
      <w:pPr>
        <w:pStyle w:val="Bodytext10"/>
        <w:spacing w:line="360" w:lineRule="auto"/>
        <w:ind w:firstLine="420"/>
        <w:jc w:val="both"/>
        <w:rPr>
          <w:sz w:val="24"/>
          <w:szCs w:val="24"/>
        </w:rPr>
      </w:pPr>
      <w:r>
        <w:rPr>
          <w:rFonts w:hint="eastAsia"/>
          <w:sz w:val="24"/>
          <w:szCs w:val="24"/>
        </w:rPr>
        <w:t>适用于对质量管理体系过程持续满足其预定目的的能力进行确认</w:t>
      </w:r>
      <w:r>
        <w:rPr>
          <w:rFonts w:hint="eastAsia"/>
          <w:sz w:val="24"/>
          <w:szCs w:val="24"/>
          <w:lang w:eastAsia="zh-CN"/>
        </w:rPr>
        <w:t>，</w:t>
      </w:r>
      <w:r>
        <w:rPr>
          <w:rFonts w:hint="eastAsia"/>
          <w:sz w:val="24"/>
          <w:szCs w:val="24"/>
        </w:rPr>
        <w:t>对质量目标指标完成情况以及有关法律法规符合性进行监视和测量；对生产所用原材料、外协件、生产的半成品和成品进行监视和测量。</w:t>
      </w:r>
      <w:bookmarkStart w:id="1" w:name="bookmark1"/>
      <w:bookmarkEnd w:id="1"/>
    </w:p>
    <w:p w14:paraId="69361CF0">
      <w:pPr>
        <w:pStyle w:val="Bodytext10"/>
        <w:numPr>
          <w:ilvl w:val="0"/>
          <w:numId w:val="1"/>
        </w:numPr>
        <w:spacing w:line="360" w:lineRule="auto"/>
        <w:jc w:val="both"/>
        <w:rPr>
          <w:sz w:val="24"/>
          <w:szCs w:val="24"/>
        </w:rPr>
      </w:pPr>
      <w:r>
        <w:rPr>
          <w:rFonts w:hint="eastAsia"/>
          <w:sz w:val="24"/>
          <w:szCs w:val="24"/>
        </w:rPr>
        <w:t>职责</w:t>
      </w:r>
      <w:bookmarkStart w:id="2" w:name="bookmark2"/>
      <w:bookmarkEnd w:id="2"/>
    </w:p>
    <w:p w14:paraId="6CE73B64">
      <w:pPr>
        <w:pStyle w:val="Bodytext10"/>
        <w:numPr>
          <w:ilvl w:val="1"/>
          <w:numId w:val="1"/>
        </w:numPr>
        <w:spacing w:line="360" w:lineRule="auto"/>
        <w:jc w:val="both"/>
        <w:rPr>
          <w:sz w:val="24"/>
          <w:szCs w:val="24"/>
        </w:rPr>
      </w:pPr>
      <w:r>
        <w:rPr>
          <w:rFonts w:hint="eastAsia"/>
          <w:sz w:val="24"/>
          <w:szCs w:val="24"/>
        </w:rPr>
        <w:t>管理者代表组织各职能部门对质量管理体系各过程及有关的子过程进行监视和测量，各部门配合管理者代表进行过程的监视和测量。</w:t>
      </w:r>
    </w:p>
    <w:p w14:paraId="349B0805">
      <w:pPr>
        <w:pStyle w:val="Bodytext10"/>
        <w:numPr>
          <w:ilvl w:val="1"/>
          <w:numId w:val="1"/>
        </w:numPr>
        <w:spacing w:line="360" w:lineRule="auto"/>
        <w:jc w:val="both"/>
        <w:rPr>
          <w:sz w:val="24"/>
          <w:szCs w:val="24"/>
        </w:rPr>
      </w:pPr>
      <w:r>
        <w:rPr>
          <w:rFonts w:hint="eastAsia"/>
          <w:sz w:val="24"/>
          <w:szCs w:val="24"/>
        </w:rPr>
        <w:t>生产部</w:t>
      </w:r>
      <w:r>
        <w:rPr>
          <w:rFonts w:hint="eastAsia"/>
          <w:sz w:val="24"/>
          <w:szCs w:val="24"/>
        </w:rPr>
        <w:t>负责制定产品技术标准。</w:t>
      </w:r>
    </w:p>
    <w:p w14:paraId="7553AB6C">
      <w:pPr>
        <w:pStyle w:val="Bodytext10"/>
        <w:numPr>
          <w:ilvl w:val="1"/>
          <w:numId w:val="1"/>
        </w:numPr>
        <w:spacing w:line="360" w:lineRule="auto"/>
        <w:jc w:val="both"/>
        <w:rPr>
          <w:sz w:val="24"/>
          <w:szCs w:val="24"/>
        </w:rPr>
      </w:pPr>
      <w:r>
        <w:rPr>
          <w:rFonts w:hint="eastAsia"/>
          <w:sz w:val="24"/>
          <w:szCs w:val="24"/>
        </w:rPr>
        <w:t>质量部</w:t>
      </w:r>
      <w:r>
        <w:rPr>
          <w:rFonts w:hint="eastAsia"/>
          <w:sz w:val="24"/>
          <w:szCs w:val="24"/>
        </w:rPr>
        <w:t>负责按作业指导书的规定对原材料、过程产品和成品进行检验，并负责检验室日常工作。</w:t>
      </w:r>
    </w:p>
    <w:p w14:paraId="2049427D">
      <w:pPr>
        <w:pStyle w:val="Bodytext10"/>
        <w:numPr>
          <w:ilvl w:val="0"/>
          <w:numId w:val="1"/>
        </w:numPr>
        <w:tabs>
          <w:tab w:val="left" w:pos="354"/>
        </w:tabs>
        <w:spacing w:line="360" w:lineRule="auto"/>
        <w:jc w:val="both"/>
        <w:rPr>
          <w:sz w:val="24"/>
          <w:szCs w:val="24"/>
        </w:rPr>
      </w:pPr>
      <w:bookmarkStart w:id="3" w:name="bookmark3"/>
      <w:bookmarkEnd w:id="3"/>
      <w:r>
        <w:rPr>
          <w:rFonts w:hint="eastAsia"/>
          <w:sz w:val="24"/>
          <w:szCs w:val="24"/>
        </w:rPr>
        <w:t>程序</w:t>
      </w:r>
    </w:p>
    <w:p w14:paraId="1CF30150">
      <w:pPr>
        <w:pStyle w:val="Bodytext10"/>
        <w:numPr>
          <w:ilvl w:val="1"/>
          <w:numId w:val="1"/>
        </w:numPr>
        <w:tabs>
          <w:tab w:val="left" w:pos="344"/>
        </w:tabs>
        <w:spacing w:line="360" w:lineRule="auto"/>
        <w:jc w:val="both"/>
        <w:rPr>
          <w:sz w:val="24"/>
          <w:szCs w:val="24"/>
        </w:rPr>
      </w:pPr>
      <w:r>
        <w:rPr>
          <w:rFonts w:hint="eastAsia"/>
          <w:sz w:val="24"/>
          <w:szCs w:val="24"/>
          <w:lang w:val="zh-CN" w:eastAsia="zh-CN" w:bidi="zh-CN"/>
        </w:rPr>
        <w:t>质量管</w:t>
      </w:r>
      <w:r>
        <w:rPr>
          <w:rFonts w:hint="eastAsia"/>
          <w:sz w:val="24"/>
          <w:szCs w:val="24"/>
        </w:rPr>
        <w:t>理过程的监视和测量</w:t>
      </w:r>
      <w:bookmarkStart w:id="4" w:name="bookmark4"/>
      <w:bookmarkEnd w:id="4"/>
    </w:p>
    <w:p w14:paraId="63D60F2A">
      <w:pPr>
        <w:pStyle w:val="Bodytext10"/>
        <w:numPr>
          <w:ilvl w:val="2"/>
          <w:numId w:val="1"/>
        </w:numPr>
        <w:tabs>
          <w:tab w:val="left" w:pos="344"/>
        </w:tabs>
        <w:spacing w:line="360" w:lineRule="auto"/>
        <w:ind w:left="0" w:firstLine="709"/>
        <w:jc w:val="both"/>
        <w:rPr>
          <w:sz w:val="24"/>
          <w:szCs w:val="24"/>
        </w:rPr>
      </w:pPr>
      <w:r>
        <w:rPr>
          <w:rFonts w:hint="eastAsia"/>
          <w:sz w:val="24"/>
          <w:szCs w:val="24"/>
        </w:rPr>
        <w:t>管理者代表负责组织有关部门釆用适宜的方法对本公司各职能部门就质量管理体系运行的过程进行监视，并适时进行测量，以证实这些过程达到所策划结果的能力，当未能达到所策划的结果时，采取适当的纠正和预防措施，以确保产品的符合性。</w:t>
      </w:r>
    </w:p>
    <w:p w14:paraId="409112D4">
      <w:pPr>
        <w:pStyle w:val="Bodytext10"/>
        <w:numPr>
          <w:ilvl w:val="2"/>
          <w:numId w:val="1"/>
        </w:numPr>
        <w:tabs>
          <w:tab w:val="left" w:pos="344"/>
        </w:tabs>
        <w:spacing w:line="360" w:lineRule="auto"/>
        <w:ind w:left="0" w:firstLine="709"/>
        <w:jc w:val="both"/>
        <w:rPr>
          <w:sz w:val="24"/>
          <w:szCs w:val="24"/>
        </w:rPr>
      </w:pPr>
      <w:r>
        <w:rPr>
          <w:rFonts w:hint="eastAsia"/>
          <w:sz w:val="24"/>
          <w:szCs w:val="24"/>
        </w:rPr>
        <w:t>公司需进行监视和测量的过程:管理职责、资源管理、产品实现及</w:t>
      </w:r>
      <w:r>
        <w:rPr>
          <w:rFonts w:hint="eastAsia"/>
          <w:sz w:val="24"/>
          <w:szCs w:val="24"/>
          <w:lang w:val="en-US" w:eastAsia="zh-CN"/>
        </w:rPr>
        <w:t>测量</w:t>
      </w:r>
      <w:r>
        <w:rPr>
          <w:rFonts w:hint="eastAsia"/>
          <w:sz w:val="24"/>
          <w:szCs w:val="24"/>
        </w:rPr>
        <w:t>、分析和改进四大过程，而这四大过程中又包括:产品实现的策划、与顾客有关过程、设计开发过程、采购过程、生产过程、服务过程等若干个过程和子过程。监视和测量的重点是生产和服务提供的全过程。</w:t>
      </w:r>
    </w:p>
    <w:p w14:paraId="2FCBFC5A">
      <w:pPr>
        <w:pStyle w:val="Bodytext10"/>
        <w:numPr>
          <w:ilvl w:val="2"/>
          <w:numId w:val="1"/>
        </w:numPr>
        <w:tabs>
          <w:tab w:val="left" w:pos="344"/>
        </w:tabs>
        <w:spacing w:line="360" w:lineRule="auto"/>
        <w:ind w:left="0" w:firstLine="709"/>
        <w:jc w:val="both"/>
        <w:rPr>
          <w:sz w:val="24"/>
          <w:szCs w:val="24"/>
        </w:rPr>
      </w:pPr>
      <w:r>
        <w:rPr>
          <w:rFonts w:hint="eastAsia"/>
          <w:sz w:val="24"/>
          <w:szCs w:val="24"/>
        </w:rPr>
        <w:t>过程监视和测量的方法</w:t>
      </w:r>
    </w:p>
    <w:p w14:paraId="123F21AF">
      <w:pPr>
        <w:pStyle w:val="Bodytext10"/>
        <w:spacing w:line="360" w:lineRule="auto"/>
        <w:ind w:firstLine="320"/>
        <w:rPr>
          <w:sz w:val="24"/>
          <w:szCs w:val="24"/>
        </w:rPr>
      </w:pPr>
      <w:r>
        <w:rPr>
          <w:rFonts w:hint="eastAsia"/>
          <w:sz w:val="24"/>
          <w:szCs w:val="24"/>
        </w:rPr>
        <w:t>过程监视和测量应针对各过程特点选择适当的方法，公司对过程进行监视和测量的主要方法有：</w:t>
      </w:r>
    </w:p>
    <w:p w14:paraId="6480555C">
      <w:pPr>
        <w:pStyle w:val="Bodytext10"/>
        <w:tabs>
          <w:tab w:val="left" w:pos="373"/>
        </w:tabs>
        <w:spacing w:line="360" w:lineRule="auto"/>
        <w:rPr>
          <w:sz w:val="24"/>
          <w:szCs w:val="24"/>
        </w:rPr>
      </w:pPr>
      <w:bookmarkStart w:id="5" w:name="bookmark5"/>
      <w:r>
        <w:rPr>
          <w:color w:val="511A1F"/>
          <w:sz w:val="19"/>
          <w:szCs w:val="19"/>
        </w:rPr>
        <w:t>1</w:t>
      </w:r>
      <w:bookmarkEnd w:id="5"/>
      <w:r>
        <w:rPr>
          <w:rFonts w:hint="eastAsia"/>
          <w:color w:val="511A1F"/>
          <w:sz w:val="24"/>
          <w:szCs w:val="24"/>
        </w:rPr>
        <w:t>）</w:t>
      </w:r>
      <w:r>
        <w:rPr>
          <w:rFonts w:hint="eastAsia"/>
          <w:color w:val="511A1F"/>
          <w:sz w:val="24"/>
          <w:szCs w:val="24"/>
        </w:rPr>
        <w:tab/>
      </w:r>
      <w:r>
        <w:rPr>
          <w:rFonts w:hint="eastAsia"/>
          <w:sz w:val="24"/>
          <w:szCs w:val="24"/>
        </w:rPr>
        <w:t>对管理活动的监视和测量</w:t>
      </w:r>
    </w:p>
    <w:p w14:paraId="6FD51C25">
      <w:pPr>
        <w:pStyle w:val="Bodytext10"/>
        <w:tabs>
          <w:tab w:val="left" w:pos="763"/>
        </w:tabs>
        <w:spacing w:line="360" w:lineRule="auto"/>
        <w:ind w:left="400" w:firstLine="20"/>
        <w:jc w:val="both"/>
        <w:rPr>
          <w:sz w:val="24"/>
          <w:szCs w:val="24"/>
        </w:rPr>
      </w:pPr>
      <w:bookmarkStart w:id="6" w:name="bookmark6"/>
      <w:r>
        <w:rPr>
          <w:rFonts w:hint="eastAsia"/>
          <w:sz w:val="24"/>
          <w:szCs w:val="24"/>
          <w:lang w:val="en-US" w:eastAsia="zh-CN" w:bidi="en-US"/>
        </w:rPr>
        <w:t>a</w:t>
      </w:r>
      <w:bookmarkEnd w:id="6"/>
      <w:r>
        <w:rPr>
          <w:rFonts w:hint="eastAsia"/>
          <w:sz w:val="24"/>
          <w:szCs w:val="24"/>
          <w:lang w:val="en-US" w:eastAsia="zh-CN" w:bidi="en-US"/>
        </w:rPr>
        <w:t>）</w:t>
      </w:r>
      <w:r>
        <w:rPr>
          <w:rFonts w:hint="eastAsia"/>
          <w:sz w:val="24"/>
          <w:szCs w:val="24"/>
          <w:lang w:val="en-US" w:eastAsia="zh-CN" w:bidi="en-US"/>
        </w:rPr>
        <w:tab/>
      </w:r>
      <w:r>
        <w:rPr>
          <w:rFonts w:hint="eastAsia"/>
          <w:sz w:val="24"/>
          <w:szCs w:val="24"/>
        </w:rPr>
        <w:t>管理评审：总经理每年组织一次（必要时增加评审次数）管理评审，对各职能部门的管理活动进行监控评审。</w:t>
      </w:r>
    </w:p>
    <w:p w14:paraId="7054B938">
      <w:pPr>
        <w:pStyle w:val="Bodytext10"/>
        <w:tabs>
          <w:tab w:val="left" w:pos="773"/>
        </w:tabs>
        <w:spacing w:line="360" w:lineRule="auto"/>
        <w:ind w:left="400" w:firstLine="20"/>
        <w:jc w:val="both"/>
        <w:rPr>
          <w:sz w:val="24"/>
          <w:szCs w:val="24"/>
        </w:rPr>
      </w:pPr>
      <w:bookmarkStart w:id="7" w:name="bookmark7"/>
      <w:r>
        <w:rPr>
          <w:rFonts w:hint="eastAsia"/>
          <w:sz w:val="24"/>
          <w:szCs w:val="24"/>
          <w:lang w:val="en-US" w:eastAsia="zh-CN" w:bidi="en-US"/>
        </w:rPr>
        <w:t>b</w:t>
      </w:r>
      <w:bookmarkEnd w:id="7"/>
      <w:r>
        <w:rPr>
          <w:rFonts w:hint="eastAsia"/>
          <w:sz w:val="24"/>
          <w:szCs w:val="24"/>
          <w:lang w:val="en-US" w:eastAsia="zh-CN" w:bidi="en-US"/>
        </w:rPr>
        <w:t>）</w:t>
      </w:r>
      <w:r>
        <w:rPr>
          <w:rFonts w:hint="eastAsia"/>
          <w:sz w:val="24"/>
          <w:szCs w:val="24"/>
          <w:lang w:val="en-US" w:eastAsia="zh-CN" w:bidi="en-US"/>
        </w:rPr>
        <w:tab/>
      </w:r>
      <w:r>
        <w:rPr>
          <w:rFonts w:hint="eastAsia"/>
          <w:sz w:val="24"/>
          <w:szCs w:val="24"/>
        </w:rPr>
        <w:t>与质量相关的各部门应将本公司质量目标进行分解，转化为本部门具体的质量目标，如：综合部的人员培训及时率；</w:t>
      </w:r>
      <w:r>
        <w:rPr>
          <w:rFonts w:hint="eastAsia"/>
          <w:sz w:val="24"/>
          <w:szCs w:val="24"/>
        </w:rPr>
        <w:t>生产部</w:t>
      </w:r>
      <w:r>
        <w:rPr>
          <w:rFonts w:hint="eastAsia"/>
          <w:sz w:val="24"/>
          <w:szCs w:val="24"/>
        </w:rPr>
        <w:t>的组件合格率</w:t>
      </w:r>
      <w:r>
        <w:rPr>
          <w:rFonts w:hint="eastAsia"/>
          <w:sz w:val="24"/>
          <w:szCs w:val="24"/>
          <w:lang w:val="zh-CN" w:eastAsia="zh-CN" w:bidi="zh-CN"/>
        </w:rPr>
        <w:t>等。</w:t>
      </w:r>
      <w:r>
        <w:rPr>
          <w:rFonts w:hint="eastAsia"/>
          <w:sz w:val="24"/>
          <w:szCs w:val="24"/>
        </w:rPr>
        <w:t>为保证目标的顺利完成，由</w:t>
      </w:r>
      <w:r>
        <w:rPr>
          <w:rFonts w:hint="eastAsia"/>
          <w:sz w:val="24"/>
          <w:szCs w:val="24"/>
          <w:lang w:val="en-US" w:eastAsia="zh-CN"/>
        </w:rPr>
        <w:t>综合</w:t>
      </w:r>
      <w:r>
        <w:rPr>
          <w:rFonts w:hint="eastAsia"/>
          <w:sz w:val="24"/>
          <w:szCs w:val="24"/>
        </w:rPr>
        <w:t>部负责按质量目标考核办法和计算公式每年进行一次检査。</w:t>
      </w:r>
    </w:p>
    <w:p w14:paraId="77F07FC3">
      <w:pPr>
        <w:pStyle w:val="Bodytext10"/>
        <w:tabs>
          <w:tab w:val="left" w:pos="773"/>
        </w:tabs>
        <w:spacing w:line="360" w:lineRule="auto"/>
        <w:ind w:left="400" w:firstLine="20"/>
        <w:jc w:val="both"/>
        <w:rPr>
          <w:sz w:val="24"/>
          <w:szCs w:val="24"/>
        </w:rPr>
      </w:pPr>
      <w:bookmarkStart w:id="8" w:name="bookmark8"/>
      <w:r>
        <w:rPr>
          <w:rFonts w:hint="eastAsia"/>
          <w:sz w:val="24"/>
          <w:szCs w:val="24"/>
          <w:lang w:val="en-US" w:eastAsia="zh-CN" w:bidi="en-US"/>
        </w:rPr>
        <w:t>c</w:t>
      </w:r>
      <w:bookmarkEnd w:id="8"/>
      <w:r>
        <w:rPr>
          <w:rFonts w:hint="eastAsia"/>
          <w:sz w:val="24"/>
          <w:szCs w:val="24"/>
          <w:lang w:val="en-US" w:eastAsia="zh-CN" w:bidi="en-US"/>
        </w:rPr>
        <w:t>）</w:t>
      </w:r>
      <w:r>
        <w:rPr>
          <w:rFonts w:hint="eastAsia"/>
          <w:sz w:val="24"/>
          <w:szCs w:val="24"/>
          <w:lang w:val="en-US" w:eastAsia="zh-CN" w:bidi="en-US"/>
        </w:rPr>
        <w:tab/>
      </w:r>
      <w:r>
        <w:rPr>
          <w:rFonts w:hint="eastAsia"/>
          <w:sz w:val="24"/>
          <w:szCs w:val="24"/>
        </w:rPr>
        <w:t>本公司利用每年的计划会、总结会及日常的例会（如周会</w:t>
      </w:r>
      <w:r>
        <w:rPr>
          <w:rFonts w:hint="eastAsia"/>
          <w:sz w:val="24"/>
          <w:szCs w:val="24"/>
          <w:lang w:eastAsia="zh-CN"/>
        </w:rPr>
        <w:t>、</w:t>
      </w:r>
      <w:r>
        <w:rPr>
          <w:rFonts w:hint="eastAsia"/>
          <w:sz w:val="24"/>
          <w:szCs w:val="24"/>
          <w:lang w:val="en-US" w:eastAsia="zh-CN"/>
        </w:rPr>
        <w:t>晨会</w:t>
      </w:r>
      <w:r>
        <w:rPr>
          <w:rFonts w:hint="eastAsia"/>
          <w:sz w:val="24"/>
          <w:szCs w:val="24"/>
        </w:rPr>
        <w:t>）并结合适当的考核方法对各部门的工作进行监视，</w:t>
      </w:r>
      <w:r>
        <w:rPr>
          <w:sz w:val="24"/>
          <w:szCs w:val="24"/>
        </w:rPr>
        <w:t>发现问题及时釆取纠正或预防措施。</w:t>
      </w:r>
    </w:p>
    <w:p w14:paraId="5A20FC19">
      <w:pPr>
        <w:pStyle w:val="Bodytext10"/>
        <w:tabs>
          <w:tab w:val="left" w:pos="392"/>
        </w:tabs>
        <w:spacing w:line="360" w:lineRule="auto"/>
        <w:rPr>
          <w:sz w:val="24"/>
          <w:szCs w:val="24"/>
        </w:rPr>
      </w:pPr>
      <w:bookmarkStart w:id="9" w:name="bookmark9"/>
      <w:r>
        <w:rPr>
          <w:sz w:val="24"/>
          <w:szCs w:val="24"/>
        </w:rPr>
        <w:t>2</w:t>
      </w:r>
      <w:bookmarkEnd w:id="9"/>
      <w:r>
        <w:rPr>
          <w:sz w:val="24"/>
          <w:szCs w:val="24"/>
        </w:rPr>
        <w:t>）</w:t>
      </w:r>
      <w:r>
        <w:rPr>
          <w:sz w:val="24"/>
          <w:szCs w:val="24"/>
        </w:rPr>
        <w:tab/>
      </w:r>
      <w:r>
        <w:rPr>
          <w:sz w:val="24"/>
          <w:szCs w:val="24"/>
        </w:rPr>
        <w:t>对资源管理的监视和测量</w:t>
      </w:r>
    </w:p>
    <w:p w14:paraId="0ECC69FC">
      <w:pPr>
        <w:pStyle w:val="Bodytext10"/>
        <w:spacing w:line="360" w:lineRule="auto"/>
        <w:jc w:val="both"/>
        <w:rPr>
          <w:sz w:val="24"/>
          <w:szCs w:val="24"/>
        </w:rPr>
      </w:pPr>
      <w:r>
        <w:rPr>
          <w:sz w:val="24"/>
          <w:szCs w:val="24"/>
          <w:lang w:val="en-US" w:eastAsia="zh-CN" w:bidi="en-US"/>
        </w:rPr>
        <w:t>a）</w:t>
      </w:r>
      <w:r>
        <w:rPr>
          <w:sz w:val="24"/>
          <w:szCs w:val="24"/>
        </w:rPr>
        <w:t>人力资源：由各部门负责对本部门的人力资源进行监视和测量，由</w:t>
      </w:r>
      <w:r>
        <w:rPr>
          <w:rFonts w:hint="eastAsia"/>
          <w:sz w:val="24"/>
          <w:szCs w:val="24"/>
        </w:rPr>
        <w:t>综合部</w:t>
      </w:r>
      <w:r>
        <w:rPr>
          <w:sz w:val="24"/>
          <w:szCs w:val="24"/>
        </w:rPr>
        <w:t>负责配备、培训，并利用培训考核、人员岗位考核、评价等对培训有效性</w:t>
      </w:r>
      <w:r>
        <w:rPr>
          <w:rFonts w:hint="eastAsia"/>
          <w:sz w:val="24"/>
          <w:szCs w:val="24"/>
          <w:lang w:eastAsia="zh-CN"/>
        </w:rPr>
        <w:t>进</w:t>
      </w:r>
      <w:r>
        <w:rPr>
          <w:sz w:val="24"/>
          <w:szCs w:val="24"/>
        </w:rPr>
        <w:t>行评价；</w:t>
      </w:r>
    </w:p>
    <w:p w14:paraId="7F0D1A49">
      <w:pPr>
        <w:pStyle w:val="Bodytext10"/>
        <w:spacing w:line="360" w:lineRule="auto"/>
        <w:rPr>
          <w:rFonts w:eastAsia="PMingLiU"/>
          <w:sz w:val="24"/>
          <w:szCs w:val="24"/>
        </w:rPr>
      </w:pPr>
      <w:r>
        <w:rPr>
          <w:sz w:val="24"/>
          <w:szCs w:val="24"/>
          <w:lang w:val="en-US" w:eastAsia="zh-CN" w:bidi="en-US"/>
        </w:rPr>
        <w:t>b）</w:t>
      </w:r>
      <w:r>
        <w:rPr>
          <w:sz w:val="24"/>
          <w:szCs w:val="24"/>
        </w:rPr>
        <w:t>基础设施和工作环境：由</w:t>
      </w:r>
      <w:r>
        <w:rPr>
          <w:sz w:val="24"/>
          <w:szCs w:val="24"/>
        </w:rPr>
        <w:t>生产部</w:t>
      </w:r>
      <w:r>
        <w:rPr>
          <w:sz w:val="24"/>
          <w:szCs w:val="24"/>
        </w:rPr>
        <w:t>协同</w:t>
      </w:r>
      <w:r>
        <w:rPr>
          <w:rFonts w:hint="eastAsia"/>
          <w:sz w:val="24"/>
          <w:szCs w:val="24"/>
          <w:lang w:val="en-US" w:eastAsia="zh-CN"/>
        </w:rPr>
        <w:t>综合</w:t>
      </w:r>
      <w:r>
        <w:rPr>
          <w:rFonts w:hint="eastAsia"/>
          <w:sz w:val="24"/>
          <w:szCs w:val="24"/>
        </w:rPr>
        <w:t>部</w:t>
      </w:r>
      <w:r>
        <w:rPr>
          <w:sz w:val="24"/>
          <w:szCs w:val="24"/>
        </w:rPr>
        <w:t>对基础设施和工作环境定期检査，并做好检査记录</w:t>
      </w:r>
      <w:r>
        <w:rPr>
          <w:rFonts w:hint="eastAsia"/>
          <w:sz w:val="24"/>
          <w:szCs w:val="24"/>
        </w:rPr>
        <w:t>。</w:t>
      </w:r>
    </w:p>
    <w:p w14:paraId="6870A22E">
      <w:pPr>
        <w:pStyle w:val="Bodytext10"/>
        <w:tabs>
          <w:tab w:val="left" w:pos="392"/>
        </w:tabs>
        <w:spacing w:line="360" w:lineRule="auto"/>
        <w:rPr>
          <w:sz w:val="24"/>
          <w:szCs w:val="24"/>
        </w:rPr>
      </w:pPr>
      <w:bookmarkStart w:id="10" w:name="bookmark10"/>
      <w:r>
        <w:rPr>
          <w:sz w:val="24"/>
          <w:szCs w:val="24"/>
        </w:rPr>
        <w:t>3</w:t>
      </w:r>
      <w:bookmarkEnd w:id="10"/>
      <w:r>
        <w:rPr>
          <w:sz w:val="24"/>
          <w:szCs w:val="24"/>
        </w:rPr>
        <w:t>）</w:t>
      </w:r>
      <w:r>
        <w:rPr>
          <w:sz w:val="24"/>
          <w:szCs w:val="24"/>
        </w:rPr>
        <w:tab/>
      </w:r>
      <w:r>
        <w:rPr>
          <w:sz w:val="24"/>
          <w:szCs w:val="24"/>
        </w:rPr>
        <w:t>对产品实现的监视和测量：由</w:t>
      </w:r>
      <w:r>
        <w:rPr>
          <w:rFonts w:hint="eastAsia"/>
          <w:sz w:val="24"/>
          <w:szCs w:val="24"/>
        </w:rPr>
        <w:t>质量部</w:t>
      </w:r>
      <w:r>
        <w:rPr>
          <w:sz w:val="24"/>
          <w:szCs w:val="24"/>
        </w:rPr>
        <w:t>对</w:t>
      </w:r>
      <w:r>
        <w:rPr>
          <w:sz w:val="24"/>
          <w:szCs w:val="24"/>
        </w:rPr>
        <w:t>生产部</w:t>
      </w:r>
      <w:r>
        <w:rPr>
          <w:sz w:val="24"/>
          <w:szCs w:val="24"/>
        </w:rPr>
        <w:t>计划完成情况进行监视；</w:t>
      </w:r>
      <w:r>
        <w:rPr>
          <w:sz w:val="24"/>
          <w:szCs w:val="24"/>
        </w:rPr>
        <w:t>生产部</w:t>
      </w:r>
      <w:r>
        <w:rPr>
          <w:sz w:val="24"/>
          <w:szCs w:val="24"/>
        </w:rPr>
        <w:t xml:space="preserve">对设计和工艺进行验证； </w:t>
      </w:r>
      <w:r>
        <w:rPr>
          <w:sz w:val="24"/>
          <w:szCs w:val="24"/>
        </w:rPr>
        <w:t>生产部</w:t>
      </w:r>
      <w:r>
        <w:rPr>
          <w:color w:val="202241"/>
          <w:sz w:val="24"/>
          <w:szCs w:val="24"/>
        </w:rPr>
        <w:t>对关键</w:t>
      </w:r>
      <w:r>
        <w:rPr>
          <w:sz w:val="24"/>
          <w:szCs w:val="24"/>
        </w:rPr>
        <w:t>工序、特殊过程进行</w:t>
      </w:r>
      <w:r>
        <w:rPr>
          <w:color w:val="202241"/>
          <w:sz w:val="24"/>
          <w:szCs w:val="24"/>
        </w:rPr>
        <w:t>监视；</w:t>
      </w:r>
      <w:r>
        <w:rPr>
          <w:rFonts w:hint="eastAsia"/>
          <w:sz w:val="24"/>
          <w:szCs w:val="24"/>
        </w:rPr>
        <w:t>质量部</w:t>
      </w:r>
      <w:r>
        <w:rPr>
          <w:sz w:val="24"/>
          <w:szCs w:val="24"/>
        </w:rPr>
        <w:t>对不合格品和顾客反馈信息进行监视和测量，必要时负责召开质量分析会，及时发现质量问题并釆取纠正措施。</w:t>
      </w:r>
    </w:p>
    <w:p w14:paraId="1B8AC34C">
      <w:pPr>
        <w:pStyle w:val="Bodytext10"/>
        <w:tabs>
          <w:tab w:val="left" w:pos="402"/>
        </w:tabs>
        <w:spacing w:line="360" w:lineRule="auto"/>
        <w:rPr>
          <w:sz w:val="24"/>
          <w:szCs w:val="24"/>
        </w:rPr>
      </w:pPr>
      <w:bookmarkStart w:id="11" w:name="bookmark11"/>
      <w:r>
        <w:rPr>
          <w:sz w:val="24"/>
          <w:szCs w:val="24"/>
        </w:rPr>
        <w:t>4</w:t>
      </w:r>
      <w:bookmarkEnd w:id="11"/>
      <w:r>
        <w:rPr>
          <w:sz w:val="24"/>
          <w:szCs w:val="24"/>
        </w:rPr>
        <w:t>）</w:t>
      </w:r>
      <w:r>
        <w:rPr>
          <w:sz w:val="24"/>
          <w:szCs w:val="24"/>
        </w:rPr>
        <w:tab/>
      </w:r>
      <w:r>
        <w:rPr>
          <w:rFonts w:hint="eastAsia"/>
          <w:sz w:val="24"/>
          <w:szCs w:val="24"/>
        </w:rPr>
        <w:t>测量</w:t>
      </w:r>
      <w:r>
        <w:rPr>
          <w:sz w:val="24"/>
          <w:szCs w:val="24"/>
        </w:rPr>
        <w:t>、分析和改进</w:t>
      </w:r>
    </w:p>
    <w:p w14:paraId="648941AB">
      <w:pPr>
        <w:pStyle w:val="Bodytext10"/>
        <w:tabs>
          <w:tab w:val="left" w:pos="680"/>
        </w:tabs>
        <w:spacing w:line="360" w:lineRule="auto"/>
        <w:rPr>
          <w:color w:val="000000" w:themeColor="text1"/>
          <w:sz w:val="24"/>
          <w:szCs w:val="24"/>
          <w14:textFill>
            <w14:solidFill>
              <w14:schemeClr w14:val="tx1"/>
            </w14:solidFill>
          </w14:textFill>
        </w:rPr>
      </w:pPr>
      <w:bookmarkStart w:id="12" w:name="bookmark12"/>
      <w:r>
        <w:rPr>
          <w:color w:val="202241"/>
          <w:sz w:val="24"/>
          <w:szCs w:val="24"/>
          <w:lang w:val="en-US" w:eastAsia="zh-CN" w:bidi="en-US"/>
        </w:rPr>
        <w:t>a</w:t>
      </w:r>
      <w:bookmarkEnd w:id="12"/>
      <w:r>
        <w:rPr>
          <w:color w:val="202241"/>
          <w:sz w:val="24"/>
          <w:szCs w:val="24"/>
          <w:lang w:val="en-US" w:eastAsia="zh-CN" w:bidi="en-US"/>
        </w:rPr>
        <w:t>）</w:t>
      </w:r>
      <w:r>
        <w:rPr>
          <w:color w:val="000000" w:themeColor="text1"/>
          <w:sz w:val="24"/>
          <w:szCs w:val="24"/>
          <w14:textFill>
            <w14:solidFill>
              <w14:schemeClr w14:val="tx1"/>
            </w14:solidFill>
          </w14:textFill>
        </w:rPr>
        <w:t>顾客满意度监视和测量：</w:t>
      </w:r>
      <w:r>
        <w:rPr>
          <w:rFonts w:hint="eastAsia"/>
          <w:color w:val="000000" w:themeColor="text1"/>
          <w:sz w:val="24"/>
          <w:szCs w:val="24"/>
          <w14:textFill>
            <w14:solidFill>
              <w14:schemeClr w14:val="tx1"/>
            </w14:solidFill>
          </w14:textFill>
        </w:rPr>
        <w:t>综合部</w:t>
      </w:r>
      <w:r>
        <w:rPr>
          <w:color w:val="000000" w:themeColor="text1"/>
          <w:sz w:val="24"/>
          <w:szCs w:val="24"/>
          <w14:textFill>
            <w14:solidFill>
              <w14:schemeClr w14:val="tx1"/>
            </w14:solidFill>
          </w14:textFill>
        </w:rPr>
        <w:t>组织相关人员每年通过电话访问、上门走访、及利用顾客满意度调查等形式，对顾客满意度进行监视与测量。</w:t>
      </w:r>
    </w:p>
    <w:p w14:paraId="67CDD123">
      <w:pPr>
        <w:pStyle w:val="Bodytext10"/>
        <w:tabs>
          <w:tab w:val="left" w:pos="680"/>
        </w:tabs>
        <w:spacing w:line="360" w:lineRule="auto"/>
        <w:rPr>
          <w:color w:val="000000" w:themeColor="text1"/>
          <w:sz w:val="24"/>
          <w:szCs w:val="24"/>
          <w14:textFill>
            <w14:solidFill>
              <w14:schemeClr w14:val="tx1"/>
            </w14:solidFill>
          </w14:textFill>
        </w:rPr>
      </w:pPr>
      <w:bookmarkStart w:id="13" w:name="bookmark13"/>
      <w:r>
        <w:rPr>
          <w:color w:val="000000" w:themeColor="text1"/>
          <w:sz w:val="24"/>
          <w:szCs w:val="24"/>
          <w:lang w:val="en-US" w:eastAsia="zh-CN" w:bidi="en-US"/>
          <w14:textFill>
            <w14:solidFill>
              <w14:schemeClr w14:val="tx1"/>
            </w14:solidFill>
          </w14:textFill>
        </w:rPr>
        <w:t>b</w:t>
      </w:r>
      <w:bookmarkEnd w:id="13"/>
      <w:r>
        <w:rPr>
          <w:color w:val="000000" w:themeColor="text1"/>
          <w:sz w:val="24"/>
          <w:szCs w:val="24"/>
          <w:lang w:val="en-US" w:eastAsia="zh-CN" w:bidi="en-US"/>
          <w14:textFill>
            <w14:solidFill>
              <w14:schemeClr w14:val="tx1"/>
            </w14:solidFill>
          </w14:textFill>
        </w:rPr>
        <w:t>）</w:t>
      </w:r>
      <w:r>
        <w:rPr>
          <w:rFonts w:hint="eastAsia"/>
          <w:color w:val="000000" w:themeColor="text1"/>
          <w:sz w:val="24"/>
          <w:szCs w:val="24"/>
          <w:lang w:val="en-US"/>
          <w14:textFill>
            <w14:solidFill>
              <w14:schemeClr w14:val="tx1"/>
            </w14:solidFill>
          </w14:textFill>
        </w:rPr>
        <w:t>质量部</w:t>
      </w:r>
      <w:r>
        <w:rPr>
          <w:color w:val="000000" w:themeColor="text1"/>
          <w:sz w:val="24"/>
          <w:szCs w:val="24"/>
          <w14:textFill>
            <w14:solidFill>
              <w14:schemeClr w14:val="tx1"/>
            </w14:solidFill>
          </w14:textFill>
        </w:rPr>
        <w:t>负责收集质量管理体系各过程的质量信息，对产品质量进行统计和分析，判断过程是否达到了预期的效果，如没有达到预期效果，</w:t>
      </w:r>
      <w:r>
        <w:rPr>
          <w:rFonts w:hint="eastAsia"/>
          <w:color w:val="000000" w:themeColor="text1"/>
          <w:sz w:val="24"/>
          <w:szCs w:val="24"/>
          <w14:textFill>
            <w14:solidFill>
              <w14:schemeClr w14:val="tx1"/>
            </w14:solidFill>
          </w14:textFill>
        </w:rPr>
        <w:t>质量部</w:t>
      </w:r>
      <w:r>
        <w:rPr>
          <w:color w:val="000000" w:themeColor="text1"/>
          <w:sz w:val="24"/>
          <w:szCs w:val="24"/>
          <w14:textFill>
            <w14:solidFill>
              <w14:schemeClr w14:val="tx1"/>
            </w14:solidFill>
          </w14:textFill>
        </w:rPr>
        <w:t>应组织有关部门分析原因，制定纠正措施。 纠正措施的制定与实施应符合《纠正预防措施控制程序》。</w:t>
      </w:r>
    </w:p>
    <w:p w14:paraId="500E1F3E">
      <w:pPr>
        <w:pStyle w:val="Bodytext10"/>
        <w:numPr>
          <w:ilvl w:val="1"/>
          <w:numId w:val="1"/>
        </w:numPr>
        <w:tabs>
          <w:tab w:val="left" w:pos="344"/>
        </w:tabs>
        <w:spacing w:line="360" w:lineRule="auto"/>
        <w:jc w:val="both"/>
        <w:rPr>
          <w:rFonts w:eastAsia="PMingLiU"/>
          <w:sz w:val="24"/>
          <w:szCs w:val="24"/>
        </w:rPr>
      </w:pPr>
      <w:r>
        <w:rPr>
          <w:rFonts w:hint="eastAsia"/>
          <w:sz w:val="24"/>
          <w:szCs w:val="24"/>
          <w:lang w:val="en-US" w:eastAsia="zh-CN"/>
        </w:rPr>
        <w:t>产品的监视和测量</w:t>
      </w:r>
    </w:p>
    <w:p w14:paraId="2B02E925">
      <w:pPr>
        <w:pStyle w:val="Bodytext10"/>
        <w:numPr>
          <w:ilvl w:val="2"/>
          <w:numId w:val="1"/>
        </w:numPr>
        <w:tabs>
          <w:tab w:val="left" w:pos="344"/>
        </w:tabs>
        <w:spacing w:line="360" w:lineRule="auto"/>
        <w:jc w:val="both"/>
        <w:rPr>
          <w:rFonts w:eastAsia="PMingLiU"/>
          <w:sz w:val="24"/>
          <w:szCs w:val="24"/>
        </w:rPr>
      </w:pPr>
      <w:r>
        <w:rPr>
          <w:sz w:val="24"/>
          <w:szCs w:val="24"/>
        </w:rPr>
        <w:t>识别生产过程及资源配备</w:t>
      </w:r>
    </w:p>
    <w:p w14:paraId="7C966D49">
      <w:pPr>
        <w:pStyle w:val="Bodytext10"/>
        <w:numPr>
          <w:ilvl w:val="3"/>
          <w:numId w:val="1"/>
        </w:numPr>
        <w:tabs>
          <w:tab w:val="left" w:pos="680"/>
        </w:tabs>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生产部</w:t>
      </w:r>
      <w:r>
        <w:rPr>
          <w:color w:val="000000" w:themeColor="text1"/>
          <w:sz w:val="24"/>
          <w:szCs w:val="24"/>
          <w14:textFill>
            <w14:solidFill>
              <w14:schemeClr w14:val="tx1"/>
            </w14:solidFill>
          </w14:textFill>
        </w:rPr>
        <w:t>按生产工艺流程与产品要求，识别在生产过程中和交付前需要进行的产品检验活动，在技术文件中作出规定，</w:t>
      </w:r>
      <w:r>
        <w:rPr>
          <w:rFonts w:hint="eastAsia"/>
          <w:color w:val="000000" w:themeColor="text1"/>
          <w:sz w:val="24"/>
          <w:szCs w:val="24"/>
          <w14:textFill>
            <w14:solidFill>
              <w14:schemeClr w14:val="tx1"/>
            </w14:solidFill>
          </w14:textFill>
        </w:rPr>
        <w:t>生产部</w:t>
      </w:r>
      <w:r>
        <w:rPr>
          <w:color w:val="000000" w:themeColor="text1"/>
          <w:sz w:val="24"/>
          <w:szCs w:val="24"/>
          <w14:textFill>
            <w14:solidFill>
              <w14:schemeClr w14:val="tx1"/>
            </w14:solidFill>
          </w14:textFill>
        </w:rPr>
        <w:t>负责编制相应的检验作业指导书。</w:t>
      </w:r>
    </w:p>
    <w:p w14:paraId="3CB4B8BB">
      <w:pPr>
        <w:pStyle w:val="Bodytext10"/>
        <w:numPr>
          <w:ilvl w:val="3"/>
          <w:numId w:val="1"/>
        </w:numPr>
        <w:tabs>
          <w:tab w:val="left" w:pos="680"/>
        </w:tabs>
        <w:spacing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质量部</w:t>
      </w:r>
      <w:r>
        <w:rPr>
          <w:color w:val="000000" w:themeColor="text1"/>
          <w:sz w:val="24"/>
          <w:szCs w:val="24"/>
          <w14:textFill>
            <w14:solidFill>
              <w14:schemeClr w14:val="tx1"/>
            </w14:solidFill>
          </w14:textFill>
        </w:rPr>
        <w:t>设立检测室，并配置与检验要求相适宜的检测仪器设备，检测仪器设备按《监视和测量</w:t>
      </w:r>
      <w:r>
        <w:rPr>
          <w:rFonts w:hint="eastAsia"/>
          <w:color w:val="000000" w:themeColor="text1"/>
          <w:sz w:val="24"/>
          <w:szCs w:val="24"/>
          <w:lang w:val="en-US" w:eastAsia="zh-CN"/>
          <w14:textFill>
            <w14:solidFill>
              <w14:schemeClr w14:val="tx1"/>
            </w14:solidFill>
          </w14:textFill>
        </w:rPr>
        <w:t>设备</w:t>
      </w:r>
      <w:r>
        <w:rPr>
          <w:color w:val="000000" w:themeColor="text1"/>
          <w:sz w:val="24"/>
          <w:szCs w:val="24"/>
          <w14:textFill>
            <w14:solidFill>
              <w14:schemeClr w14:val="tx1"/>
            </w14:solidFill>
          </w14:textFill>
        </w:rPr>
        <w:t>控制程序》规定进行定期的校准/检定并进行控制。</w:t>
      </w:r>
    </w:p>
    <w:p w14:paraId="76ACAF68">
      <w:pPr>
        <w:pStyle w:val="Bodytext10"/>
        <w:numPr>
          <w:ilvl w:val="3"/>
          <w:numId w:val="1"/>
        </w:numPr>
        <w:tabs>
          <w:tab w:val="left" w:pos="680"/>
        </w:tabs>
        <w:spacing w:line="360" w:lineRule="auto"/>
        <w:rPr>
          <w:rFonts w:eastAsia="PMingLiU"/>
          <w:sz w:val="24"/>
          <w:szCs w:val="24"/>
        </w:rPr>
      </w:pPr>
      <w:r>
        <w:rPr>
          <w:sz w:val="24"/>
          <w:szCs w:val="24"/>
        </w:rPr>
        <w:t>配置与生产规模相适应的检验人员，检验人员经过专业培</w:t>
      </w:r>
      <w:r>
        <w:rPr>
          <w:color w:val="000000" w:themeColor="text1"/>
          <w:sz w:val="24"/>
          <w:szCs w:val="24"/>
          <w14:textFill>
            <w14:solidFill>
              <w14:schemeClr w14:val="tx1"/>
            </w14:solidFill>
          </w14:textFill>
        </w:rPr>
        <w:t>训。</w:t>
      </w:r>
    </w:p>
    <w:p w14:paraId="36A8C40E">
      <w:pPr>
        <w:pStyle w:val="Bodytext10"/>
        <w:numPr>
          <w:ilvl w:val="2"/>
          <w:numId w:val="1"/>
        </w:numPr>
        <w:tabs>
          <w:tab w:val="left" w:pos="680"/>
        </w:tabs>
        <w:spacing w:line="360" w:lineRule="auto"/>
        <w:rPr>
          <w:sz w:val="24"/>
          <w:szCs w:val="24"/>
        </w:rPr>
      </w:pPr>
      <w:r>
        <w:rPr>
          <w:sz w:val="24"/>
          <w:szCs w:val="24"/>
        </w:rPr>
        <w:t>原材料进货检验</w:t>
      </w:r>
    </w:p>
    <w:p w14:paraId="46DF69C2">
      <w:pPr>
        <w:pStyle w:val="Bodytext10"/>
        <w:numPr>
          <w:ilvl w:val="3"/>
          <w:numId w:val="1"/>
        </w:numPr>
        <w:tabs>
          <w:tab w:val="left" w:pos="680"/>
        </w:tabs>
        <w:spacing w:line="360" w:lineRule="auto"/>
        <w:rPr>
          <w:sz w:val="24"/>
          <w:szCs w:val="24"/>
        </w:rPr>
      </w:pPr>
      <w:r>
        <w:rPr>
          <w:sz w:val="24"/>
          <w:szCs w:val="24"/>
        </w:rPr>
        <w:t>对购进的原辅材料、外</w:t>
      </w:r>
      <w:r>
        <w:rPr>
          <w:color w:val="202241"/>
          <w:sz w:val="24"/>
          <w:szCs w:val="24"/>
        </w:rPr>
        <w:t>协件，</w:t>
      </w:r>
      <w:r>
        <w:rPr>
          <w:rFonts w:hint="eastAsia"/>
          <w:sz w:val="24"/>
          <w:szCs w:val="24"/>
          <w:lang w:val="en-US" w:eastAsia="zh-CN"/>
        </w:rPr>
        <w:t>质量部</w:t>
      </w:r>
      <w:r>
        <w:rPr>
          <w:color w:val="202241"/>
          <w:sz w:val="24"/>
          <w:szCs w:val="24"/>
        </w:rPr>
        <w:t>根据检</w:t>
      </w:r>
      <w:r>
        <w:rPr>
          <w:sz w:val="24"/>
          <w:szCs w:val="24"/>
        </w:rPr>
        <w:t>验指导</w:t>
      </w:r>
      <w:r>
        <w:rPr>
          <w:color w:val="202241"/>
          <w:sz w:val="24"/>
          <w:szCs w:val="24"/>
        </w:rPr>
        <w:t>书的要</w:t>
      </w:r>
      <w:r>
        <w:rPr>
          <w:sz w:val="24"/>
          <w:szCs w:val="24"/>
        </w:rPr>
        <w:t>求对釆购</w:t>
      </w:r>
      <w:r>
        <w:rPr>
          <w:rFonts w:hint="eastAsia"/>
          <w:sz w:val="24"/>
          <w:szCs w:val="24"/>
          <w:lang w:val="en-US" w:eastAsia="zh-CN"/>
        </w:rPr>
        <w:t>的</w:t>
      </w:r>
      <w:r>
        <w:rPr>
          <w:sz w:val="24"/>
          <w:szCs w:val="24"/>
        </w:rPr>
        <w:t>原材料进行检验，并填写来料检验记录</w:t>
      </w:r>
      <w:r>
        <w:rPr>
          <w:rFonts w:hint="eastAsia"/>
          <w:sz w:val="24"/>
          <w:szCs w:val="24"/>
          <w:lang w:eastAsia="zh-CN"/>
        </w:rPr>
        <w:t>。</w:t>
      </w:r>
    </w:p>
    <w:p w14:paraId="39645CB6">
      <w:pPr>
        <w:pStyle w:val="Bodytext10"/>
        <w:numPr>
          <w:ilvl w:val="3"/>
          <w:numId w:val="1"/>
        </w:numPr>
        <w:tabs>
          <w:tab w:val="left" w:pos="680"/>
        </w:tabs>
        <w:spacing w:line="360" w:lineRule="auto"/>
        <w:rPr>
          <w:sz w:val="24"/>
          <w:szCs w:val="24"/>
        </w:rPr>
      </w:pPr>
      <w:r>
        <w:rPr>
          <w:rFonts w:hint="eastAsia"/>
          <w:sz w:val="24"/>
          <w:szCs w:val="24"/>
          <w:lang w:val="en-US" w:eastAsia="zh-CN"/>
        </w:rPr>
        <w:t>采购的材料到货后，由仓库管理员填写《原材料请验单》之后，仓库管理员通知检验员进行检验和验证，检验员按照检验规程实施检验和验证，将检验结果填写《来料检验报告》并形成检验记录。</w:t>
      </w:r>
    </w:p>
    <w:p w14:paraId="2607C7AE">
      <w:pPr>
        <w:pStyle w:val="Bodytext10"/>
        <w:numPr>
          <w:ilvl w:val="3"/>
          <w:numId w:val="1"/>
        </w:numPr>
        <w:tabs>
          <w:tab w:val="left" w:pos="680"/>
        </w:tabs>
        <w:spacing w:line="360" w:lineRule="auto"/>
        <w:rPr>
          <w:sz w:val="24"/>
          <w:szCs w:val="24"/>
        </w:rPr>
      </w:pPr>
      <w:r>
        <w:rPr>
          <w:rFonts w:hint="eastAsia"/>
          <w:sz w:val="24"/>
          <w:szCs w:val="24"/>
          <w:lang w:val="en-US" w:eastAsia="zh-CN"/>
        </w:rPr>
        <w:t>经检验和验证合格后，仓库管理员根据《来料检验报告》办理入库。</w:t>
      </w:r>
    </w:p>
    <w:p w14:paraId="11BB740A">
      <w:pPr>
        <w:pStyle w:val="Bodytext10"/>
        <w:numPr>
          <w:ilvl w:val="3"/>
          <w:numId w:val="1"/>
        </w:numPr>
        <w:tabs>
          <w:tab w:val="left" w:pos="680"/>
        </w:tabs>
        <w:spacing w:line="360" w:lineRule="auto"/>
        <w:rPr>
          <w:sz w:val="24"/>
          <w:szCs w:val="24"/>
        </w:rPr>
      </w:pPr>
      <w:r>
        <w:rPr>
          <w:rFonts w:hint="eastAsia"/>
          <w:sz w:val="24"/>
          <w:szCs w:val="24"/>
          <w:lang w:val="en-US" w:eastAsia="zh-CN"/>
        </w:rPr>
        <w:t>检验或验证不合格的材料，按照《不合格品管理程序》办理退货、报废或让步接收。</w:t>
      </w:r>
    </w:p>
    <w:p w14:paraId="6AE7D8CF">
      <w:pPr>
        <w:pStyle w:val="Bodytext10"/>
        <w:numPr>
          <w:ilvl w:val="3"/>
          <w:numId w:val="1"/>
        </w:numPr>
        <w:tabs>
          <w:tab w:val="left" w:pos="680"/>
        </w:tabs>
        <w:spacing w:line="360" w:lineRule="auto"/>
        <w:rPr>
          <w:sz w:val="24"/>
          <w:szCs w:val="24"/>
        </w:rPr>
      </w:pPr>
      <w:r>
        <w:rPr>
          <w:sz w:val="24"/>
          <w:szCs w:val="24"/>
        </w:rPr>
        <w:t>根据可追溯性范围的规定，</w:t>
      </w:r>
      <w:r>
        <w:rPr>
          <w:rFonts w:hint="eastAsia"/>
          <w:sz w:val="24"/>
          <w:szCs w:val="24"/>
          <w:lang w:val="en-US" w:eastAsia="zh-CN"/>
        </w:rPr>
        <w:t>综合部</w:t>
      </w:r>
      <w:r>
        <w:rPr>
          <w:sz w:val="24"/>
          <w:szCs w:val="24"/>
        </w:rPr>
        <w:t>保存采购资料的副本，包括《采购合同》、《采购申请单》等可</w:t>
      </w:r>
      <w:r>
        <w:rPr>
          <w:rFonts w:hint="eastAsia"/>
          <w:sz w:val="24"/>
          <w:szCs w:val="24"/>
          <w:lang w:val="en-US" w:eastAsia="zh-CN"/>
        </w:rPr>
        <w:t>追溯</w:t>
      </w:r>
      <w:r>
        <w:rPr>
          <w:sz w:val="24"/>
          <w:szCs w:val="24"/>
        </w:rPr>
        <w:t>性记录，以满足可追溯性要求。</w:t>
      </w:r>
    </w:p>
    <w:p w14:paraId="7CEFAE73">
      <w:pPr>
        <w:pStyle w:val="Bodytext10"/>
        <w:numPr>
          <w:ilvl w:val="2"/>
          <w:numId w:val="1"/>
        </w:numPr>
        <w:tabs>
          <w:tab w:val="left" w:pos="680"/>
        </w:tabs>
        <w:spacing w:line="360" w:lineRule="auto"/>
        <w:rPr>
          <w:sz w:val="24"/>
          <w:szCs w:val="24"/>
        </w:rPr>
      </w:pPr>
      <w:r>
        <w:rPr>
          <w:rFonts w:hint="eastAsia"/>
          <w:sz w:val="24"/>
          <w:szCs w:val="24"/>
        </w:rPr>
        <w:t>过</w:t>
      </w:r>
      <w:r>
        <w:rPr>
          <w:rFonts w:hint="eastAsia"/>
          <w:color w:val="202241"/>
          <w:sz w:val="24"/>
          <w:szCs w:val="24"/>
        </w:rPr>
        <w:t>程检验</w:t>
      </w:r>
    </w:p>
    <w:p w14:paraId="2475E530">
      <w:pPr>
        <w:pStyle w:val="Bodytext10"/>
        <w:numPr>
          <w:ilvl w:val="3"/>
          <w:numId w:val="1"/>
        </w:numPr>
        <w:tabs>
          <w:tab w:val="left" w:pos="680"/>
        </w:tabs>
        <w:spacing w:line="360" w:lineRule="auto"/>
        <w:rPr>
          <w:sz w:val="24"/>
          <w:szCs w:val="24"/>
        </w:rPr>
      </w:pPr>
      <w:r>
        <w:rPr>
          <w:rFonts w:hint="eastAsia"/>
          <w:sz w:val="24"/>
          <w:szCs w:val="24"/>
        </w:rPr>
        <w:t>自检与互检</w:t>
      </w:r>
    </w:p>
    <w:p w14:paraId="39B28FA3">
      <w:pPr>
        <w:pStyle w:val="Bodytext10"/>
        <w:spacing w:line="360" w:lineRule="auto"/>
        <w:ind w:firstLine="420"/>
        <w:jc w:val="both"/>
        <w:rPr>
          <w:rFonts w:eastAsia="PMingLiU"/>
          <w:sz w:val="24"/>
          <w:szCs w:val="24"/>
        </w:rPr>
      </w:pPr>
      <w:r>
        <w:rPr>
          <w:rFonts w:hint="eastAsia"/>
          <w:sz w:val="24"/>
          <w:szCs w:val="24"/>
        </w:rPr>
        <w:t>操作员工按工艺文件规定对</w:t>
      </w:r>
      <w:r>
        <w:rPr>
          <w:rFonts w:hint="eastAsia"/>
          <w:sz w:val="24"/>
          <w:szCs w:val="24"/>
          <w:lang w:eastAsia="zh-CN"/>
        </w:rPr>
        <w:t>本工序</w:t>
      </w:r>
      <w:r>
        <w:rPr>
          <w:rFonts w:hint="eastAsia"/>
          <w:sz w:val="24"/>
          <w:szCs w:val="24"/>
        </w:rPr>
        <w:t>产品</w:t>
      </w:r>
      <w:r>
        <w:rPr>
          <w:rFonts w:hint="eastAsia"/>
          <w:sz w:val="24"/>
          <w:szCs w:val="24"/>
          <w:lang w:eastAsia="zh-CN"/>
        </w:rPr>
        <w:t>质量</w:t>
      </w:r>
      <w:r>
        <w:rPr>
          <w:rFonts w:hint="eastAsia"/>
          <w:sz w:val="24"/>
          <w:szCs w:val="24"/>
        </w:rPr>
        <w:t>进行自检</w:t>
      </w:r>
      <w:r>
        <w:rPr>
          <w:rFonts w:hint="eastAsia"/>
          <w:sz w:val="24"/>
          <w:szCs w:val="24"/>
          <w:lang w:eastAsia="zh-CN"/>
        </w:rPr>
        <w:t>。</w:t>
      </w:r>
    </w:p>
    <w:p w14:paraId="5B4E9EA8">
      <w:pPr>
        <w:pStyle w:val="Bodytext10"/>
        <w:spacing w:line="360" w:lineRule="auto"/>
        <w:ind w:firstLine="420"/>
        <w:jc w:val="both"/>
        <w:rPr>
          <w:sz w:val="24"/>
          <w:szCs w:val="24"/>
        </w:rPr>
      </w:pPr>
      <w:r>
        <w:rPr>
          <w:rFonts w:hint="eastAsia"/>
          <w:sz w:val="24"/>
          <w:szCs w:val="24"/>
        </w:rPr>
        <w:t>对上道工序转来的产品进行检查，发现不合格品拣</w:t>
      </w:r>
      <w:r>
        <w:rPr>
          <w:rFonts w:hint="eastAsia"/>
          <w:color w:val="202241"/>
          <w:sz w:val="24"/>
          <w:szCs w:val="24"/>
        </w:rPr>
        <w:t>出并</w:t>
      </w:r>
      <w:r>
        <w:rPr>
          <w:rFonts w:hint="eastAsia"/>
          <w:sz w:val="24"/>
          <w:szCs w:val="24"/>
        </w:rPr>
        <w:t>隔离。</w:t>
      </w:r>
      <w:r>
        <w:rPr>
          <w:rFonts w:hint="eastAsia"/>
          <w:color w:val="202241"/>
          <w:sz w:val="24"/>
          <w:szCs w:val="24"/>
        </w:rPr>
        <w:t>对</w:t>
      </w:r>
      <w:r>
        <w:rPr>
          <w:rFonts w:hint="eastAsia"/>
          <w:sz w:val="24"/>
          <w:szCs w:val="24"/>
        </w:rPr>
        <w:t>于特殊过程、关键过程由操作员工做好过程参数的记录。</w:t>
      </w:r>
    </w:p>
    <w:p w14:paraId="7CDB88E2">
      <w:pPr>
        <w:pStyle w:val="Tablecaption10"/>
        <w:numPr>
          <w:ilvl w:val="3"/>
          <w:numId w:val="1"/>
        </w:numPr>
        <w:spacing w:line="360" w:lineRule="auto"/>
        <w:rPr>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质量部</w:t>
      </w:r>
      <w:r>
        <w:rPr>
          <w:rFonts w:hint="eastAsia"/>
          <w:color w:val="000000" w:themeColor="text1"/>
          <w:sz w:val="24"/>
          <w:szCs w:val="24"/>
          <w14:textFill>
            <w14:solidFill>
              <w14:schemeClr w14:val="tx1"/>
            </w14:solidFill>
          </w14:textFill>
        </w:rPr>
        <w:t>巡检：检验员按检验规范的规定，对过程产品进行巡检，巡检一般为抽检，必要时进行全检,检验结果记录在各工序的</w:t>
      </w:r>
      <w:r>
        <w:rPr>
          <w:rFonts w:hint="eastAsia"/>
          <w:color w:val="000000" w:themeColor="text1"/>
          <w:sz w:val="24"/>
          <w:szCs w:val="24"/>
          <w:lang w:val="zh-CN" w:eastAsia="zh-CN" w:bidi="zh-CN"/>
          <w14:textFill>
            <w14:solidFill>
              <w14:schemeClr w14:val="tx1"/>
            </w14:solidFill>
          </w14:textFill>
        </w:rPr>
        <w:t>“过</w:t>
      </w:r>
      <w:r>
        <w:rPr>
          <w:rFonts w:hint="eastAsia"/>
          <w:color w:val="000000" w:themeColor="text1"/>
          <w:sz w:val="24"/>
          <w:szCs w:val="24"/>
          <w14:textFill>
            <w14:solidFill>
              <w14:schemeClr w14:val="tx1"/>
            </w14:solidFill>
          </w14:textFill>
        </w:rPr>
        <w:t>程检验记录”中，随产品流转至下道工序。发现不合</w:t>
      </w:r>
      <w:r>
        <w:rPr>
          <w:rFonts w:hint="eastAsia"/>
          <w:color w:val="000000" w:themeColor="text1"/>
          <w:sz w:val="24"/>
          <w:szCs w:val="24"/>
          <w:lang w:val="en-US" w:eastAsia="zh-CN"/>
          <w14:textFill>
            <w14:solidFill>
              <w14:schemeClr w14:val="tx1"/>
            </w14:solidFill>
          </w14:textFill>
        </w:rPr>
        <w:t>合格品按《不合格品控制程序》进行处理。</w:t>
      </w:r>
    </w:p>
    <w:p w14:paraId="60EADEA0">
      <w:pPr>
        <w:pStyle w:val="Tablecaption10"/>
        <w:numPr>
          <w:ilvl w:val="2"/>
          <w:numId w:val="1"/>
        </w:numPr>
        <w:spacing w:line="360" w:lineRule="auto"/>
        <w:rPr>
          <w:sz w:val="24"/>
          <w:szCs w:val="24"/>
          <w:lang w:val="en-US" w:eastAsia="zh-CN" w:bidi="en-US"/>
        </w:rPr>
      </w:pPr>
      <w:r>
        <w:rPr>
          <w:rFonts w:hint="eastAsia"/>
          <w:sz w:val="24"/>
          <w:szCs w:val="24"/>
          <w:lang w:val="en-US" w:eastAsia="zh-CN" w:bidi="en-US"/>
        </w:rPr>
        <w:t>成品检验</w:t>
      </w:r>
    </w:p>
    <w:p w14:paraId="3E49CC6E">
      <w:pPr>
        <w:pStyle w:val="Bodytext10"/>
        <w:numPr>
          <w:ilvl w:val="3"/>
          <w:numId w:val="1"/>
        </w:numPr>
        <w:spacing w:before="160" w:after="160" w:line="360" w:lineRule="auto"/>
        <w:rPr>
          <w:sz w:val="24"/>
          <w:szCs w:val="24"/>
        </w:rPr>
      </w:pPr>
      <w:r>
        <w:rPr>
          <w:rFonts w:hint="eastAsia"/>
          <w:sz w:val="24"/>
          <w:szCs w:val="24"/>
          <w:lang w:val="en-US" w:eastAsia="zh-CN" w:bidi="en-US"/>
        </w:rPr>
        <w:t>成品生产完成后，由</w:t>
      </w:r>
      <w:r>
        <w:rPr>
          <w:rFonts w:hint="eastAsia"/>
          <w:sz w:val="24"/>
          <w:szCs w:val="24"/>
          <w:lang w:val="en-US" w:eastAsia="zh-CN" w:bidi="en-US"/>
        </w:rPr>
        <w:t>生产部</w:t>
      </w:r>
      <w:r>
        <w:rPr>
          <w:rFonts w:hint="eastAsia"/>
          <w:sz w:val="24"/>
          <w:szCs w:val="24"/>
          <w:lang w:val="en-US" w:eastAsia="zh-CN" w:bidi="en-US"/>
        </w:rPr>
        <w:t>负责将其放置在成品待检区。</w:t>
      </w:r>
    </w:p>
    <w:p w14:paraId="2CB5D1A9">
      <w:pPr>
        <w:pStyle w:val="Bodytext10"/>
        <w:numPr>
          <w:ilvl w:val="3"/>
          <w:numId w:val="1"/>
        </w:numPr>
        <w:spacing w:before="160" w:after="160"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生产人员填写《成品请验单》，送</w:t>
      </w:r>
      <w:r>
        <w:rPr>
          <w:rFonts w:hint="eastAsia"/>
          <w:color w:val="000000" w:themeColor="text1"/>
          <w:sz w:val="24"/>
          <w:szCs w:val="24"/>
          <w:lang w:val="en-US" w:eastAsia="zh-CN"/>
          <w14:textFill>
            <w14:solidFill>
              <w14:schemeClr w14:val="tx1"/>
            </w14:solidFill>
          </w14:textFill>
        </w:rPr>
        <w:t>质量部</w:t>
      </w:r>
      <w:r>
        <w:rPr>
          <w:rFonts w:hint="eastAsia"/>
          <w:color w:val="000000" w:themeColor="text1"/>
          <w:sz w:val="24"/>
          <w:szCs w:val="24"/>
          <w14:textFill>
            <w14:solidFill>
              <w14:schemeClr w14:val="tx1"/>
            </w14:solidFill>
          </w14:textFill>
        </w:rPr>
        <w:t>进行成品检验。检验员根据成品检验规程</w:t>
      </w:r>
      <w:r>
        <w:rPr>
          <w:rFonts w:hint="eastAsia"/>
          <w:color w:val="000000" w:themeColor="text1"/>
          <w:sz w:val="24"/>
          <w:szCs w:val="24"/>
          <w:lang w:val="en-US" w:eastAsia="zh-CN"/>
          <w14:textFill>
            <w14:solidFill>
              <w14:schemeClr w14:val="tx1"/>
            </w14:solidFill>
          </w14:textFill>
        </w:rPr>
        <w:t>进行成品</w:t>
      </w:r>
      <w:r>
        <w:rPr>
          <w:rFonts w:hint="eastAsia"/>
          <w:color w:val="000000" w:themeColor="text1"/>
          <w:sz w:val="24"/>
          <w:szCs w:val="24"/>
          <w14:textFill>
            <w14:solidFill>
              <w14:schemeClr w14:val="tx1"/>
            </w14:solidFill>
          </w14:textFill>
        </w:rPr>
        <w:t>检验，对各项检验数据进行检验、判断，在确认所有规定的检验项目己完成且符合要求后，由检验员出具《</w:t>
      </w:r>
      <w:r>
        <w:rPr>
          <w:rFonts w:hint="eastAsia"/>
          <w:color w:val="000000" w:themeColor="text1"/>
          <w:sz w:val="24"/>
          <w:szCs w:val="24"/>
          <w:lang w:eastAsia="zh-CN"/>
          <w14:textFill>
            <w14:solidFill>
              <w14:schemeClr w14:val="tx1"/>
            </w14:solidFill>
          </w14:textFill>
        </w:rPr>
        <w:t>产品终检</w:t>
      </w:r>
      <w:r>
        <w:rPr>
          <w:rFonts w:hint="eastAsia"/>
          <w:color w:val="000000" w:themeColor="text1"/>
          <w:sz w:val="24"/>
          <w:szCs w:val="24"/>
          <w14:textFill>
            <w14:solidFill>
              <w14:schemeClr w14:val="tx1"/>
            </w14:solidFill>
          </w14:textFill>
        </w:rPr>
        <w:t>报告》，并经复核人审核，</w:t>
      </w:r>
      <w:r>
        <w:rPr>
          <w:rFonts w:hint="eastAsia"/>
          <w:color w:val="000000" w:themeColor="text1"/>
          <w:sz w:val="24"/>
          <w:szCs w:val="24"/>
          <w:lang w:val="en-US" w:eastAsia="zh-CN"/>
          <w14:textFill>
            <w14:solidFill>
              <w14:schemeClr w14:val="tx1"/>
            </w14:solidFill>
          </w14:textFill>
        </w:rPr>
        <w:t>质量部</w:t>
      </w:r>
      <w:r>
        <w:rPr>
          <w:rFonts w:hint="eastAsia"/>
          <w:color w:val="000000" w:themeColor="text1"/>
          <w:sz w:val="24"/>
          <w:szCs w:val="24"/>
          <w14:textFill>
            <w14:solidFill>
              <w14:schemeClr w14:val="tx1"/>
            </w14:solidFill>
          </w14:textFill>
        </w:rPr>
        <w:t>负责人批准后发放报告。</w:t>
      </w:r>
    </w:p>
    <w:p w14:paraId="1DFE7998">
      <w:pPr>
        <w:pStyle w:val="Bodytext10"/>
        <w:numPr>
          <w:ilvl w:val="3"/>
          <w:numId w:val="1"/>
        </w:numPr>
        <w:spacing w:before="160" w:after="160" w:line="360" w:lineRule="auto"/>
        <w:rPr>
          <w:color w:val="000000" w:themeColor="text1"/>
          <w:sz w:val="24"/>
          <w:szCs w:val="24"/>
          <w14:textFill>
            <w14:solidFill>
              <w14:schemeClr w14:val="tx1"/>
            </w14:solidFill>
          </w14:textFill>
        </w:rPr>
      </w:pPr>
      <w:r>
        <w:rPr>
          <w:rFonts w:hint="eastAsia"/>
          <w:color w:val="000000" w:themeColor="text1"/>
          <w:sz w:val="24"/>
          <w:szCs w:val="24"/>
          <w:lang w:val="en-US" w:eastAsia="zh-CN" w:bidi="en-US"/>
          <w14:textFill>
            <w14:solidFill>
              <w14:schemeClr w14:val="tx1"/>
            </w14:solidFill>
          </w14:textFill>
        </w:rPr>
        <w:t>生产部</w:t>
      </w:r>
      <w:r>
        <w:rPr>
          <w:rFonts w:hint="eastAsia"/>
          <w:color w:val="000000" w:themeColor="text1"/>
          <w:sz w:val="24"/>
          <w:szCs w:val="24"/>
          <w14:textFill>
            <w14:solidFill>
              <w14:schemeClr w14:val="tx1"/>
            </w14:solidFill>
          </w14:textFill>
        </w:rPr>
        <w:t>按《留样管理制度》规定对每批产品留样，并做好留样观察记录。</w:t>
      </w:r>
    </w:p>
    <w:p w14:paraId="2E3F23B7">
      <w:pPr>
        <w:pStyle w:val="Bodytext10"/>
        <w:numPr>
          <w:ilvl w:val="3"/>
          <w:numId w:val="1"/>
        </w:numPr>
        <w:spacing w:before="160" w:after="160" w:line="360" w:lineRule="auto"/>
        <w:rPr>
          <w:sz w:val="24"/>
          <w:szCs w:val="24"/>
        </w:rPr>
      </w:pPr>
      <w:r>
        <w:rPr>
          <w:rFonts w:hint="eastAsia"/>
          <w:color w:val="000000" w:themeColor="text1"/>
          <w:sz w:val="24"/>
          <w:szCs w:val="24"/>
          <w:lang w:val="en-US" w:eastAsia="zh-CN"/>
          <w14:textFill>
            <w14:solidFill>
              <w14:schemeClr w14:val="tx1"/>
            </w14:solidFill>
          </w14:textFill>
        </w:rPr>
        <w:t>质量部</w:t>
      </w:r>
      <w:r>
        <w:rPr>
          <w:rFonts w:hint="eastAsia"/>
          <w:sz w:val="24"/>
          <w:szCs w:val="24"/>
        </w:rPr>
        <w:t>依据检验记录，对各项检验数据进行分析、判断，在确认所有规定的检验项目已完成且符合要求后，</w:t>
      </w:r>
      <w:r>
        <w:rPr>
          <w:rFonts w:hint="eastAsia"/>
          <w:sz w:val="24"/>
          <w:szCs w:val="24"/>
          <w:lang w:val="en-US" w:eastAsia="zh-CN" w:bidi="en-US"/>
        </w:rPr>
        <w:t>检验员</w:t>
      </w:r>
      <w:r>
        <w:rPr>
          <w:rFonts w:hint="eastAsia"/>
          <w:sz w:val="24"/>
          <w:szCs w:val="24"/>
        </w:rPr>
        <w:t>出</w:t>
      </w:r>
      <w:r>
        <w:rPr>
          <w:rFonts w:hint="eastAsia"/>
          <w:color w:val="000000" w:themeColor="text1"/>
          <w:sz w:val="24"/>
          <w:szCs w:val="24"/>
          <w14:textFill>
            <w14:solidFill>
              <w14:schemeClr w14:val="tx1"/>
            </w14:solidFill>
          </w14:textFill>
        </w:rPr>
        <w:t>具</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产品放行审核记录</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w:t>
      </w:r>
      <w:r>
        <w:rPr>
          <w:rFonts w:hint="eastAsia"/>
          <w:sz w:val="24"/>
          <w:szCs w:val="24"/>
        </w:rPr>
        <w:t>经</w:t>
      </w:r>
      <w:r>
        <w:rPr>
          <w:rFonts w:hint="eastAsia"/>
          <w:sz w:val="24"/>
          <w:szCs w:val="24"/>
          <w:lang w:val="en-US" w:eastAsia="zh-CN"/>
        </w:rPr>
        <w:t>质量部</w:t>
      </w:r>
      <w:r>
        <w:rPr>
          <w:rFonts w:hint="eastAsia"/>
          <w:sz w:val="24"/>
          <w:szCs w:val="24"/>
        </w:rPr>
        <w:t>负责人复核后发放。</w:t>
      </w:r>
    </w:p>
    <w:p w14:paraId="422C1DF1">
      <w:pPr>
        <w:pStyle w:val="Bodytext10"/>
        <w:numPr>
          <w:ilvl w:val="3"/>
          <w:numId w:val="1"/>
        </w:numPr>
        <w:spacing w:before="160" w:after="160" w:line="360" w:lineRule="auto"/>
        <w:rPr>
          <w:sz w:val="24"/>
          <w:szCs w:val="24"/>
        </w:rPr>
      </w:pPr>
      <w:r>
        <w:rPr>
          <w:rFonts w:hint="eastAsia"/>
          <w:sz w:val="24"/>
          <w:szCs w:val="24"/>
        </w:rPr>
        <w:t>经检验不合格的产品，按《不合格品控制程序》进行处理。</w:t>
      </w:r>
    </w:p>
    <w:p w14:paraId="1E956B75">
      <w:pPr>
        <w:pStyle w:val="Bodytext10"/>
        <w:numPr>
          <w:ilvl w:val="3"/>
          <w:numId w:val="1"/>
        </w:numPr>
        <w:spacing w:before="160" w:after="160"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仓库根据订单将待发货产品置于发货区，收到</w:t>
      </w:r>
      <w:r>
        <w:rPr>
          <w:rFonts w:hint="eastAsia"/>
          <w:color w:val="000000" w:themeColor="text1"/>
          <w:sz w:val="24"/>
          <w:szCs w:val="24"/>
          <w:lang w:eastAsia="zh-CN"/>
          <w14:textFill>
            <w14:solidFill>
              <w14:schemeClr w14:val="tx1"/>
            </w14:solidFill>
          </w14:textFill>
        </w:rPr>
        <w:t>《产品终检</w:t>
      </w:r>
      <w:r>
        <w:rPr>
          <w:rFonts w:hint="eastAsia"/>
          <w:color w:val="000000" w:themeColor="text1"/>
          <w:sz w:val="24"/>
          <w:szCs w:val="24"/>
          <w14:textFill>
            <w14:solidFill>
              <w14:schemeClr w14:val="tx1"/>
            </w14:solidFill>
          </w14:textFill>
        </w:rPr>
        <w:t>报告</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和</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产品放行审核记录</w:t>
      </w:r>
      <w:r>
        <w:rPr>
          <w:rFonts w:hint="eastAsia"/>
          <w:color w:val="000000" w:themeColor="text1"/>
          <w:sz w:val="24"/>
          <w:szCs w:val="24"/>
          <w:lang w:eastAsia="zh-CN"/>
          <w14:textFill>
            <w14:solidFill>
              <w14:schemeClr w14:val="tx1"/>
            </w14:solidFill>
          </w14:textFill>
        </w:rPr>
        <w:t>》</w:t>
      </w:r>
      <w:r>
        <w:rPr>
          <w:rFonts w:hint="eastAsia"/>
          <w:color w:val="000000" w:themeColor="text1"/>
          <w:sz w:val="24"/>
          <w:szCs w:val="24"/>
          <w14:textFill>
            <w14:solidFill>
              <w14:schemeClr w14:val="tx1"/>
            </w14:solidFill>
          </w14:textFill>
        </w:rPr>
        <w:t>后方可发货。</w:t>
      </w:r>
    </w:p>
    <w:p w14:paraId="001B4939">
      <w:pPr>
        <w:pStyle w:val="Bodytext10"/>
        <w:numPr>
          <w:ilvl w:val="2"/>
          <w:numId w:val="1"/>
        </w:numPr>
        <w:spacing w:before="160" w:after="160" w:line="360" w:lineRule="auto"/>
        <w:rPr>
          <w:color w:val="000000" w:themeColor="text1"/>
          <w:sz w:val="24"/>
          <w:szCs w:val="24"/>
          <w14:textFill>
            <w14:solidFill>
              <w14:schemeClr w14:val="tx1"/>
            </w14:solidFill>
          </w14:textFill>
        </w:rPr>
      </w:pPr>
      <w:r>
        <w:rPr>
          <w:rFonts w:hint="eastAsia"/>
          <w:sz w:val="24"/>
          <w:szCs w:val="24"/>
        </w:rPr>
        <w:t>成品监视与测量</w:t>
      </w:r>
    </w:p>
    <w:p w14:paraId="647B67AF">
      <w:pPr>
        <w:pStyle w:val="Bodytext10"/>
        <w:numPr>
          <w:ilvl w:val="3"/>
          <w:numId w:val="1"/>
        </w:numPr>
        <w:spacing w:before="160" w:after="160" w:line="360" w:lineRule="auto"/>
        <w:rPr>
          <w:sz w:val="24"/>
          <w:szCs w:val="24"/>
        </w:rPr>
      </w:pPr>
      <w:r>
        <w:rPr>
          <w:rFonts w:hint="eastAsia"/>
          <w:color w:val="000000" w:themeColor="text1"/>
          <w:sz w:val="24"/>
          <w:szCs w:val="24"/>
          <w14:textFill>
            <w14:solidFill>
              <w14:schemeClr w14:val="tx1"/>
            </w14:solidFill>
          </w14:textFill>
        </w:rPr>
        <w:t>对库存产品的监视与测量，仓库按《仓库管理制度》对库存产品定期进行</w:t>
      </w:r>
      <w:r>
        <w:rPr>
          <w:rFonts w:hint="eastAsia"/>
          <w:sz w:val="24"/>
          <w:szCs w:val="24"/>
        </w:rPr>
        <w:t>盘点，核查有效期，对接近有效期产品及时报告，对超期产品按《不合格品控制程序》进行处理。</w:t>
      </w:r>
    </w:p>
    <w:p w14:paraId="7A35CB68">
      <w:pPr>
        <w:pStyle w:val="Bodytext10"/>
        <w:numPr>
          <w:ilvl w:val="3"/>
          <w:numId w:val="1"/>
        </w:numPr>
        <w:spacing w:before="160" w:after="160"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对发出产品的监视与测量，</w:t>
      </w:r>
      <w:r>
        <w:rPr>
          <w:rFonts w:hint="eastAsia"/>
          <w:color w:val="000000" w:themeColor="text1"/>
          <w:sz w:val="24"/>
          <w:szCs w:val="24"/>
          <w:lang w:val="en-US" w:eastAsia="zh-CN"/>
          <w14:textFill>
            <w14:solidFill>
              <w14:schemeClr w14:val="tx1"/>
            </w14:solidFill>
          </w14:textFill>
        </w:rPr>
        <w:t>供销部</w:t>
      </w:r>
      <w:r>
        <w:rPr>
          <w:rFonts w:hint="eastAsia"/>
          <w:color w:val="000000" w:themeColor="text1"/>
          <w:sz w:val="24"/>
          <w:szCs w:val="24"/>
          <w14:textFill>
            <w14:solidFill>
              <w14:schemeClr w14:val="tx1"/>
            </w14:solidFill>
          </w14:textFill>
        </w:rPr>
        <w:t>通过定期和不定期的顾客走访及市场信息反馈，对超期或不合格产品及时召回，按《不合格品控制程序》进行处理。</w:t>
      </w:r>
    </w:p>
    <w:p w14:paraId="0F784134">
      <w:pPr>
        <w:pStyle w:val="Bodytext10"/>
        <w:numPr>
          <w:ilvl w:val="2"/>
          <w:numId w:val="1"/>
        </w:numPr>
        <w:spacing w:before="160" w:after="160" w:line="360" w:lineRule="auto"/>
        <w:rPr>
          <w:sz w:val="24"/>
          <w:szCs w:val="24"/>
        </w:rPr>
      </w:pPr>
      <w:r>
        <w:rPr>
          <w:rFonts w:hint="eastAsia"/>
          <w:sz w:val="24"/>
          <w:szCs w:val="24"/>
        </w:rPr>
        <w:t>检验员应满足岗位要求，上岗前须培训合格后方能上岗。</w:t>
      </w:r>
    </w:p>
    <w:p w14:paraId="61D30EBE">
      <w:pPr>
        <w:pStyle w:val="Bodytext10"/>
        <w:numPr>
          <w:ilvl w:val="2"/>
          <w:numId w:val="1"/>
        </w:numPr>
        <w:spacing w:before="160" w:after="160" w:line="360" w:lineRule="auto"/>
        <w:rPr>
          <w:sz w:val="24"/>
          <w:szCs w:val="24"/>
        </w:rPr>
      </w:pPr>
      <w:r>
        <w:rPr>
          <w:rFonts w:hint="eastAsia"/>
          <w:sz w:val="24"/>
          <w:szCs w:val="24"/>
        </w:rPr>
        <w:t>与过程监视和测量过程有关的记录由各相关部门负责保存，与产品监视和测量有关记录由</w:t>
      </w:r>
      <w:bookmarkStart w:id="14" w:name="_GoBack"/>
      <w:r>
        <w:rPr>
          <w:rFonts w:hint="eastAsia"/>
          <w:sz w:val="24"/>
          <w:szCs w:val="24"/>
          <w:lang w:eastAsia="zh-CN"/>
        </w:rPr>
        <w:t>质量部</w:t>
      </w:r>
      <w:bookmarkEnd w:id="14"/>
      <w:r>
        <w:rPr>
          <w:rFonts w:hint="eastAsia"/>
          <w:sz w:val="24"/>
          <w:szCs w:val="24"/>
        </w:rPr>
        <w:t>负责保存，除另有规定外，保存期限不少于</w:t>
      </w:r>
      <w:r>
        <w:rPr>
          <w:rFonts w:hint="eastAsia"/>
          <w:sz w:val="24"/>
          <w:szCs w:val="24"/>
          <w:lang w:eastAsia="zh-CN"/>
        </w:rPr>
        <w:t>1</w:t>
      </w:r>
      <w:r>
        <w:rPr>
          <w:rFonts w:eastAsia="PMingLiU"/>
          <w:sz w:val="24"/>
          <w:szCs w:val="24"/>
        </w:rPr>
        <w:t>0</w:t>
      </w:r>
      <w:r>
        <w:rPr>
          <w:rFonts w:hint="eastAsia"/>
          <w:sz w:val="24"/>
          <w:szCs w:val="24"/>
        </w:rPr>
        <w:t>年。</w:t>
      </w:r>
    </w:p>
    <w:p w14:paraId="2A86A0B5">
      <w:pPr>
        <w:pStyle w:val="Bodytext10"/>
        <w:numPr>
          <w:ilvl w:val="0"/>
          <w:numId w:val="1"/>
        </w:numPr>
        <w:spacing w:before="160" w:after="160" w:line="360" w:lineRule="auto"/>
        <w:rPr>
          <w:sz w:val="24"/>
          <w:szCs w:val="24"/>
        </w:rPr>
      </w:pPr>
      <w:r>
        <w:rPr>
          <w:rFonts w:hint="eastAsia"/>
          <w:sz w:val="24"/>
          <w:szCs w:val="24"/>
          <w:lang w:val="en-US" w:eastAsia="zh-CN"/>
        </w:rPr>
        <w:t>相关文件/表格</w:t>
      </w:r>
    </w:p>
    <w:p w14:paraId="35B4B4E5">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val="en-US" w:eastAsia="zh-CN"/>
          <w14:textFill>
            <w14:solidFill>
              <w14:schemeClr w14:val="tx1"/>
            </w14:solidFill>
          </w14:textFill>
        </w:rPr>
        <w:t>XASL</w:t>
      </w:r>
      <w:r>
        <w:rPr>
          <w:color w:val="000000" w:themeColor="text1"/>
          <w:sz w:val="24"/>
          <w:szCs w:val="24"/>
          <w:lang w:val="en-US" w:eastAsia="zh-CN"/>
          <w14:textFill>
            <w14:solidFill>
              <w14:schemeClr w14:val="tx1"/>
            </w14:solidFill>
          </w14:textFill>
        </w:rPr>
        <w:t>-QP-002</w:t>
      </w:r>
      <w:r>
        <w:rPr>
          <w:rFonts w:hint="eastAsia"/>
          <w:color w:val="000000" w:themeColor="text1"/>
          <w:sz w:val="24"/>
          <w:szCs w:val="24"/>
          <w:lang w:val="en-US" w:eastAsia="zh-CN"/>
          <w14:textFill>
            <w14:solidFill>
              <w14:schemeClr w14:val="tx1"/>
            </w14:solidFill>
          </w14:textFill>
        </w:rPr>
        <w:t>《记录控制程序》</w:t>
      </w:r>
    </w:p>
    <w:p w14:paraId="2A314729">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val="en-US" w:eastAsia="zh-CN"/>
          <w14:textFill>
            <w14:solidFill>
              <w14:schemeClr w14:val="tx1"/>
            </w14:solidFill>
          </w14:textFill>
        </w:rPr>
        <w:t>XASL</w:t>
      </w:r>
      <w:r>
        <w:rPr>
          <w:color w:val="000000" w:themeColor="text1"/>
          <w:sz w:val="24"/>
          <w:szCs w:val="24"/>
          <w:lang w:val="en-US" w:eastAsia="zh-CN"/>
          <w14:textFill>
            <w14:solidFill>
              <w14:schemeClr w14:val="tx1"/>
            </w14:solidFill>
          </w14:textFill>
        </w:rPr>
        <w:t>-QP-018</w:t>
      </w:r>
      <w:r>
        <w:rPr>
          <w:rFonts w:hint="eastAsia"/>
          <w:color w:val="000000" w:themeColor="text1"/>
          <w:sz w:val="24"/>
          <w:szCs w:val="24"/>
          <w:lang w:val="en-US" w:eastAsia="zh-CN"/>
          <w14:textFill>
            <w14:solidFill>
              <w14:schemeClr w14:val="tx1"/>
            </w14:solidFill>
          </w14:textFill>
        </w:rPr>
        <w:t>《产品标识和可追溯性控制程序》</w:t>
      </w:r>
    </w:p>
    <w:p w14:paraId="230D2C72">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val="en-US" w:eastAsia="zh-CN"/>
          <w14:textFill>
            <w14:solidFill>
              <w14:schemeClr w14:val="tx1"/>
            </w14:solidFill>
          </w14:textFill>
        </w:rPr>
        <w:t>XASL</w:t>
      </w:r>
      <w:r>
        <w:rPr>
          <w:color w:val="000000" w:themeColor="text1"/>
          <w:sz w:val="24"/>
          <w:szCs w:val="24"/>
          <w:lang w:val="en-US" w:eastAsia="zh-CN"/>
          <w14:textFill>
            <w14:solidFill>
              <w14:schemeClr w14:val="tx1"/>
            </w14:solidFill>
          </w14:textFill>
        </w:rPr>
        <w:t>-QP-013</w:t>
      </w:r>
      <w:r>
        <w:rPr>
          <w:rFonts w:hint="eastAsia"/>
          <w:color w:val="000000" w:themeColor="text1"/>
          <w:sz w:val="24"/>
          <w:szCs w:val="24"/>
          <w:lang w:val="en-US" w:eastAsia="zh-CN"/>
          <w14:textFill>
            <w14:solidFill>
              <w14:schemeClr w14:val="tx1"/>
            </w14:solidFill>
          </w14:textFill>
        </w:rPr>
        <w:t>《</w:t>
      </w:r>
      <w:r>
        <w:rPr>
          <w:color w:val="000000" w:themeColor="text1"/>
          <w:sz w:val="24"/>
          <w:szCs w:val="24"/>
          <w14:textFill>
            <w14:solidFill>
              <w14:schemeClr w14:val="tx1"/>
            </w14:solidFill>
          </w14:textFill>
        </w:rPr>
        <w:t>不合格品控制程序</w:t>
      </w:r>
      <w:r>
        <w:rPr>
          <w:rFonts w:hint="eastAsia"/>
          <w:color w:val="000000" w:themeColor="text1"/>
          <w:sz w:val="24"/>
          <w:szCs w:val="24"/>
          <w:lang w:val="en-US" w:eastAsia="zh-CN"/>
          <w14:textFill>
            <w14:solidFill>
              <w14:schemeClr w14:val="tx1"/>
            </w14:solidFill>
          </w14:textFill>
        </w:rPr>
        <w:t>》</w:t>
      </w:r>
    </w:p>
    <w:p w14:paraId="3073451E">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val="en-US" w:eastAsia="zh-CN"/>
          <w14:textFill>
            <w14:solidFill>
              <w14:schemeClr w14:val="tx1"/>
            </w14:solidFill>
          </w14:textFill>
        </w:rPr>
        <w:t>XASL</w:t>
      </w:r>
      <w:r>
        <w:rPr>
          <w:color w:val="000000" w:themeColor="text1"/>
          <w:sz w:val="24"/>
          <w:szCs w:val="24"/>
          <w:lang w:val="en-US" w:eastAsia="zh-CN"/>
          <w14:textFill>
            <w14:solidFill>
              <w14:schemeClr w14:val="tx1"/>
            </w14:solidFill>
          </w14:textFill>
        </w:rPr>
        <w:t>-QP-020</w:t>
      </w:r>
      <w:r>
        <w:rPr>
          <w:rFonts w:hint="eastAsia"/>
          <w:color w:val="000000" w:themeColor="text1"/>
          <w:sz w:val="24"/>
          <w:szCs w:val="24"/>
          <w:lang w:val="en-US" w:eastAsia="zh-CN"/>
          <w14:textFill>
            <w14:solidFill>
              <w14:schemeClr w14:val="tx1"/>
            </w14:solidFill>
          </w14:textFill>
        </w:rPr>
        <w:t>《</w:t>
      </w:r>
      <w:r>
        <w:rPr>
          <w:color w:val="000000" w:themeColor="text1"/>
          <w:sz w:val="24"/>
          <w:szCs w:val="24"/>
          <w14:textFill>
            <w14:solidFill>
              <w14:schemeClr w14:val="tx1"/>
            </w14:solidFill>
          </w14:textFill>
        </w:rPr>
        <w:t>监视和测量装置控制程序</w:t>
      </w:r>
      <w:r>
        <w:rPr>
          <w:rFonts w:hint="eastAsia"/>
          <w:color w:val="000000" w:themeColor="text1"/>
          <w:sz w:val="24"/>
          <w:szCs w:val="24"/>
          <w:lang w:val="en-US" w:eastAsia="zh-CN"/>
          <w14:textFill>
            <w14:solidFill>
              <w14:schemeClr w14:val="tx1"/>
            </w14:solidFill>
          </w14:textFill>
        </w:rPr>
        <w:t>》</w:t>
      </w:r>
    </w:p>
    <w:p w14:paraId="0B60D71B">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eastAsia="zh-CN"/>
          <w14:textFill>
            <w14:solidFill>
              <w14:schemeClr w14:val="tx1"/>
            </w14:solidFill>
          </w14:textFill>
        </w:rPr>
        <w:t>XASL</w:t>
      </w:r>
      <w:r>
        <w:rPr>
          <w:color w:val="000000" w:themeColor="text1"/>
          <w:sz w:val="24"/>
          <w:szCs w:val="24"/>
          <w:lang w:eastAsia="zh-CN"/>
          <w14:textFill>
            <w14:solidFill>
              <w14:schemeClr w14:val="tx1"/>
            </w14:solidFill>
          </w14:textFill>
        </w:rPr>
        <w:t>-QP-025</w:t>
      </w:r>
      <w:r>
        <w:rPr>
          <w:rFonts w:hint="eastAsia"/>
          <w:color w:val="000000" w:themeColor="text1"/>
          <w:sz w:val="24"/>
          <w:szCs w:val="24"/>
          <w:lang w:eastAsia="zh-CN"/>
          <w14:textFill>
            <w14:solidFill>
              <w14:schemeClr w14:val="tx1"/>
            </w14:solidFill>
          </w14:textFill>
        </w:rPr>
        <w:t>《</w:t>
      </w:r>
      <w:r>
        <w:rPr>
          <w:color w:val="000000" w:themeColor="text1"/>
          <w:sz w:val="24"/>
          <w:szCs w:val="24"/>
          <w14:textFill>
            <w14:solidFill>
              <w14:schemeClr w14:val="tx1"/>
            </w14:solidFill>
          </w14:textFill>
        </w:rPr>
        <w:t>纠正预防措施控制程序</w:t>
      </w:r>
      <w:r>
        <w:rPr>
          <w:rFonts w:hint="eastAsia"/>
          <w:color w:val="000000" w:themeColor="text1"/>
          <w:sz w:val="24"/>
          <w:szCs w:val="24"/>
          <w:lang w:eastAsia="zh-CN"/>
          <w14:textFill>
            <w14:solidFill>
              <w14:schemeClr w14:val="tx1"/>
            </w14:solidFill>
          </w14:textFill>
        </w:rPr>
        <w:t>》</w:t>
      </w:r>
    </w:p>
    <w:p w14:paraId="53FFB141">
      <w:pPr>
        <w:pStyle w:val="Bodytext10"/>
        <w:numPr>
          <w:ilvl w:val="0"/>
          <w:numId w:val="1"/>
        </w:numPr>
        <w:spacing w:before="160" w:after="160" w:line="360" w:lineRule="auto"/>
        <w:rPr>
          <w:color w:val="000000" w:themeColor="text1"/>
          <w:sz w:val="24"/>
          <w:szCs w:val="24"/>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相关表格</w:t>
      </w:r>
    </w:p>
    <w:p w14:paraId="6928036A">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val="en-US" w:eastAsia="zh-CN"/>
          <w14:textFill>
            <w14:solidFill>
              <w14:schemeClr w14:val="tx1"/>
            </w14:solidFill>
          </w14:textFill>
        </w:rPr>
        <w:t>XASL</w:t>
      </w:r>
      <w:r>
        <w:rPr>
          <w:color w:val="000000" w:themeColor="text1"/>
          <w:sz w:val="24"/>
          <w:szCs w:val="24"/>
          <w:lang w:val="en-US" w:eastAsia="zh-CN"/>
          <w14:textFill>
            <w14:solidFill>
              <w14:schemeClr w14:val="tx1"/>
            </w14:solidFill>
          </w14:textFill>
        </w:rPr>
        <w:t>-QR-024</w:t>
      </w:r>
      <w:r>
        <w:rPr>
          <w:rFonts w:hint="eastAsia"/>
          <w:color w:val="000000" w:themeColor="text1"/>
          <w:sz w:val="24"/>
          <w:szCs w:val="24"/>
          <w:lang w:val="en-US" w:eastAsia="zh-CN"/>
          <w14:textFill>
            <w14:solidFill>
              <w14:schemeClr w14:val="tx1"/>
            </w14:solidFill>
          </w14:textFill>
        </w:rPr>
        <w:t>《原材料请验单》</w:t>
      </w:r>
    </w:p>
    <w:p w14:paraId="353FF46E">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val="en-US" w:eastAsia="zh-CN"/>
          <w14:textFill>
            <w14:solidFill>
              <w14:schemeClr w14:val="tx1"/>
            </w14:solidFill>
          </w14:textFill>
        </w:rPr>
        <w:t>XASL</w:t>
      </w:r>
      <w:r>
        <w:rPr>
          <w:color w:val="000000" w:themeColor="text1"/>
          <w:sz w:val="24"/>
          <w:szCs w:val="24"/>
          <w:lang w:val="en-US" w:eastAsia="zh-CN"/>
          <w14:textFill>
            <w14:solidFill>
              <w14:schemeClr w14:val="tx1"/>
            </w14:solidFill>
          </w14:textFill>
        </w:rPr>
        <w:t>-QR-025</w:t>
      </w:r>
      <w:r>
        <w:rPr>
          <w:rFonts w:hint="eastAsia"/>
          <w:color w:val="000000" w:themeColor="text1"/>
          <w:sz w:val="24"/>
          <w:szCs w:val="24"/>
          <w:lang w:val="en-US" w:eastAsia="zh-CN"/>
          <w14:textFill>
            <w14:solidFill>
              <w14:schemeClr w14:val="tx1"/>
            </w14:solidFill>
          </w14:textFill>
        </w:rPr>
        <w:t>《</w:t>
      </w:r>
      <w:r>
        <w:rPr>
          <w:color w:val="000000" w:themeColor="text1"/>
          <w:sz w:val="24"/>
          <w:szCs w:val="24"/>
          <w14:textFill>
            <w14:solidFill>
              <w14:schemeClr w14:val="tx1"/>
            </w14:solidFill>
          </w14:textFill>
        </w:rPr>
        <w:t>来料检验报告</w:t>
      </w:r>
      <w:r>
        <w:rPr>
          <w:rFonts w:hint="eastAsia"/>
          <w:color w:val="000000" w:themeColor="text1"/>
          <w:sz w:val="24"/>
          <w:szCs w:val="24"/>
          <w:lang w:val="en-US" w:eastAsia="zh-CN"/>
          <w14:textFill>
            <w14:solidFill>
              <w14:schemeClr w14:val="tx1"/>
            </w14:solidFill>
          </w14:textFill>
        </w:rPr>
        <w:t>》</w:t>
      </w:r>
    </w:p>
    <w:p w14:paraId="4B596F8E">
      <w:pPr>
        <w:pStyle w:val="Bodytext10"/>
        <w:spacing w:before="160" w:after="160" w:line="360" w:lineRule="auto"/>
        <w:rPr>
          <w:color w:val="000000" w:themeColor="text1"/>
          <w:sz w:val="24"/>
          <w:szCs w:val="24"/>
          <w14:textFill>
            <w14:solidFill>
              <w14:schemeClr w14:val="tx1"/>
            </w14:solidFill>
          </w14:textFill>
        </w:rPr>
      </w:pPr>
      <w:r>
        <w:rPr>
          <w:color w:val="000000" w:themeColor="text1"/>
          <w:sz w:val="24"/>
          <w:szCs w:val="24"/>
          <w:lang w:eastAsia="zh-CN"/>
          <w14:textFill>
            <w14:solidFill>
              <w14:schemeClr w14:val="tx1"/>
            </w14:solidFill>
          </w14:textFill>
        </w:rPr>
        <w:t>XASL</w:t>
      </w:r>
      <w:r>
        <w:rPr>
          <w:color w:val="000000" w:themeColor="text1"/>
          <w:sz w:val="24"/>
          <w:szCs w:val="24"/>
          <w:lang w:eastAsia="zh-CN"/>
          <w14:textFill>
            <w14:solidFill>
              <w14:schemeClr w14:val="tx1"/>
            </w14:solidFill>
          </w14:textFill>
        </w:rPr>
        <w:t>-QR-02</w:t>
      </w:r>
      <w:r>
        <w:rPr>
          <w:rFonts w:eastAsia="PMingLiU"/>
          <w:color w:val="000000" w:themeColor="text1"/>
          <w:sz w:val="24"/>
          <w:szCs w:val="24"/>
          <w14:textFill>
            <w14:solidFill>
              <w14:schemeClr w14:val="tx1"/>
            </w14:solidFill>
          </w14:textFill>
        </w:rPr>
        <w:t>6</w:t>
      </w:r>
      <w:r>
        <w:rPr>
          <w:rFonts w:hint="eastAsia"/>
          <w:color w:val="000000" w:themeColor="text1"/>
          <w:sz w:val="24"/>
          <w:szCs w:val="24"/>
          <w:lang w:eastAsia="zh-CN"/>
          <w14:textFill>
            <w14:solidFill>
              <w14:schemeClr w14:val="tx1"/>
            </w14:solidFill>
          </w14:textFill>
        </w:rPr>
        <w:t>《</w:t>
      </w:r>
      <w:r>
        <w:rPr>
          <w:color w:val="000000" w:themeColor="text1"/>
          <w:sz w:val="24"/>
          <w:szCs w:val="24"/>
          <w14:textFill>
            <w14:solidFill>
              <w14:schemeClr w14:val="tx1"/>
            </w14:solidFill>
          </w14:textFill>
        </w:rPr>
        <w:t>成品</w:t>
      </w:r>
      <w:r>
        <w:rPr>
          <w:rFonts w:hint="eastAsia"/>
          <w:color w:val="000000" w:themeColor="text1"/>
          <w:sz w:val="24"/>
          <w:szCs w:val="24"/>
          <w:lang w:eastAsia="zh-CN"/>
          <w14:textFill>
            <w14:solidFill>
              <w14:schemeClr w14:val="tx1"/>
            </w14:solidFill>
          </w14:textFill>
        </w:rPr>
        <w:t>请</w:t>
      </w:r>
      <w:r>
        <w:rPr>
          <w:color w:val="000000" w:themeColor="text1"/>
          <w:sz w:val="24"/>
          <w:szCs w:val="24"/>
          <w14:textFill>
            <w14:solidFill>
              <w14:schemeClr w14:val="tx1"/>
            </w14:solidFill>
          </w14:textFill>
        </w:rPr>
        <w:t>验单</w:t>
      </w:r>
      <w:r>
        <w:rPr>
          <w:rFonts w:hint="eastAsia"/>
          <w:color w:val="000000" w:themeColor="text1"/>
          <w:sz w:val="24"/>
          <w:szCs w:val="24"/>
          <w:lang w:eastAsia="zh-CN"/>
          <w14:textFill>
            <w14:solidFill>
              <w14:schemeClr w14:val="tx1"/>
            </w14:solidFill>
          </w14:textFill>
        </w:rPr>
        <w:t>》</w:t>
      </w:r>
    </w:p>
    <w:p w14:paraId="7CDD7010">
      <w:pPr>
        <w:pStyle w:val="Bodytext10"/>
        <w:spacing w:before="160" w:after="160" w:line="360" w:lineRule="auto"/>
        <w:rPr>
          <w:rFonts w:ascii="华文宋体" w:eastAsia="华文宋体" w:hAnsi="华文宋体"/>
          <w:color w:val="000000" w:themeColor="text1"/>
          <w:sz w:val="24"/>
          <w:szCs w:val="24"/>
          <w:lang w:eastAsia="zh-CN"/>
          <w14:textFill>
            <w14:solidFill>
              <w14:schemeClr w14:val="tx1"/>
            </w14:solidFill>
          </w14:textFill>
        </w:rPr>
      </w:pPr>
      <w:r>
        <w:rPr>
          <w:rFonts w:ascii="华文宋体" w:eastAsia="华文宋体" w:hAnsi="华文宋体"/>
          <w:color w:val="000000" w:themeColor="text1"/>
          <w:sz w:val="24"/>
          <w:szCs w:val="24"/>
          <w:lang w:eastAsia="zh-CN"/>
          <w14:textFill>
            <w14:solidFill>
              <w14:schemeClr w14:val="tx1"/>
            </w14:solidFill>
          </w14:textFill>
        </w:rPr>
        <w:t>XASL</w:t>
      </w:r>
      <w:r>
        <w:rPr>
          <w:rFonts w:ascii="华文宋体" w:eastAsia="华文宋体" w:hAnsi="华文宋体"/>
          <w:color w:val="000000" w:themeColor="text1"/>
          <w:sz w:val="24"/>
          <w:szCs w:val="24"/>
          <w:lang w:eastAsia="zh-CN"/>
          <w14:textFill>
            <w14:solidFill>
              <w14:schemeClr w14:val="tx1"/>
            </w14:solidFill>
          </w14:textFill>
        </w:rPr>
        <w:t>-QR-02</w:t>
      </w:r>
      <w:r>
        <w:rPr>
          <w:rFonts w:ascii="华文宋体" w:eastAsia="华文宋体" w:hAnsi="华文宋体"/>
          <w:color w:val="000000" w:themeColor="text1"/>
          <w:sz w:val="24"/>
          <w:szCs w:val="24"/>
          <w14:textFill>
            <w14:solidFill>
              <w14:schemeClr w14:val="tx1"/>
            </w14:solidFill>
          </w14:textFill>
        </w:rPr>
        <w:t>7</w:t>
      </w:r>
      <w:r>
        <w:rPr>
          <w:rFonts w:ascii="华文宋体" w:eastAsia="华文宋体" w:hAnsi="华文宋体" w:hint="eastAsia"/>
          <w:color w:val="000000" w:themeColor="text1"/>
          <w:sz w:val="24"/>
          <w:szCs w:val="24"/>
          <w:lang w:eastAsia="zh-CN"/>
          <w14:textFill>
            <w14:solidFill>
              <w14:schemeClr w14:val="tx1"/>
            </w14:solidFill>
          </w14:textFill>
        </w:rPr>
        <w:t>《</w:t>
      </w:r>
      <w:r>
        <w:rPr>
          <w:rFonts w:ascii="华文宋体" w:eastAsia="华文宋体" w:hAnsi="华文宋体"/>
          <w:color w:val="000000" w:themeColor="text1"/>
          <w:sz w:val="24"/>
          <w:szCs w:val="24"/>
          <w14:textFill>
            <w14:solidFill>
              <w14:schemeClr w14:val="tx1"/>
            </w14:solidFill>
          </w14:textFill>
        </w:rPr>
        <w:t>成品检验</w:t>
      </w:r>
      <w:r>
        <w:rPr>
          <w:rFonts w:ascii="华文宋体" w:eastAsia="华文宋体" w:hAnsi="华文宋体" w:hint="eastAsia"/>
          <w:color w:val="000000" w:themeColor="text1"/>
          <w:sz w:val="24"/>
          <w:szCs w:val="24"/>
          <w:lang w:eastAsia="zh-CN"/>
          <w14:textFill>
            <w14:solidFill>
              <w14:schemeClr w14:val="tx1"/>
            </w14:solidFill>
          </w14:textFill>
        </w:rPr>
        <w:t>记录》</w:t>
      </w:r>
      <w:bookmarkStart w:id="15" w:name="bookmark14"/>
      <w:bookmarkEnd w:id="15"/>
      <w:bookmarkStart w:id="16" w:name="bookmark15"/>
      <w:bookmarkEnd w:id="16"/>
    </w:p>
    <w:p w14:paraId="694EFB30">
      <w:pPr>
        <w:pStyle w:val="Bodytext10"/>
        <w:spacing w:before="160" w:after="160" w:line="360" w:lineRule="auto"/>
        <w:rPr>
          <w:rFonts w:ascii="华文宋体" w:eastAsia="华文宋体" w:hAnsi="华文宋体"/>
          <w:color w:val="000000" w:themeColor="text1"/>
          <w:sz w:val="24"/>
          <w:szCs w:val="24"/>
          <w:lang w:eastAsia="zh-CN"/>
          <w14:textFill>
            <w14:solidFill>
              <w14:schemeClr w14:val="tx1"/>
            </w14:solidFill>
          </w14:textFill>
        </w:rPr>
      </w:pPr>
      <w:r>
        <w:rPr>
          <w:rFonts w:ascii="华文宋体" w:eastAsia="华文宋体" w:hAnsi="华文宋体"/>
          <w:color w:val="000000" w:themeColor="text1"/>
          <w:sz w:val="24"/>
          <w:szCs w:val="24"/>
          <w:lang w:eastAsia="zh-CN"/>
          <w14:textFill>
            <w14:solidFill>
              <w14:schemeClr w14:val="tx1"/>
            </w14:solidFill>
          </w14:textFill>
        </w:rPr>
        <w:t>XASL</w:t>
      </w:r>
      <w:r>
        <w:rPr>
          <w:rFonts w:ascii="华文宋体" w:eastAsia="华文宋体" w:hAnsi="华文宋体"/>
          <w:color w:val="000000" w:themeColor="text1"/>
          <w:sz w:val="24"/>
          <w:szCs w:val="24"/>
          <w:lang w:eastAsia="zh-CN"/>
          <w14:textFill>
            <w14:solidFill>
              <w14:schemeClr w14:val="tx1"/>
            </w14:solidFill>
          </w14:textFill>
        </w:rPr>
        <w:t>-QR-0</w:t>
      </w:r>
      <w:r>
        <w:rPr>
          <w:rFonts w:ascii="华文宋体" w:eastAsia="PMingLiU" w:hAnsi="华文宋体"/>
          <w:color w:val="000000" w:themeColor="text1"/>
          <w:sz w:val="24"/>
          <w:szCs w:val="24"/>
          <w14:textFill>
            <w14:solidFill>
              <w14:schemeClr w14:val="tx1"/>
            </w14:solidFill>
          </w14:textFill>
        </w:rPr>
        <w:t>38</w:t>
      </w:r>
      <w:r>
        <w:rPr>
          <w:rFonts w:ascii="华文宋体" w:eastAsia="华文宋体" w:hAnsi="华文宋体" w:hint="eastAsia"/>
          <w:color w:val="000000" w:themeColor="text1"/>
          <w:sz w:val="24"/>
          <w:szCs w:val="24"/>
          <w:lang w:eastAsia="zh-CN"/>
          <w14:textFill>
            <w14:solidFill>
              <w14:schemeClr w14:val="tx1"/>
            </w14:solidFill>
          </w14:textFill>
        </w:rPr>
        <w:t>《产品终检报告》</w:t>
      </w:r>
    </w:p>
    <w:p w14:paraId="66C90FDE">
      <w:pPr>
        <w:pStyle w:val="Bodytext10"/>
        <w:spacing w:before="160" w:after="160" w:line="360" w:lineRule="auto"/>
        <w:rPr>
          <w:rFonts w:ascii="华文宋体" w:eastAsia="华文宋体" w:hAnsi="华文宋体"/>
          <w:color w:val="000000" w:themeColor="text1"/>
          <w:sz w:val="24"/>
          <w:szCs w:val="24"/>
          <w14:textFill>
            <w14:solidFill>
              <w14:schemeClr w14:val="tx1"/>
            </w14:solidFill>
          </w14:textFill>
        </w:rPr>
      </w:pPr>
      <w:r>
        <w:rPr>
          <w:rFonts w:ascii="华文宋体" w:eastAsia="华文宋体" w:hAnsi="华文宋体"/>
          <w:color w:val="000000" w:themeColor="text1"/>
          <w:sz w:val="24"/>
          <w:szCs w:val="24"/>
          <w:lang w:eastAsia="zh-CN"/>
          <w14:textFill>
            <w14:solidFill>
              <w14:schemeClr w14:val="tx1"/>
            </w14:solidFill>
          </w14:textFill>
        </w:rPr>
        <w:t>XASL</w:t>
      </w:r>
      <w:r>
        <w:rPr>
          <w:rFonts w:ascii="华文宋体" w:eastAsia="华文宋体" w:hAnsi="华文宋体"/>
          <w:color w:val="000000" w:themeColor="text1"/>
          <w:sz w:val="24"/>
          <w:szCs w:val="24"/>
          <w:lang w:eastAsia="zh-CN"/>
          <w14:textFill>
            <w14:solidFill>
              <w14:schemeClr w14:val="tx1"/>
            </w14:solidFill>
          </w14:textFill>
        </w:rPr>
        <w:t>-QR-02</w:t>
      </w:r>
      <w:r>
        <w:rPr>
          <w:rFonts w:ascii="华文宋体" w:eastAsia="华文宋体" w:hAnsi="华文宋体"/>
          <w:color w:val="000000" w:themeColor="text1"/>
          <w:sz w:val="24"/>
          <w:szCs w:val="24"/>
          <w14:textFill>
            <w14:solidFill>
              <w14:schemeClr w14:val="tx1"/>
            </w14:solidFill>
          </w14:textFill>
        </w:rPr>
        <w:t>8</w:t>
      </w:r>
      <w:r>
        <w:rPr>
          <w:rFonts w:ascii="华文宋体" w:eastAsia="华文宋体" w:hAnsi="华文宋体" w:hint="eastAsia"/>
          <w:color w:val="000000" w:themeColor="text1"/>
          <w:sz w:val="24"/>
          <w:szCs w:val="24"/>
          <w:lang w:eastAsia="zh-CN"/>
          <w14:textFill>
            <w14:solidFill>
              <w14:schemeClr w14:val="tx1"/>
            </w14:solidFill>
          </w14:textFill>
        </w:rPr>
        <w:t>《产品放行审核记录》</w:t>
      </w:r>
    </w:p>
    <w:p w14:paraId="27712CB9">
      <w:pPr>
        <w:pStyle w:val="Bodytext10"/>
        <w:numPr>
          <w:ilvl w:val="0"/>
          <w:numId w:val="1"/>
        </w:numPr>
        <w:spacing w:before="160" w:after="160" w:line="360" w:lineRule="auto"/>
        <w:rPr>
          <w:sz w:val="24"/>
          <w:szCs w:val="24"/>
        </w:rPr>
      </w:pPr>
      <w:r>
        <w:rPr>
          <w:rFonts w:hint="eastAsia"/>
          <w:sz w:val="24"/>
          <w:szCs w:val="24"/>
          <w:lang w:val="en-US" w:eastAsia="zh-CN"/>
        </w:rPr>
        <w:t>修订历史</w:t>
      </w:r>
    </w:p>
    <w:tbl>
      <w:tblPr>
        <w:tblStyle w:val="TableGrid"/>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87"/>
        <w:gridCol w:w="2187"/>
        <w:gridCol w:w="4374"/>
      </w:tblGrid>
      <w:tr w14:paraId="42BAF03D">
        <w:tblPrEx>
          <w:tblW w:w="8748" w:type="dxa"/>
          <w:tblInd w:w="0" w:type="dxa"/>
          <w:tblLayout w:type="fixed"/>
        </w:tblPrEx>
        <w:tc>
          <w:tcPr>
            <w:tcW w:w="8748" w:type="dxa"/>
            <w:gridSpan w:val="3"/>
          </w:tcPr>
          <w:p w14:paraId="6DB42092">
            <w:pPr>
              <w:spacing w:before="147" w:line="360" w:lineRule="auto"/>
              <w:jc w:val="center"/>
              <w:rPr>
                <w:rFonts w:ascii="宋体" w:eastAsia="宋体" w:hAnsi="宋体" w:cs="宋体"/>
                <w:spacing w:val="8"/>
                <w:lang w:eastAsia="zh-CN"/>
              </w:rPr>
            </w:pPr>
            <w:r>
              <w:rPr>
                <w:rFonts w:ascii="宋体" w:eastAsia="宋体" w:hAnsi="宋体" w:cs="宋体" w:hint="eastAsia"/>
                <w:spacing w:val="8"/>
                <w:lang w:eastAsia="zh-CN"/>
              </w:rPr>
              <w:t>修订历史</w:t>
            </w:r>
          </w:p>
        </w:tc>
      </w:tr>
      <w:tr w14:paraId="7FE19D9D">
        <w:tblPrEx>
          <w:tblW w:w="8748" w:type="dxa"/>
          <w:tblInd w:w="0" w:type="dxa"/>
          <w:tblLayout w:type="fixed"/>
        </w:tblPrEx>
        <w:tc>
          <w:tcPr>
            <w:tcW w:w="2187" w:type="dxa"/>
          </w:tcPr>
          <w:p w14:paraId="636207CD">
            <w:pPr>
              <w:spacing w:before="147" w:line="360" w:lineRule="auto"/>
              <w:jc w:val="center"/>
              <w:rPr>
                <w:rFonts w:ascii="宋体" w:eastAsia="宋体" w:hAnsi="宋体" w:cs="宋体"/>
                <w:spacing w:val="8"/>
                <w:lang w:eastAsia="zh-CN"/>
              </w:rPr>
            </w:pPr>
            <w:r>
              <w:rPr>
                <w:rFonts w:ascii="宋体" w:eastAsia="宋体" w:hAnsi="宋体" w:cs="宋体" w:hint="eastAsia"/>
                <w:spacing w:val="8"/>
                <w:lang w:eastAsia="zh-CN"/>
              </w:rPr>
              <w:t>版本</w:t>
            </w:r>
          </w:p>
        </w:tc>
        <w:tc>
          <w:tcPr>
            <w:tcW w:w="2187" w:type="dxa"/>
          </w:tcPr>
          <w:p w14:paraId="2C4A148A">
            <w:pPr>
              <w:spacing w:before="147" w:line="360" w:lineRule="auto"/>
              <w:jc w:val="center"/>
              <w:rPr>
                <w:rFonts w:ascii="宋体" w:eastAsia="宋体" w:hAnsi="宋体" w:cs="宋体"/>
                <w:spacing w:val="8"/>
                <w:lang w:eastAsia="zh-CN"/>
              </w:rPr>
            </w:pPr>
            <w:r>
              <w:rPr>
                <w:rFonts w:ascii="宋体" w:eastAsia="宋体" w:hAnsi="宋体" w:cs="宋体" w:hint="eastAsia"/>
                <w:spacing w:val="8"/>
                <w:lang w:eastAsia="zh-CN"/>
              </w:rPr>
              <w:t>生效日期</w:t>
            </w:r>
          </w:p>
        </w:tc>
        <w:tc>
          <w:tcPr>
            <w:tcW w:w="4374" w:type="dxa"/>
          </w:tcPr>
          <w:p w14:paraId="524990A4">
            <w:pPr>
              <w:spacing w:before="147" w:line="360" w:lineRule="auto"/>
              <w:jc w:val="center"/>
              <w:rPr>
                <w:rFonts w:ascii="宋体" w:eastAsia="宋体" w:hAnsi="宋体" w:cs="宋体"/>
                <w:spacing w:val="8"/>
                <w:lang w:eastAsia="zh-CN"/>
              </w:rPr>
            </w:pPr>
            <w:r>
              <w:rPr>
                <w:rFonts w:ascii="宋体" w:eastAsia="宋体" w:hAnsi="宋体" w:cs="宋体" w:hint="eastAsia"/>
                <w:spacing w:val="8"/>
                <w:lang w:eastAsia="zh-CN"/>
              </w:rPr>
              <w:t>更改记录</w:t>
            </w:r>
          </w:p>
        </w:tc>
      </w:tr>
      <w:tr w14:paraId="0A21D191">
        <w:tblPrEx>
          <w:tblW w:w="8748" w:type="dxa"/>
          <w:tblInd w:w="0" w:type="dxa"/>
          <w:tblLayout w:type="fixed"/>
        </w:tblPrEx>
        <w:tc>
          <w:tcPr>
            <w:tcW w:w="2187" w:type="dxa"/>
          </w:tcPr>
          <w:p w14:paraId="03573380">
            <w:pPr>
              <w:spacing w:before="147" w:line="360" w:lineRule="auto"/>
              <w:jc w:val="center"/>
              <w:rPr>
                <w:rFonts w:ascii="宋体" w:eastAsia="宋体" w:hAnsi="宋体" w:cs="宋体"/>
                <w:spacing w:val="8"/>
                <w:lang w:eastAsia="zh-CN"/>
              </w:rPr>
            </w:pPr>
            <w:r>
              <w:rPr>
                <w:rFonts w:ascii="宋体" w:eastAsia="宋体" w:hAnsi="宋体" w:cs="宋体" w:hint="eastAsia"/>
                <w:spacing w:val="8"/>
                <w:lang w:eastAsia="zh-CN"/>
              </w:rPr>
              <w:t>A/0</w:t>
            </w:r>
          </w:p>
        </w:tc>
        <w:tc>
          <w:tcPr>
            <w:tcW w:w="2187" w:type="dxa"/>
          </w:tcPr>
          <w:p w14:paraId="7CCFF99D">
            <w:pPr>
              <w:spacing w:before="147" w:line="360" w:lineRule="auto"/>
              <w:jc w:val="center"/>
              <w:rPr>
                <w:rFonts w:ascii="宋体" w:eastAsia="宋体" w:hAnsi="宋体" w:cs="宋体"/>
                <w:spacing w:val="8"/>
                <w:lang w:eastAsia="zh-CN"/>
              </w:rPr>
            </w:pPr>
            <w:r>
              <w:rPr>
                <w:rFonts w:ascii="宋体" w:eastAsia="宋体" w:hAnsi="宋体" w:cs="宋体" w:hint="eastAsia"/>
                <w:spacing w:val="8"/>
                <w:lang w:eastAsia="zh-CN"/>
              </w:rPr>
              <w:t>2026.02.05</w:t>
            </w:r>
          </w:p>
        </w:tc>
        <w:tc>
          <w:tcPr>
            <w:tcW w:w="4374" w:type="dxa"/>
          </w:tcPr>
          <w:p w14:paraId="416AD240">
            <w:pPr>
              <w:spacing w:before="147" w:line="360" w:lineRule="auto"/>
              <w:jc w:val="center"/>
              <w:rPr>
                <w:rFonts w:ascii="宋体" w:eastAsia="宋体" w:hAnsi="宋体" w:cs="宋体"/>
                <w:spacing w:val="8"/>
                <w:lang w:eastAsia="zh-CN"/>
              </w:rPr>
            </w:pPr>
            <w:r>
              <w:rPr>
                <w:rFonts w:ascii="宋体" w:eastAsia="宋体" w:hAnsi="宋体" w:cs="宋体" w:hint="eastAsia"/>
                <w:spacing w:val="8"/>
                <w:lang w:eastAsia="zh-CN"/>
              </w:rPr>
              <w:t>新文件发放</w:t>
            </w:r>
          </w:p>
        </w:tc>
      </w:tr>
    </w:tbl>
    <w:p w14:paraId="26D137A0">
      <w:pPr>
        <w:pStyle w:val="Bodytext10"/>
        <w:spacing w:before="160" w:after="160" w:line="240" w:lineRule="auto"/>
      </w:pPr>
    </w:p>
    <w:sectPr>
      <w:headerReference w:type="default" r:id="rId4"/>
      <w:footerReference w:type="default" r:id="rId5"/>
      <w:pgSz w:w="11900" w:h="16840"/>
      <w:pgMar w:top="806" w:right="644" w:bottom="1328" w:left="1100" w:header="378" w:footer="900" w:gutter="0"/>
      <w:pgNumType w:start="1"/>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华文宋体">
    <w:altName w:val="宋体"/>
    <w:panose1 w:val="02010600040101010101"/>
    <w:charset w:val="86"/>
    <w:family w:val="auto"/>
    <w:pitch w:val="default"/>
    <w:sig w:usb0="00000000" w:usb1="00000000" w:usb2="00000010" w:usb3="00000000" w:csb0="0004009F" w:csb1="00000000"/>
  </w:font>
  <w:font w:name="华文彩云">
    <w:altName w:val="微软雅黑"/>
    <w:panose1 w:val="0201080004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Arial Unicode MS">
    <w:altName w:val="宋体"/>
    <w:panose1 w:val="020B0604020202020204"/>
    <w:charset w:val="86"/>
    <w:family w:val="swiss"/>
    <w:pitch w:val="default"/>
    <w:sig w:usb0="00000000" w:usb1="00000000" w:usb2="0000003F" w:usb3="00000000" w:csb0="003F01FF" w:csb1="00000000"/>
  </w:font>
  <w:font w:name="华文新魏">
    <w:altName w:val="宋体"/>
    <w:panose1 w:val="02010800040101010101"/>
    <w:charset w:val="86"/>
    <w:family w:val="auto"/>
    <w:pitch w:val="default"/>
    <w:sig w:usb0="00000000" w:usb1="00000000" w:usb2="00000010" w:usb3="00000000" w:csb0="00040000" w:csb1="00000000"/>
  </w:font>
  <w:font w:name="华文细黑">
    <w:altName w:val="微软雅黑"/>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009744683"/>
      <w:docPartObj>
        <w:docPartGallery w:val="autotext"/>
      </w:docPartObj>
    </w:sdtPr>
    <w:sdtContent>
      <w:sdt>
        <w:sdtPr>
          <w:id w:val="1728636285"/>
          <w:docPartObj>
            <w:docPartGallery w:val="autotext"/>
          </w:docPartObj>
        </w:sdtPr>
        <w:sdtContent>
          <w:p w14:paraId="082D68BF">
            <w:pPr>
              <w:pStyle w:val="Footer"/>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rPr>
              <w:t>5</w:t>
            </w:r>
            <w:r>
              <w:rPr>
                <w:b/>
                <w:bCs/>
                <w:sz w:val="24"/>
                <w:szCs w:val="24"/>
              </w:rPr>
              <w:fldChar w:fldCharType="end"/>
            </w:r>
          </w:p>
        </w:sdtContent>
      </w:sdt>
    </w:sdtContent>
  </w:sdt>
  <w:p w14:paraId="7417FEA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Normal"/>
      <w:tblW w:w="9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924"/>
      <w:gridCol w:w="1693"/>
      <w:gridCol w:w="3114"/>
      <w:gridCol w:w="3208"/>
    </w:tblGrid>
    <w:tr w14:paraId="3A1E2B33">
      <w:tblPrEx>
        <w:tblW w:w="9939" w:type="dxa"/>
        <w:tblLayout w:type="fixed"/>
      </w:tblPrEx>
      <w:trPr>
        <w:cantSplit/>
        <w:trHeight w:val="405"/>
      </w:trPr>
      <w:tc>
        <w:tcPr>
          <w:tcW w:w="1924" w:type="dxa"/>
          <w:vAlign w:val="center"/>
        </w:tcPr>
        <w:p w14:paraId="54EF8C88">
          <w:pPr>
            <w:pStyle w:val="Header"/>
            <w:pBdr>
              <w:bottom w:val="none" w:sz="0" w:space="0" w:color="auto"/>
            </w:pBdr>
            <w:rPr>
              <w:rFonts w:ascii="华文彩云" w:eastAsia="华文彩云" w:hAnsi="Arial Unicode MS" w:cs="Arial Unicode MS"/>
              <w:b/>
              <w:bCs/>
              <w:sz w:val="52"/>
              <w:szCs w:val="52"/>
              <w:lang w:eastAsia="zh-CN"/>
            </w:rPr>
          </w:pPr>
        </w:p>
      </w:tc>
      <w:tc>
        <w:tcPr>
          <w:tcW w:w="4807" w:type="dxa"/>
          <w:gridSpan w:val="2"/>
          <w:vAlign w:val="center"/>
        </w:tcPr>
        <w:p w14:paraId="72FE50CC">
          <w:pPr>
            <w:pStyle w:val="Header"/>
            <w:pBdr>
              <w:bottom w:val="none" w:sz="0" w:space="0" w:color="auto"/>
            </w:pBdr>
            <w:rPr>
              <w:rFonts w:ascii="宋体" w:hAnsi="宋体"/>
              <w:b/>
              <w:sz w:val="32"/>
              <w:szCs w:val="32"/>
            </w:rPr>
          </w:pPr>
          <w:r>
            <w:rPr>
              <w:rFonts w:ascii="宋体" w:hAnsi="宋体" w:hint="eastAsia"/>
              <w:b/>
              <w:sz w:val="32"/>
              <w:szCs w:val="32"/>
            </w:rPr>
            <w:t>河北雄安尚龙医疗科技有限公司</w:t>
          </w:r>
        </w:p>
        <w:p w14:paraId="0A950E1F">
          <w:pPr>
            <w:pStyle w:val="Header"/>
            <w:pBdr>
              <w:bottom w:val="none" w:sz="0" w:space="0" w:color="auto"/>
            </w:pBdr>
            <w:rPr>
              <w:rFonts w:ascii="华文新魏" w:eastAsia="宋体" w:hAnsi="华文细黑"/>
              <w:b/>
              <w:sz w:val="28"/>
              <w:szCs w:val="28"/>
              <w:lang w:eastAsia="zh-CN"/>
            </w:rPr>
          </w:pPr>
          <w:r>
            <w:rPr>
              <w:rFonts w:ascii="宋体" w:eastAsia="宋体" w:hAnsi="宋体" w:hint="eastAsia"/>
              <w:b/>
              <w:sz w:val="32"/>
              <w:szCs w:val="32"/>
              <w:lang w:eastAsia="zh-CN"/>
            </w:rPr>
            <w:t>过程和产品监视测量程序</w:t>
          </w:r>
        </w:p>
      </w:tc>
      <w:tc>
        <w:tcPr>
          <w:tcW w:w="3208" w:type="dxa"/>
          <w:vAlign w:val="center"/>
        </w:tcPr>
        <w:p w14:paraId="3D499EDE">
          <w:pPr>
            <w:pStyle w:val="Header"/>
            <w:pBdr>
              <w:bottom w:val="none" w:sz="0" w:space="0" w:color="auto"/>
            </w:pBdr>
            <w:spacing w:line="360" w:lineRule="auto"/>
            <w:jc w:val="both"/>
            <w:rPr>
              <w:rFonts w:ascii="宋体" w:eastAsia="宋体" w:hAnsi="宋体"/>
              <w:sz w:val="21"/>
              <w:szCs w:val="21"/>
              <w:lang w:eastAsia="zh-CN"/>
            </w:rPr>
          </w:pPr>
          <w:r>
            <w:rPr>
              <w:rFonts w:ascii="宋体" w:eastAsia="宋体" w:hAnsi="宋体" w:hint="eastAsia"/>
              <w:sz w:val="21"/>
              <w:szCs w:val="21"/>
              <w:lang w:eastAsia="zh-CN"/>
            </w:rPr>
            <w:t>文件编号</w:t>
          </w:r>
          <w:r>
            <w:rPr>
              <w:rFonts w:ascii="宋体" w:hAnsi="宋体" w:hint="eastAsia"/>
              <w:sz w:val="21"/>
              <w:szCs w:val="21"/>
            </w:rPr>
            <w:t>：</w:t>
          </w:r>
          <w:r>
            <w:rPr>
              <w:rFonts w:ascii="宋体" w:eastAsia="宋体" w:hAnsi="宋体" w:hint="eastAsia"/>
              <w:sz w:val="21"/>
              <w:szCs w:val="21"/>
              <w:lang w:eastAsia="zh-CN"/>
            </w:rPr>
            <w:t>XASL</w:t>
          </w:r>
          <w:r>
            <w:rPr>
              <w:rFonts w:ascii="宋体" w:eastAsia="宋体" w:hAnsi="宋体" w:hint="eastAsia"/>
              <w:sz w:val="21"/>
              <w:szCs w:val="21"/>
              <w:lang w:eastAsia="zh-CN"/>
            </w:rPr>
            <w:t>-QP-024</w:t>
          </w:r>
        </w:p>
        <w:p w14:paraId="461E7A91">
          <w:pPr>
            <w:pStyle w:val="Header"/>
            <w:pBdr>
              <w:bottom w:val="none" w:sz="0" w:space="0" w:color="auto"/>
            </w:pBdr>
            <w:spacing w:line="360" w:lineRule="auto"/>
            <w:jc w:val="both"/>
            <w:rPr>
              <w:rFonts w:ascii="宋体" w:eastAsia="宋体" w:hAnsi="宋体"/>
              <w:sz w:val="21"/>
              <w:szCs w:val="21"/>
              <w:lang w:eastAsia="zh-CN"/>
            </w:rPr>
          </w:pPr>
          <w:r>
            <w:rPr>
              <w:rFonts w:ascii="宋体" w:eastAsia="宋体" w:hAnsi="宋体" w:hint="eastAsia"/>
              <w:sz w:val="21"/>
              <w:szCs w:val="21"/>
              <w:lang w:eastAsia="zh-CN"/>
            </w:rPr>
            <w:t>版本：A/0</w:t>
          </w:r>
        </w:p>
        <w:p w14:paraId="6F781A6E">
          <w:pPr>
            <w:pStyle w:val="Header"/>
            <w:pBdr>
              <w:bottom w:val="none" w:sz="0" w:space="0" w:color="auto"/>
            </w:pBdr>
            <w:spacing w:line="360" w:lineRule="auto"/>
            <w:jc w:val="both"/>
            <w:rPr>
              <w:rFonts w:ascii="宋体" w:eastAsia="宋体" w:hAnsi="宋体"/>
              <w:sz w:val="21"/>
              <w:szCs w:val="21"/>
              <w:lang w:eastAsia="zh-CN"/>
            </w:rPr>
          </w:pPr>
          <w:r>
            <w:rPr>
              <w:rFonts w:ascii="宋体" w:eastAsia="宋体" w:hAnsi="宋体" w:hint="eastAsia"/>
              <w:sz w:val="21"/>
              <w:szCs w:val="21"/>
              <w:lang w:eastAsia="zh-CN"/>
            </w:rPr>
            <w:t>生效日期：</w:t>
          </w:r>
          <w:r>
            <w:rPr>
              <w:rFonts w:ascii="宋体" w:eastAsia="宋体" w:hAnsi="宋体" w:hint="eastAsia"/>
              <w:sz w:val="21"/>
              <w:szCs w:val="21"/>
              <w:lang w:eastAsia="zh-CN"/>
            </w:rPr>
            <w:t>2026.02.05</w:t>
          </w:r>
        </w:p>
      </w:tc>
    </w:tr>
    <w:tr w14:paraId="357E4497">
      <w:tblPrEx>
        <w:tblW w:w="9939" w:type="dxa"/>
        <w:tblLayout w:type="fixed"/>
      </w:tblPrEx>
      <w:trPr>
        <w:cantSplit/>
        <w:trHeight w:val="405"/>
      </w:trPr>
      <w:tc>
        <w:tcPr>
          <w:tcW w:w="3617" w:type="dxa"/>
          <w:gridSpan w:val="2"/>
          <w:vAlign w:val="center"/>
        </w:tcPr>
        <w:p w14:paraId="3521778A">
          <w:pPr>
            <w:pStyle w:val="Header"/>
            <w:pBdr>
              <w:bottom w:val="none" w:sz="0" w:space="0" w:color="auto"/>
            </w:pBdr>
            <w:tabs>
              <w:tab w:val="left" w:pos="422"/>
            </w:tabs>
            <w:jc w:val="left"/>
            <w:rPr>
              <w:rFonts w:ascii="宋体" w:eastAsia="宋体" w:hAnsi="宋体" w:cs="宋体"/>
              <w:bCs/>
              <w:sz w:val="21"/>
              <w:szCs w:val="21"/>
              <w:lang w:eastAsia="zh-CN"/>
            </w:rPr>
          </w:pPr>
          <w:r>
            <w:rPr>
              <w:rFonts w:ascii="宋体" w:eastAsia="宋体" w:hAnsi="宋体" w:cs="宋体" w:hint="eastAsia"/>
              <w:bCs/>
              <w:sz w:val="21"/>
              <w:szCs w:val="21"/>
              <w:lang w:eastAsia="zh-CN"/>
            </w:rPr>
            <w:t>编制：</w:t>
          </w:r>
        </w:p>
      </w:tc>
      <w:tc>
        <w:tcPr>
          <w:tcW w:w="3114" w:type="dxa"/>
          <w:vAlign w:val="center"/>
        </w:tcPr>
        <w:p w14:paraId="47C4AFE1">
          <w:pPr>
            <w:pStyle w:val="Header"/>
            <w:pBdr>
              <w:bottom w:val="none" w:sz="0" w:space="0" w:color="auto"/>
            </w:pBdr>
            <w:jc w:val="left"/>
            <w:rPr>
              <w:rFonts w:ascii="宋体" w:eastAsia="宋体" w:hAnsi="宋体" w:cs="宋体"/>
              <w:bCs/>
              <w:sz w:val="21"/>
              <w:szCs w:val="21"/>
              <w:lang w:eastAsia="zh-CN"/>
            </w:rPr>
          </w:pPr>
          <w:r>
            <w:rPr>
              <w:rFonts w:ascii="宋体" w:eastAsia="宋体" w:hAnsi="宋体" w:cs="宋体" w:hint="eastAsia"/>
              <w:bCs/>
              <w:sz w:val="21"/>
              <w:szCs w:val="21"/>
              <w:lang w:eastAsia="zh-CN"/>
            </w:rPr>
            <w:t>审核：</w:t>
          </w:r>
        </w:p>
      </w:tc>
      <w:tc>
        <w:tcPr>
          <w:tcW w:w="3208" w:type="dxa"/>
          <w:vAlign w:val="center"/>
        </w:tcPr>
        <w:p w14:paraId="43C48611">
          <w:pPr>
            <w:pStyle w:val="Header"/>
            <w:pBdr>
              <w:bottom w:val="none" w:sz="0" w:space="0" w:color="auto"/>
            </w:pBdr>
            <w:spacing w:line="360" w:lineRule="auto"/>
            <w:jc w:val="left"/>
            <w:rPr>
              <w:rFonts w:ascii="宋体" w:eastAsia="宋体" w:hAnsi="宋体" w:cs="宋体"/>
              <w:bCs/>
              <w:sz w:val="21"/>
              <w:szCs w:val="21"/>
              <w:lang w:eastAsia="zh-CN"/>
            </w:rPr>
          </w:pPr>
          <w:r>
            <w:rPr>
              <w:rFonts w:ascii="宋体" w:eastAsia="宋体" w:hAnsi="宋体" w:cs="宋体" w:hint="eastAsia"/>
              <w:bCs/>
              <w:sz w:val="21"/>
              <w:szCs w:val="21"/>
              <w:lang w:eastAsia="zh-CN"/>
            </w:rPr>
            <w:t>批准：</w:t>
          </w:r>
        </w:p>
      </w:tc>
    </w:tr>
  </w:tbl>
  <w:p w14:paraId="12ED3B7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4C8EDD9"/>
    <w:multiLevelType w:val="multilevel"/>
    <w:tmpl w:val="A4C8EDD9"/>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bordersDoNotSurroundHeader/>
  <w:bordersDoNotSurroundFooter/>
  <w:doNotTrackMoves/>
  <w:defaultTabStop w:val="420"/>
  <w:drawingGridHorizontalSpacing w:val="181"/>
  <w:drawingGridVerticalSpacing w:val="181"/>
  <w:characterSpacingControl w:val="compressPunctuation"/>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2AF27BA"/>
    <w:rsid w:val="23E3568E"/>
    <w:rsid w:val="390E5C36"/>
    <w:rsid w:val="41767BA0"/>
    <w:rsid w:val="597E6094"/>
    <w:rsid w:val="5CA241D1"/>
    <w:rsid w:val="6A56693F"/>
    <w:rsid w:val="6AD46A66"/>
    <w:rsid w:val="6B2D524E"/>
    <w:rsid w:val="70951D59"/>
  </w:rsids>
  <w:docVars>
    <w:docVar w:name="commondata" w:val="eyJoZGlkIjoiZjdiZDdlY2Q0MDA3ZTg1Nzk2ODkyZjQzYTRmZDlhY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pPr>
    <w:rPr>
      <w:rFonts w:ascii="Times New Roman" w:eastAsia="Times New Roman" w:hAnsi="Times New Roman" w:cs="Times New Roman"/>
      <w:color w:val="000000"/>
      <w:sz w:val="24"/>
      <w:szCs w:val="24"/>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uiPriority w:val="99"/>
    <w:semiHidden/>
    <w:unhideWhenUsed/>
    <w:qFormat/>
    <w:pPr>
      <w:spacing w:after="120" w:afterLines="0" w:afterAutospacing="0"/>
    </w:p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qFormat/>
    <w:rPr>
      <w:rFonts w:ascii="宋体" w:eastAsia="宋体" w:hAnsi="宋体" w:cs="宋体"/>
      <w:sz w:val="20"/>
      <w:szCs w:val="20"/>
      <w:u w:val="none"/>
      <w:shd w:val="clear" w:color="auto" w:fill="auto"/>
      <w:lang w:val="zh-TW" w:eastAsia="zh-TW" w:bidi="zh-TW"/>
    </w:rPr>
  </w:style>
  <w:style w:type="paragraph" w:customStyle="1" w:styleId="Bodytext10">
    <w:name w:val="Body text|1"/>
    <w:basedOn w:val="Normal"/>
    <w:link w:val="Bodytext1"/>
    <w:qFormat/>
    <w:pPr>
      <w:spacing w:line="430" w:lineRule="auto"/>
    </w:pPr>
    <w:rPr>
      <w:rFonts w:ascii="宋体" w:eastAsia="宋体" w:hAnsi="宋体" w:cs="宋体"/>
      <w:sz w:val="20"/>
      <w:szCs w:val="20"/>
      <w:lang w:val="zh-TW" w:eastAsia="zh-TW" w:bidi="zh-TW"/>
    </w:rPr>
  </w:style>
  <w:style w:type="character" w:customStyle="1" w:styleId="Bodytext2">
    <w:name w:val="Body text|2_"/>
    <w:basedOn w:val="DefaultParagraphFont"/>
    <w:link w:val="Bodytext20"/>
    <w:qFormat/>
    <w:rPr>
      <w:color w:val="D11346"/>
      <w:sz w:val="30"/>
      <w:szCs w:val="30"/>
      <w:u w:val="none"/>
      <w:shd w:val="clear" w:color="auto" w:fill="auto"/>
      <w:lang w:val="zh-TW" w:eastAsia="zh-TW" w:bidi="zh-TW"/>
    </w:rPr>
  </w:style>
  <w:style w:type="paragraph" w:customStyle="1" w:styleId="Bodytext20">
    <w:name w:val="Body text|2"/>
    <w:basedOn w:val="Normal"/>
    <w:link w:val="Bodytext2"/>
    <w:qFormat/>
    <w:pPr>
      <w:ind w:left="-10"/>
    </w:pPr>
    <w:rPr>
      <w:color w:val="D11346"/>
      <w:sz w:val="30"/>
      <w:szCs w:val="30"/>
      <w:lang w:val="zh-TW" w:eastAsia="zh-TW" w:bidi="zh-TW"/>
    </w:rPr>
  </w:style>
  <w:style w:type="character" w:customStyle="1" w:styleId="Other1">
    <w:name w:val="Other|1_"/>
    <w:basedOn w:val="DefaultParagraphFont"/>
    <w:link w:val="Other10"/>
    <w:qFormat/>
    <w:rPr>
      <w:rFonts w:ascii="宋体" w:eastAsia="宋体" w:hAnsi="宋体" w:cs="宋体"/>
      <w:sz w:val="20"/>
      <w:szCs w:val="20"/>
      <w:u w:val="none"/>
      <w:shd w:val="clear" w:color="auto" w:fill="auto"/>
    </w:rPr>
  </w:style>
  <w:style w:type="paragraph" w:customStyle="1" w:styleId="Other10">
    <w:name w:val="Other|1"/>
    <w:basedOn w:val="Normal"/>
    <w:link w:val="Other1"/>
    <w:qFormat/>
    <w:pPr>
      <w:spacing w:line="430" w:lineRule="auto"/>
    </w:pPr>
    <w:rPr>
      <w:rFonts w:ascii="宋体" w:eastAsia="宋体" w:hAnsi="宋体" w:cs="宋体"/>
      <w:sz w:val="20"/>
      <w:szCs w:val="20"/>
    </w:rPr>
  </w:style>
  <w:style w:type="character" w:customStyle="1" w:styleId="Tablecaption1">
    <w:name w:val="Table caption|1_"/>
    <w:basedOn w:val="DefaultParagraphFont"/>
    <w:link w:val="Tablecaption10"/>
    <w:qFormat/>
    <w:rPr>
      <w:rFonts w:ascii="宋体" w:eastAsia="宋体" w:hAnsi="宋体" w:cs="宋体"/>
      <w:sz w:val="20"/>
      <w:szCs w:val="20"/>
      <w:u w:val="none"/>
      <w:shd w:val="clear" w:color="auto" w:fill="auto"/>
      <w:lang w:val="zh-TW" w:eastAsia="zh-TW" w:bidi="zh-TW"/>
    </w:rPr>
  </w:style>
  <w:style w:type="paragraph" w:customStyle="1" w:styleId="Tablecaption10">
    <w:name w:val="Table caption|1"/>
    <w:basedOn w:val="Normal"/>
    <w:link w:val="Tablecaption1"/>
    <w:qFormat/>
    <w:rPr>
      <w:rFonts w:ascii="宋体" w:eastAsia="宋体" w:hAnsi="宋体" w:cs="宋体"/>
      <w:sz w:val="20"/>
      <w:szCs w:val="20"/>
      <w:lang w:val="zh-TW" w:eastAsia="zh-TW" w:bidi="zh-TW"/>
    </w:rPr>
  </w:style>
  <w:style w:type="character" w:customStyle="1" w:styleId="a">
    <w:name w:val="页眉 字符"/>
    <w:basedOn w:val="DefaultParagraphFont"/>
    <w:link w:val="Header"/>
    <w:uiPriority w:val="99"/>
    <w:qFormat/>
    <w:rPr>
      <w:rFonts w:eastAsia="Times New Roman"/>
      <w:color w:val="000000"/>
      <w:sz w:val="18"/>
      <w:szCs w:val="18"/>
    </w:rPr>
  </w:style>
  <w:style w:type="character" w:customStyle="1" w:styleId="a0">
    <w:name w:val="页脚 字符"/>
    <w:basedOn w:val="DefaultParagraphFont"/>
    <w:link w:val="Footer"/>
    <w:uiPriority w:val="99"/>
    <w:qFormat/>
    <w:rPr>
      <w:rFonts w:eastAsia="Times New Roman"/>
      <w:color w:val="000000"/>
      <w:sz w:val="18"/>
      <w:szCs w:val="18"/>
    </w:rPr>
  </w:style>
  <w:style w:type="character" w:customStyle="1" w:styleId="a1">
    <w:name w:val="批注框文本 字符"/>
    <w:basedOn w:val="DefaultParagraphFont"/>
    <w:link w:val="BalloonText"/>
    <w:uiPriority w:val="99"/>
    <w:semiHidden/>
    <w:qFormat/>
    <w:rPr>
      <w:rFonts w:eastAsia="Times New Roman"/>
      <w:color w:val="000000"/>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100</TotalTime>
  <Pages>5</Pages>
  <Words>2575</Words>
  <Characters>2697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暗月如镰，繁星万点</cp:lastModifiedBy>
  <cp:revision>40</cp:revision>
  <cp:lastPrinted>2022-03-11T07:18:00Z</cp:lastPrinted>
  <dcterms:created xsi:type="dcterms:W3CDTF">2022-02-13T11:37:00Z</dcterms:created>
  <dcterms:modified xsi:type="dcterms:W3CDTF">2025-11-29T04:54:26Z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D49F084CFD9842BA873462EFD0937C39</vt:lpwstr>
  </property>
  <property fmtid="{D5CDD505-2E9C-101B-9397-08002B2CF9AE}" pid="3" name="KSOProductBuildVer">
    <vt:lpwstr>2052-12.1.0.23542</vt:lpwstr>
  </property>
  <property fmtid="{D5CDD505-2E9C-101B-9397-08002B2CF9AE}" pid="4" name="KSOTemplateDocerSaveRecord">
    <vt:lpwstr>eyJoZGlkIjoiODljOTk5ODU4MzVlMWI4NzRmYjM2ZDg4NzczZjM0YzQiLCJ1c2VySWQiOiI1OTc0NDQ3MzkifQ==</vt:lpwstr>
  </property>
</Properties>
</file>