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785AF6CE">
      <w:pPr>
        <w:jc w:val="center"/>
        <w:rPr>
          <w:sz w:val="2"/>
          <w:szCs w:val="2"/>
        </w:rPr>
      </w:pPr>
    </w:p>
    <w:p w14:paraId="6D809284">
      <w:pPr>
        <w:pStyle w:val="Bodytext10"/>
        <w:numPr>
          <w:ilvl w:val="0"/>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目的</w:t>
      </w:r>
    </w:p>
    <w:p w14:paraId="636EEAA4">
      <w:pPr>
        <w:pStyle w:val="Bodytext10"/>
        <w:spacing w:line="360" w:lineRule="auto"/>
        <w:jc w:val="both"/>
        <w:rPr>
          <w:rFonts w:eastAsia="PMingLiU" w:ascii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根据国家相关法规要求，对医疗器械不良事件进行监测和再评价工作，确保获准上市的医疗器械在正常使用情况下，发生的导致或可能导致人体伤害的各种有害事件能够得到及时有效控制</w:t>
      </w:r>
      <w:bookmarkStart w:id="0" w:name="bookmark0"/>
      <w:bookmarkEnd w:id="0"/>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61BA0337">
      <w:pPr>
        <w:pStyle w:val="Bodytext10"/>
        <w:numPr>
          <w:ilvl w:val="0"/>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范围：</w:t>
      </w:r>
    </w:p>
    <w:p w14:paraId="699F8A63">
      <w:pPr>
        <w:pStyle w:val="Bodytext10"/>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本程序适用于本公司产品不良事件的监测及再评价控制过程。</w:t>
      </w:r>
      <w:bookmarkStart w:id="1" w:name="bookmark1"/>
      <w:bookmarkEnd w:id="1"/>
    </w:p>
    <w:p w14:paraId="326CA0EC">
      <w:pPr>
        <w:pStyle w:val="Bodytext10"/>
        <w:numPr>
          <w:ilvl w:val="0"/>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职责</w:t>
      </w:r>
    </w:p>
    <w:p w14:paraId="5B39413D">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医疗器械不良事件监测工作领导小组（由企业负责人为组长，</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质量</w:t>
      </w:r>
      <w:r>
        <w:rPr>
          <w:rFonts w:asciiTheme="minorEastAsia" w:eastAsiaTheme="minorEastAsia" w:hAnsiTheme="minorEastAsia"/>
          <w:color w:val="000000" w:themeColor="text1"/>
          <w:sz w:val="24"/>
          <w:szCs w:val="24"/>
          <w14:textFill>
            <w14:solidFill>
              <w14:schemeClr w14:val="tx1"/>
            </w14:solidFill>
          </w14:textFill>
        </w:rPr>
        <w:t>、技术、生产、综合部门人员组成）：全面领导、组织、管理医疗器械不良事件监测工作。</w:t>
      </w:r>
      <w:bookmarkStart w:id="2" w:name="bookmark2"/>
      <w:bookmarkEnd w:id="2"/>
    </w:p>
    <w:p w14:paraId="6FCB5348">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质量部</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质量</w:t>
      </w:r>
      <w:r>
        <w:rPr>
          <w:rFonts w:asciiTheme="minorEastAsia" w:eastAsiaTheme="minorEastAsia" w:hAnsiTheme="minorEastAsia"/>
          <w:color w:val="000000" w:themeColor="text1"/>
          <w:sz w:val="24"/>
          <w:szCs w:val="24"/>
          <w14:textFill>
            <w14:solidFill>
              <w14:schemeClr w14:val="tx1"/>
            </w14:solidFill>
          </w14:textFill>
        </w:rPr>
        <w:t>体系人员：组织</w:t>
      </w:r>
      <w:r>
        <w:rPr>
          <w:rFonts w:asciiTheme="minorEastAsia" w:eastAsiaTheme="minorEastAsia" w:hAnsiTheme="minorEastAsia" w:hint="eastAsia"/>
          <w:color w:val="000000" w:themeColor="text1"/>
          <w:sz w:val="24"/>
          <w:szCs w:val="24"/>
          <w:lang w:eastAsia="zh-CN"/>
          <w14:textFill>
            <w14:solidFill>
              <w14:schemeClr w14:val="tx1"/>
            </w14:solidFill>
          </w14:textFill>
        </w:rPr>
        <w:t>编</w:t>
      </w:r>
      <w:r>
        <w:rPr>
          <w:rFonts w:asciiTheme="minorEastAsia" w:eastAsiaTheme="minorEastAsia" w:hAnsiTheme="minorEastAsia"/>
          <w:color w:val="000000" w:themeColor="text1"/>
          <w:sz w:val="24"/>
          <w:szCs w:val="24"/>
          <w14:textFill>
            <w14:solidFill>
              <w14:schemeClr w14:val="tx1"/>
            </w14:solidFill>
          </w14:textFill>
        </w:rPr>
        <w:t>写企业医疗器械不良事件监测工作制度、工作程序、应急预案等文件； 维护系统中用户及产品注册信息；收集医疗器械不良事件报告，经调查核实后及时上报至系统；配合药品监管部门、监测机构、卫生主管部门等对医疗器械不良事件开展的调查；拟定企业医疗器械不良事件监测工作和培训年度计划；管理医疗器械不良</w:t>
      </w:r>
      <w:r>
        <w:rPr>
          <w:rFonts w:asciiTheme="minorEastAsia" w:eastAsiaTheme="minorEastAsia" w:hAnsiTheme="minorEastAsia" w:hint="eastAsia"/>
          <w:color w:val="000000" w:themeColor="text1"/>
          <w:sz w:val="24"/>
          <w:szCs w:val="24"/>
          <w:lang w:eastAsia="zh-CN"/>
          <w14:textFill>
            <w14:solidFill>
              <w14:schemeClr w14:val="tx1"/>
            </w14:solidFill>
          </w14:textFill>
        </w:rPr>
        <w:t>事</w:t>
      </w:r>
      <w:r>
        <w:rPr>
          <w:rFonts w:asciiTheme="minorEastAsia" w:eastAsiaTheme="minorEastAsia" w:hAnsiTheme="minorEastAsia"/>
          <w:color w:val="000000" w:themeColor="text1"/>
          <w:sz w:val="24"/>
          <w:szCs w:val="24"/>
          <w14:textFill>
            <w14:solidFill>
              <w14:schemeClr w14:val="tx1"/>
            </w14:solidFill>
          </w14:textFill>
        </w:rPr>
        <w:t>件监测记录。</w:t>
      </w:r>
      <w:bookmarkStart w:id="3" w:name="bookmark3"/>
      <w:bookmarkEnd w:id="3"/>
    </w:p>
    <w:p w14:paraId="5859D508">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综合部：不良事件或</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可疑</w:t>
      </w:r>
      <w:r>
        <w:rPr>
          <w:rFonts w:asciiTheme="minorEastAsia" w:eastAsiaTheme="minorEastAsia" w:hAnsiTheme="minorEastAsia"/>
          <w:color w:val="000000" w:themeColor="text1"/>
          <w:sz w:val="24"/>
          <w:szCs w:val="24"/>
          <w14:textFill>
            <w14:solidFill>
              <w14:schemeClr w14:val="tx1"/>
            </w14:solidFill>
          </w14:textFill>
        </w:rPr>
        <w:t>不良事件信息的监测、接收、收集、内部报告及内</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外</w:t>
      </w:r>
      <w:r>
        <w:rPr>
          <w:rFonts w:asciiTheme="minorEastAsia" w:eastAsiaTheme="minorEastAsia" w:hAnsiTheme="minorEastAsia"/>
          <w:color w:val="000000" w:themeColor="text1"/>
          <w:sz w:val="24"/>
          <w:szCs w:val="24"/>
          <w14:textFill>
            <w14:solidFill>
              <w14:schemeClr w14:val="tx1"/>
            </w14:solidFill>
          </w14:textFill>
        </w:rPr>
        <w:t>信息传递。</w:t>
      </w:r>
      <w:bookmarkStart w:id="4" w:name="bookmark4"/>
      <w:bookmarkEnd w:id="4"/>
    </w:p>
    <w:p w14:paraId="6239BD83">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其他部门：参与不良事件相关过程，配合不良事件的调查处理，责任部门负责采取相应的纠正/预防措施。</w:t>
      </w:r>
      <w:bookmarkStart w:id="5" w:name="bookmark5"/>
      <w:bookmarkEnd w:id="5"/>
    </w:p>
    <w:p w14:paraId="14697FBF">
      <w:pPr>
        <w:pStyle w:val="Bodytext10"/>
        <w:numPr>
          <w:ilvl w:val="0"/>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定义</w:t>
      </w:r>
    </w:p>
    <w:p w14:paraId="554BEE40">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医疗器械不良事件，是指己上市的医疗器械，在正常使用情况下发生的，导致或者可能导致人体伤害的各种有害事件。</w:t>
      </w:r>
      <w:bookmarkStart w:id="6" w:name="bookmark6"/>
      <w:bookmarkEnd w:id="6"/>
    </w:p>
    <w:p w14:paraId="27823E8A">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群体医疗器械不良事件，是指同一医疗器械在使用过程中，在相对集中的时间、区域内发生，对一定数量人群的身体健康或者生命安全造成损害或者威胁的事件。</w:t>
      </w:r>
      <w:bookmarkStart w:id="7" w:name="bookmark7"/>
      <w:bookmarkEnd w:id="7"/>
    </w:p>
    <w:p w14:paraId="6837EAB8">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医疗器械重点监测，是指为研究某一品种或者产品上市后风险情况、特征、严重程度、发生率等，主动开展的阶段性监测活动。</w:t>
      </w:r>
      <w:bookmarkStart w:id="8" w:name="bookmark8"/>
      <w:bookmarkEnd w:id="8"/>
    </w:p>
    <w:p w14:paraId="238A7D90">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医疗器械不良事件监测，是指对医疗器械不良事件的收集、报告、调査、分析、评价和控制的过程</w:t>
      </w:r>
      <w:bookmarkStart w:id="9" w:name="bookmark9"/>
      <w:bookmarkEnd w:id="9"/>
    </w:p>
    <w:p w14:paraId="45FEDD8A">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医疗器械再评价，是指对已注册或者备案、上市销售的医疗器械的安全性、有效性进行重新评价，并采取相应措施的过程。</w:t>
      </w:r>
      <w:bookmarkStart w:id="10" w:name="bookmark10"/>
      <w:bookmarkEnd w:id="10"/>
    </w:p>
    <w:p w14:paraId="5FD4C7D1">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严重伤害，是指有下列情况之一者：</w:t>
      </w:r>
    </w:p>
    <w:p w14:paraId="5F0DF98D">
      <w:pPr>
        <w:pStyle w:val="Bodytext10"/>
        <w:numPr>
          <w:ilvl w:val="0"/>
          <w:numId w:val="2"/>
        </w:numPr>
        <w:tabs>
          <w:tab w:val="left" w:pos="830"/>
        </w:tabs>
        <w:spacing w:line="360" w:lineRule="auto"/>
        <w:ind w:firstLine="380"/>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危及生命；</w:t>
      </w:r>
    </w:p>
    <w:p w14:paraId="63C3B18B">
      <w:pPr>
        <w:pStyle w:val="Bodytext10"/>
        <w:numPr>
          <w:ilvl w:val="0"/>
          <w:numId w:val="2"/>
        </w:numPr>
        <w:tabs>
          <w:tab w:val="left" w:pos="830"/>
        </w:tabs>
        <w:spacing w:line="360" w:lineRule="auto"/>
        <w:ind w:firstLine="380"/>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导致机体功能的永久性伤害或者机体结构的永久性损伤；</w:t>
      </w:r>
    </w:p>
    <w:p w14:paraId="66DDAC32">
      <w:pPr>
        <w:pStyle w:val="Bodytext10"/>
        <w:numPr>
          <w:ilvl w:val="0"/>
          <w:numId w:val="2"/>
        </w:numPr>
        <w:tabs>
          <w:tab w:val="left" w:pos="830"/>
        </w:tabs>
        <w:spacing w:line="360" w:lineRule="auto"/>
        <w:ind w:firstLine="380"/>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必须采取医疗措施才能避免上述永久性伤害或者损伤。</w:t>
      </w:r>
    </w:p>
    <w:p w14:paraId="49D862B8">
      <w:pPr>
        <w:pStyle w:val="Bodytext10"/>
        <w:numPr>
          <w:ilvl w:val="0"/>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val="en-US" w:eastAsia="zh-CN"/>
          <w14:textFill>
            <w14:solidFill>
              <w14:schemeClr w14:val="tx1"/>
            </w14:solidFill>
          </w14:textFill>
        </w:rPr>
        <w:t>程序</w:t>
      </w:r>
      <w:bookmarkStart w:id="11" w:name="bookmark15"/>
      <w:bookmarkEnd w:id="11"/>
      <w:bookmarkStart w:id="12" w:name="bookmark14"/>
      <w:bookmarkEnd w:id="12"/>
      <w:bookmarkStart w:id="13" w:name="bookmark11"/>
      <w:bookmarkEnd w:id="13"/>
      <w:bookmarkStart w:id="14" w:name="bookmark13"/>
      <w:bookmarkEnd w:id="14"/>
    </w:p>
    <w:p w14:paraId="05A08D69">
      <w:pPr>
        <w:pStyle w:val="Bodytext10"/>
        <w:numPr>
          <w:ilvl w:val="1"/>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不良事件的收集</w:t>
      </w:r>
      <w:bookmarkStart w:id="15" w:name="_GoBack"/>
      <w:bookmarkEnd w:id="15"/>
    </w:p>
    <w:p w14:paraId="1D79F39A">
      <w:pPr>
        <w:pStyle w:val="Bodytext10"/>
        <w:numPr>
          <w:ilvl w:val="2"/>
          <w:numId w:val="1"/>
        </w:numPr>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公司建立有效的医疗器械不良事件信息收集渠道，可通过企业网站、用户随访、用</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户投诉、文献报</w:t>
      </w:r>
      <w:r>
        <w:rPr>
          <w:rFonts w:asciiTheme="minorEastAsia" w:eastAsiaTheme="minorEastAsia" w:hAnsiTheme="minorEastAsia"/>
          <w:color w:val="000000" w:themeColor="text1"/>
          <w:sz w:val="24"/>
          <w:szCs w:val="24"/>
          <w14:textFill>
            <w14:solidFill>
              <w14:schemeClr w14:val="tx1"/>
            </w14:solidFill>
          </w14:textFill>
        </w:rPr>
        <w:t>道、</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手</w:t>
      </w:r>
      <w:r>
        <w:rPr>
          <w:rFonts w:asciiTheme="minorEastAsia" w:eastAsiaTheme="minorEastAsia" w:hAnsiTheme="minorEastAsia"/>
          <w:color w:val="000000" w:themeColor="text1"/>
          <w:sz w:val="24"/>
          <w:szCs w:val="24"/>
          <w14:textFill>
            <w14:solidFill>
              <w14:schemeClr w14:val="tx1"/>
            </w14:solidFill>
          </w14:textFill>
        </w:rPr>
        <w:t>机</w:t>
      </w:r>
      <w:r>
        <w:rPr>
          <w:rFonts w:asciiTheme="minorEastAsia" w:eastAsiaTheme="minorEastAsia" w:hAnsiTheme="minorEastAsia"/>
          <w:color w:val="000000" w:themeColor="text1"/>
          <w:sz w:val="24"/>
          <w:szCs w:val="24"/>
          <w:lang w:val="en-US" w:eastAsia="en-US" w:bidi="en-US"/>
          <w14:textFill>
            <w14:solidFill>
              <w14:schemeClr w14:val="tx1"/>
            </w14:solidFill>
          </w14:textFill>
        </w:rPr>
        <w:t>APP、</w:t>
      </w:r>
      <w:r>
        <w:rPr>
          <w:rFonts w:asciiTheme="minorEastAsia" w:eastAsiaTheme="minorEastAsia" w:hAnsiTheme="minorEastAsia"/>
          <w:color w:val="000000" w:themeColor="text1"/>
          <w:sz w:val="24"/>
          <w:szCs w:val="24"/>
          <w14:textFill>
            <w14:solidFill>
              <w14:schemeClr w14:val="tx1"/>
            </w14:solidFill>
          </w14:textFill>
        </w:rPr>
        <w:t>监管部门网站等途径主动收集本企业产品不良事件。</w:t>
      </w:r>
    </w:p>
    <w:p w14:paraId="409B38F6">
      <w:pPr>
        <w:pStyle w:val="Bodytext10"/>
        <w:spacing w:after="160" w:line="360" w:lineRule="auto"/>
        <w:ind w:firstLine="440"/>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公司人员在收集到不良事件信息后，报告</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质量部</w:t>
      </w:r>
      <w:r>
        <w:rPr>
          <w:rFonts w:asciiTheme="minorEastAsia" w:eastAsiaTheme="minorEastAsia" w:hAnsiTheme="minorEastAsia"/>
          <w:color w:val="000000" w:themeColor="text1"/>
          <w:sz w:val="24"/>
          <w:szCs w:val="24"/>
          <w14:textFill>
            <w14:solidFill>
              <w14:schemeClr w14:val="tx1"/>
            </w14:solidFill>
          </w14:textFill>
        </w:rPr>
        <w:t>质量体系人员，</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质量部</w:t>
      </w:r>
      <w:r>
        <w:rPr>
          <w:rFonts w:asciiTheme="minorEastAsia" w:eastAsiaTheme="minorEastAsia" w:hAnsiTheme="minorEastAsia"/>
          <w:color w:val="000000" w:themeColor="text1"/>
          <w:sz w:val="24"/>
          <w:szCs w:val="24"/>
          <w14:textFill>
            <w14:solidFill>
              <w14:schemeClr w14:val="tx1"/>
            </w14:solidFill>
          </w14:textFill>
        </w:rPr>
        <w:t>组织医疗器械不良事件监测工作领导小组对不良事件信息进行排查，排查后进入下列流程。</w:t>
      </w:r>
      <w:bookmarkStart w:id="16" w:name="bookmark16"/>
      <w:bookmarkEnd w:id="16"/>
    </w:p>
    <w:p w14:paraId="58CCADFE">
      <w:pPr>
        <w:pStyle w:val="Bodytext10"/>
        <w:numPr>
          <w:ilvl w:val="1"/>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不良事件的报吿、调查、分析、评价和控制</w:t>
      </w:r>
    </w:p>
    <w:p w14:paraId="0827652D">
      <w:pPr>
        <w:pStyle w:val="Bodytext10"/>
        <w:numPr>
          <w:ilvl w:val="2"/>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报告范围：与所上市医疗器械可能有关的死亡或者严重伤害事件。</w:t>
      </w:r>
      <w:bookmarkStart w:id="17" w:name="bookmark17"/>
      <w:bookmarkEnd w:id="17"/>
    </w:p>
    <w:p w14:paraId="204EAA82">
      <w:pPr>
        <w:pStyle w:val="Bodytext10"/>
        <w:numPr>
          <w:ilvl w:val="2"/>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报告原则：可疑即报的原则</w:t>
      </w:r>
      <w:bookmarkStart w:id="18" w:name="bookmark18"/>
      <w:bookmarkEnd w:id="18"/>
    </w:p>
    <w:p w14:paraId="21346CFE">
      <w:pPr>
        <w:pStyle w:val="Bodytext10"/>
        <w:numPr>
          <w:ilvl w:val="2"/>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报告程序：按照《医疗器械不良事件监测和再评价管理办法》文件要求上报。</w:t>
      </w:r>
      <w:bookmarkStart w:id="19" w:name="bookmark19"/>
      <w:bookmarkEnd w:id="19"/>
    </w:p>
    <w:p w14:paraId="345057D9">
      <w:pPr>
        <w:pStyle w:val="Bodytext10"/>
        <w:numPr>
          <w:ilvl w:val="2"/>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报告程序及报告时限</w:t>
      </w:r>
    </w:p>
    <w:p w14:paraId="5F7D1D2F">
      <w:pPr>
        <w:pStyle w:val="Bodytext10"/>
        <w:numPr>
          <w:ilvl w:val="3"/>
          <w:numId w:val="1"/>
        </w:numPr>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个例医疗器械不良事件：</w:t>
      </w:r>
      <w:bookmarkStart w:id="20" w:name="bookmark20"/>
    </w:p>
    <w:p w14:paraId="671D88CF">
      <w:pPr>
        <w:pStyle w:val="Bodytext10"/>
        <w:spacing w:after="160"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lang w:val="en-US" w:eastAsia="en-US" w:bidi="en-US"/>
          <w14:textFill>
            <w14:solidFill>
              <w14:schemeClr w14:val="tx1"/>
            </w14:solidFill>
          </w14:textFill>
        </w:rPr>
        <w:t>a</w:t>
      </w:r>
      <w:bookmarkEnd w:id="20"/>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发现或者获知可疑医疗器械不良事件的，当立即组织调查原因，导致死亡的应当在</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5</w:t>
      </w:r>
      <w:r>
        <w:rPr>
          <w:rFonts w:asciiTheme="minorEastAsia" w:eastAsiaTheme="minorEastAsia" w:hAnsiTheme="minorEastAsia"/>
          <w:color w:val="000000" w:themeColor="text1"/>
          <w:sz w:val="24"/>
          <w:szCs w:val="24"/>
          <w14:textFill>
            <w14:solidFill>
              <w14:schemeClr w14:val="tx1"/>
            </w14:solidFill>
          </w14:textFill>
        </w:rPr>
        <w:t>日内报告；导致严重伤害、可能导致严重伤害或者死亡的应当在20日内报告。</w:t>
      </w:r>
    </w:p>
    <w:p w14:paraId="4B26C4B2">
      <w:pPr>
        <w:pStyle w:val="Bodytext10"/>
        <w:spacing w:after="160" w:line="360" w:lineRule="auto"/>
        <w:jc w:val="both"/>
        <w:rPr>
          <w:rFonts w:asciiTheme="minorEastAsia" w:eastAsiaTheme="minorEastAsia" w:hAnsiTheme="minorEastAsia"/>
          <w:color w:val="000000" w:themeColor="text1"/>
          <w:sz w:val="24"/>
          <w:szCs w:val="24"/>
          <w14:textFill>
            <w14:solidFill>
              <w14:schemeClr w14:val="tx1"/>
            </w14:solidFill>
          </w14:textFill>
        </w:rPr>
      </w:pPr>
      <w:bookmarkStart w:id="21" w:name="bookmark21"/>
      <w:r>
        <w:rPr>
          <w:rFonts w:asciiTheme="minorEastAsia" w:eastAsiaTheme="minorEastAsia" w:hAnsiTheme="minorEastAsia"/>
          <w:color w:val="000000" w:themeColor="text1"/>
          <w:sz w:val="24"/>
          <w:szCs w:val="24"/>
          <w:lang w:val="en-US" w:eastAsia="en-US" w:bidi="en-US"/>
          <w14:textFill>
            <w14:solidFill>
              <w14:schemeClr w14:val="tx1"/>
            </w14:solidFill>
          </w14:textFill>
        </w:rPr>
        <w:t>b</w:t>
      </w:r>
      <w:bookmarkEnd w:id="21"/>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在报告医疗器械不良事件后或者通过国家医疗器械不良事件监测信息系统获知相关医疗器械不良事件后，应当按要求开展后续调査、分析和评价，导致死亡的事件应当在30日内，导致严重伤害、可能导致严重伤害或者死亡的事件应当在45日内向企业所在地</w:t>
      </w:r>
      <w:r>
        <w:rPr>
          <w:rFonts w:asciiTheme="minorEastAsia" w:eastAsiaTheme="minorEastAsia" w:hAnsiTheme="minorEastAsia" w:hint="eastAsia"/>
          <w:color w:val="000000" w:themeColor="text1"/>
          <w:sz w:val="24"/>
          <w:szCs w:val="24"/>
          <w:lang w:eastAsia="zh-CN"/>
          <w14:textFill>
            <w14:solidFill>
              <w14:schemeClr w14:val="tx1"/>
            </w14:solidFill>
          </w14:textFill>
        </w:rPr>
        <w:t>省级</w:t>
      </w:r>
      <w:r>
        <w:rPr>
          <w:rFonts w:asciiTheme="minorEastAsia" w:eastAsiaTheme="minorEastAsia" w:hAnsiTheme="minorEastAsia"/>
          <w:color w:val="000000" w:themeColor="text1"/>
          <w:sz w:val="24"/>
          <w:szCs w:val="24"/>
          <w14:textFill>
            <w14:solidFill>
              <w14:schemeClr w14:val="tx1"/>
            </w14:solidFill>
          </w14:textFill>
        </w:rPr>
        <w:t>监测机构报告评价结果。对于事件情况和评价结果有新的发现或者认知的，应当补充报告。</w:t>
      </w:r>
    </w:p>
    <w:p w14:paraId="1210E5A2">
      <w:pPr>
        <w:pStyle w:val="Bodytext10"/>
        <w:numPr>
          <w:ilvl w:val="3"/>
          <w:numId w:val="1"/>
        </w:numPr>
        <w:spacing w:after="160" w:line="360" w:lineRule="auto"/>
        <w:jc w:val="both"/>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群体医疗器械不良事件：</w:t>
      </w:r>
    </w:p>
    <w:p w14:paraId="6123ACDA">
      <w:pPr>
        <w:pStyle w:val="Bodytext10"/>
        <w:tabs>
          <w:tab w:val="left" w:pos="425"/>
        </w:tabs>
        <w:spacing w:line="360" w:lineRule="auto"/>
        <w:jc w:val="both"/>
        <w:rPr>
          <w:rFonts w:asciiTheme="minorEastAsia" w:eastAsiaTheme="minorEastAsia" w:hAnsiTheme="minorEastAsia"/>
          <w:color w:val="000000" w:themeColor="text1"/>
          <w:sz w:val="24"/>
          <w:szCs w:val="24"/>
          <w14:textFill>
            <w14:solidFill>
              <w14:schemeClr w14:val="tx1"/>
            </w14:solidFill>
          </w14:textFill>
        </w:rPr>
      </w:pPr>
      <w:bookmarkStart w:id="22" w:name="bookmark22"/>
      <w:r>
        <w:rPr>
          <w:rFonts w:asciiTheme="minorEastAsia" w:eastAsiaTheme="minorEastAsia" w:hAnsiTheme="minorEastAsia"/>
          <w:color w:val="000000" w:themeColor="text1"/>
          <w:sz w:val="24"/>
          <w:szCs w:val="24"/>
          <w:lang w:val="en-US" w:eastAsia="en-US" w:bidi="en-US"/>
          <w14:textFill>
            <w14:solidFill>
              <w14:schemeClr w14:val="tx1"/>
            </w14:solidFill>
          </w14:textFill>
        </w:rPr>
        <w:t>a</w:t>
      </w:r>
      <w:bookmarkEnd w:id="22"/>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发现或者获知群体医疗器械不良事件后，</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应</w:t>
      </w:r>
      <w:r>
        <w:rPr>
          <w:rFonts w:asciiTheme="minorEastAsia" w:eastAsiaTheme="minorEastAsia" w:hAnsiTheme="minorEastAsia"/>
          <w:color w:val="000000" w:themeColor="text1"/>
          <w:sz w:val="24"/>
          <w:szCs w:val="24"/>
          <w14:textFill>
            <w14:solidFill>
              <w14:schemeClr w14:val="tx1"/>
            </w14:solidFill>
          </w14:textFill>
        </w:rPr>
        <w:t>当在12小时内</w:t>
      </w:r>
      <w:r>
        <w:rPr>
          <w:rFonts w:asciiTheme="minorEastAsia" w:eastAsiaTheme="minorEastAsia" w:hAnsiTheme="minorEastAsia" w:hint="eastAsia"/>
          <w:color w:val="000000" w:themeColor="text1"/>
          <w:sz w:val="24"/>
          <w:szCs w:val="24"/>
          <w:lang w:eastAsia="zh-CN"/>
          <w14:textFill>
            <w14:solidFill>
              <w14:schemeClr w14:val="tx1"/>
            </w14:solidFill>
          </w14:textFill>
        </w:rPr>
        <w:t>通过电话或者传真等方式报告不良事件</w:t>
      </w:r>
      <w:r>
        <w:rPr>
          <w:rFonts w:asciiTheme="minorEastAsia" w:eastAsiaTheme="minorEastAsia" w:hAnsiTheme="minorEastAsia"/>
          <w:color w:val="000000" w:themeColor="text1"/>
          <w:sz w:val="24"/>
          <w:szCs w:val="24"/>
          <w14:textFill>
            <w14:solidFill>
              <w14:schemeClr w14:val="tx1"/>
            </w14:solidFill>
          </w14:textFill>
        </w:rPr>
        <w:t>发生地</w:t>
      </w:r>
      <w:r>
        <w:rPr>
          <w:rFonts w:asciiTheme="minorEastAsia" w:eastAsiaTheme="minorEastAsia" w:hAnsiTheme="minorEastAsia" w:hint="eastAsia"/>
          <w:color w:val="000000" w:themeColor="text1"/>
          <w:sz w:val="24"/>
          <w:szCs w:val="24"/>
          <w:lang w:eastAsia="zh-CN"/>
          <w14:textFill>
            <w14:solidFill>
              <w14:schemeClr w14:val="tx1"/>
            </w14:solidFill>
          </w14:textFill>
        </w:rPr>
        <w:t>省、自治区、直辖市</w:t>
      </w:r>
      <w:r>
        <w:rPr>
          <w:rFonts w:asciiTheme="minorEastAsia" w:eastAsiaTheme="minorEastAsia" w:hAnsiTheme="minorEastAsia"/>
          <w:color w:val="000000" w:themeColor="text1"/>
          <w:sz w:val="24"/>
          <w:szCs w:val="24"/>
          <w14:textFill>
            <w14:solidFill>
              <w14:schemeClr w14:val="tx1"/>
            </w14:solidFill>
          </w14:textFill>
        </w:rPr>
        <w:t>药品监督管理部门</w:t>
      </w:r>
      <w:r>
        <w:rPr>
          <w:rFonts w:asciiTheme="minorEastAsia" w:eastAsiaTheme="minorEastAsia" w:hAnsiTheme="minorEastAsia" w:hint="eastAsia"/>
          <w:color w:val="000000" w:themeColor="text1"/>
          <w:sz w:val="24"/>
          <w:szCs w:val="24"/>
          <w:lang w:eastAsia="zh-CN"/>
          <w14:textFill>
            <w14:solidFill>
              <w14:schemeClr w14:val="tx1"/>
            </w14:solidFill>
          </w14:textFill>
        </w:rPr>
        <w:t>和</w:t>
      </w:r>
      <w:r>
        <w:rPr>
          <w:rFonts w:asciiTheme="minorEastAsia" w:eastAsiaTheme="minorEastAsia" w:hAnsiTheme="minorEastAsia"/>
          <w:color w:val="000000" w:themeColor="text1"/>
          <w:sz w:val="24"/>
          <w:szCs w:val="24"/>
          <w14:textFill>
            <w14:solidFill>
              <w14:schemeClr w14:val="tx1"/>
            </w14:solidFill>
          </w14:textFill>
        </w:rPr>
        <w:t>卫生综合部门，必要时可以越级报告，同时通过国家医疗器械不良事件监测信息系统报告群体医疗器械不良事件基本信息，</w:t>
      </w:r>
      <w:r>
        <w:rPr>
          <w:rFonts w:asciiTheme="minorEastAsia" w:eastAsiaTheme="minorEastAsia" w:hAnsiTheme="minorEastAsia"/>
          <w:color w:val="000000" w:themeColor="text1"/>
          <w:sz w:val="24"/>
          <w:szCs w:val="24"/>
          <w:lang w:val="zh-CN" w:eastAsia="zh-CN" w:bidi="zh-CN"/>
          <w14:textFill>
            <w14:solidFill>
              <w14:schemeClr w14:val="tx1"/>
            </w14:solidFill>
          </w14:textFill>
        </w:rPr>
        <w:t>对每一</w:t>
      </w:r>
      <w:r>
        <w:rPr>
          <w:rFonts w:asciiTheme="minorEastAsia" w:eastAsiaTheme="minorEastAsia" w:hAnsiTheme="minorEastAsia"/>
          <w:color w:val="000000" w:themeColor="text1"/>
          <w:sz w:val="24"/>
          <w:szCs w:val="24"/>
          <w14:textFill>
            <w14:solidFill>
              <w14:schemeClr w14:val="tx1"/>
            </w14:solidFill>
          </w14:textFill>
        </w:rPr>
        <w:t>事件还应当在24小时内按个例事件报告。</w:t>
      </w:r>
    </w:p>
    <w:p w14:paraId="7D86BBFE">
      <w:pPr>
        <w:pStyle w:val="Bodytext10"/>
        <w:tabs>
          <w:tab w:val="left" w:pos="425"/>
        </w:tabs>
        <w:spacing w:line="360" w:lineRule="auto"/>
        <w:ind w:left="360" w:hanging="360"/>
        <w:jc w:val="both"/>
        <w:rPr>
          <w:rFonts w:asciiTheme="minorEastAsia" w:eastAsiaTheme="minorEastAsia" w:hAnsiTheme="minorEastAsia"/>
          <w:color w:val="000000" w:themeColor="text1"/>
          <w:sz w:val="24"/>
          <w:szCs w:val="24"/>
          <w14:textFill>
            <w14:solidFill>
              <w14:schemeClr w14:val="tx1"/>
            </w14:solidFill>
          </w14:textFill>
        </w:rPr>
      </w:pPr>
      <w:bookmarkStart w:id="23" w:name="bookmark23"/>
      <w:r>
        <w:rPr>
          <w:rFonts w:asciiTheme="minorEastAsia" w:eastAsiaTheme="minorEastAsia" w:hAnsiTheme="minorEastAsia"/>
          <w:sz w:val="24"/>
          <w:szCs w:val="24"/>
          <w:lang w:val="en-US" w:eastAsia="en-US" w:bidi="en-US"/>
        </w:rPr>
        <w:t>b</w:t>
      </w:r>
      <w:bookmarkEnd w:id="23"/>
      <w:r>
        <w:rPr>
          <w:rFonts w:asciiTheme="minorEastAsia" w:eastAsiaTheme="minorEastAsia" w:hAnsiTheme="minorEastAsia"/>
          <w:sz w:val="24"/>
          <w:szCs w:val="24"/>
          <w:lang w:val="en-US" w:eastAsia="en-US" w:bidi="en-US"/>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并立即组织暂停生产、销售，通知使用单位停止使用相关医疗器械，同时开展调查及生产质量管理体系自查</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并于7日内向所在地及不良事件发生地</w:t>
      </w:r>
      <w:r>
        <w:rPr>
          <w:rFonts w:asciiTheme="minorEastAsia" w:eastAsiaTheme="minorEastAsia" w:hAnsiTheme="minorEastAsia" w:hint="eastAsia"/>
          <w:color w:val="000000" w:themeColor="text1"/>
          <w:sz w:val="24"/>
          <w:szCs w:val="24"/>
          <w:lang w:eastAsia="zh-CN"/>
          <w14:textFill>
            <w14:solidFill>
              <w14:schemeClr w14:val="tx1"/>
            </w14:solidFill>
          </w14:textFill>
        </w:rPr>
        <w:t>省、自治区、直辖市</w:t>
      </w:r>
      <w:r>
        <w:rPr>
          <w:rFonts w:asciiTheme="minorEastAsia" w:eastAsiaTheme="minorEastAsia" w:hAnsiTheme="minorEastAsia"/>
          <w:color w:val="000000" w:themeColor="text1"/>
          <w:sz w:val="24"/>
          <w:szCs w:val="24"/>
          <w14:textFill>
            <w14:solidFill>
              <w14:schemeClr w14:val="tx1"/>
            </w14:solidFill>
          </w14:textFill>
        </w:rPr>
        <w:t>药品监督管理部门和监测机构报告。</w:t>
      </w:r>
    </w:p>
    <w:p w14:paraId="068D8B2C">
      <w:pPr>
        <w:pStyle w:val="Bodytext10"/>
        <w:tabs>
          <w:tab w:val="left" w:pos="425"/>
        </w:tabs>
        <w:spacing w:line="360" w:lineRule="auto"/>
        <w:ind w:left="360" w:hanging="360"/>
        <w:jc w:val="both"/>
        <w:rPr>
          <w:rFonts w:asciiTheme="minorEastAsia" w:eastAsiaTheme="minorEastAsia" w:hAnsiTheme="minorEastAsia"/>
          <w:color w:val="000000" w:themeColor="text1"/>
          <w:sz w:val="24"/>
          <w:szCs w:val="24"/>
          <w14:textFill>
            <w14:solidFill>
              <w14:schemeClr w14:val="tx1"/>
            </w14:solidFill>
          </w14:textFill>
        </w:rPr>
      </w:pPr>
      <w:bookmarkStart w:id="24" w:name="bookmark24"/>
      <w:r>
        <w:rPr>
          <w:rFonts w:asciiTheme="minorEastAsia" w:eastAsiaTheme="minorEastAsia" w:hAnsiTheme="minorEastAsia"/>
          <w:color w:val="000000" w:themeColor="text1"/>
          <w:sz w:val="24"/>
          <w:szCs w:val="24"/>
          <w:lang w:val="en-US" w:eastAsia="en-US" w:bidi="en-US"/>
          <w14:textFill>
            <w14:solidFill>
              <w14:schemeClr w14:val="tx1"/>
            </w14:solidFill>
          </w14:textFill>
        </w:rPr>
        <w:t>c</w:t>
      </w:r>
      <w:bookmarkEnd w:id="24"/>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调查应当包括产品质量状况、伤害与产品的关联性、使用环节操作和流通过程的合规性等。自查应当包括釆购、生产管理、质量控制、同型号同批次产品追踪等。</w:t>
      </w:r>
    </w:p>
    <w:p w14:paraId="7D70A860">
      <w:pPr>
        <w:pStyle w:val="Bodytext10"/>
        <w:tabs>
          <w:tab w:val="left" w:pos="425"/>
        </w:tabs>
        <w:spacing w:line="360" w:lineRule="auto"/>
        <w:ind w:left="360" w:hanging="360"/>
        <w:jc w:val="both"/>
        <w:rPr>
          <w:rFonts w:eastAsia="PMingLiU" w:asciiTheme="minorEastAsia" w:hAnsiTheme="minorEastAsia"/>
          <w:color w:val="000000" w:themeColor="text1"/>
          <w:sz w:val="24"/>
          <w:szCs w:val="24"/>
          <w14:textFill>
            <w14:solidFill>
              <w14:schemeClr w14:val="tx1"/>
            </w14:solidFill>
          </w14:textFill>
        </w:rPr>
      </w:pPr>
      <w:bookmarkStart w:id="25" w:name="bookmark25"/>
      <w:r>
        <w:rPr>
          <w:rFonts w:asciiTheme="minorEastAsia" w:eastAsiaTheme="minorEastAsia" w:hAnsiTheme="minorEastAsia"/>
          <w:color w:val="000000" w:themeColor="text1"/>
          <w:sz w:val="24"/>
          <w:szCs w:val="24"/>
          <w:lang w:val="en-US" w:eastAsia="en-US" w:bidi="en-US"/>
          <w14:textFill>
            <w14:solidFill>
              <w14:schemeClr w14:val="tx1"/>
            </w14:solidFill>
          </w14:textFill>
        </w:rPr>
        <w:t>d</w:t>
      </w:r>
      <w:bookmarkEnd w:id="25"/>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应当分析事件发生的原因，及时发布风险警示信息，将自查情况和所釆取的控制措施报所在地及不良事件发生地</w:t>
      </w:r>
      <w:r>
        <w:rPr>
          <w:rFonts w:asciiTheme="minorEastAsia" w:eastAsiaTheme="minorEastAsia" w:hAnsiTheme="minorEastAsia" w:hint="eastAsia"/>
          <w:color w:val="000000" w:themeColor="text1"/>
          <w:sz w:val="24"/>
          <w:szCs w:val="24"/>
          <w:lang w:eastAsia="zh-CN"/>
          <w14:textFill>
            <w14:solidFill>
              <w14:schemeClr w14:val="tx1"/>
            </w14:solidFill>
          </w14:textFill>
        </w:rPr>
        <w:t>省、自治区、直辖市</w:t>
      </w:r>
      <w:r>
        <w:rPr>
          <w:rFonts w:asciiTheme="minorEastAsia" w:eastAsiaTheme="minorEastAsia" w:hAnsiTheme="minorEastAsia"/>
          <w:color w:val="000000" w:themeColor="text1"/>
          <w:sz w:val="24"/>
          <w:szCs w:val="24"/>
          <w14:textFill>
            <w14:solidFill>
              <w14:schemeClr w14:val="tx1"/>
            </w14:solidFill>
          </w14:textFill>
        </w:rPr>
        <w:t>药品监督管理部门，必要时应当召回相关医疗器械</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21E6BC48">
      <w:pPr>
        <w:pStyle w:val="Bodytext10"/>
        <w:numPr>
          <w:ilvl w:val="1"/>
          <w:numId w:val="1"/>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eastAsia="zh-CN"/>
          <w14:textFill>
            <w14:solidFill>
              <w14:schemeClr w14:val="tx1"/>
            </w14:solidFill>
          </w14:textFill>
        </w:rPr>
        <w:t>风险控制</w:t>
      </w:r>
    </w:p>
    <w:p w14:paraId="25B1D9A0">
      <w:pPr>
        <w:pStyle w:val="Bodytext10"/>
        <w:spacing w:line="360" w:lineRule="auto"/>
        <w:ind w:left="567"/>
        <w:rPr>
          <w:rFonts w:eastAsia="PMingLiU" w:ascii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通过医疗器械不良事件监测，发现存在可能危及人体健康和生命安全的不合理风险的医疗器械，应当根据情况采取以下风险控制措施，并报告所在地省、自治区、直辖市药品监督管理部门</w:t>
      </w:r>
      <w:r>
        <w:rPr>
          <w:rFonts w:asciiTheme="minorEastAsia" w:eastAsiaTheme="minorEastAsia" w:hAnsiTheme="minorEastAsia"/>
          <w:color w:val="000000" w:themeColor="text1"/>
          <w:sz w:val="24"/>
          <w:szCs w:val="24"/>
          <w14:textFill>
            <w14:solidFill>
              <w14:schemeClr w14:val="tx1"/>
            </w14:solidFill>
          </w14:textFill>
        </w:rPr>
        <w:t>:</w:t>
      </w:r>
    </w:p>
    <w:p w14:paraId="5EE8DB35">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停止生产、销售相关产品</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53855814">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通知医疗器械经营企业、使用单位暂停销售和使用</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06A47FFE">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实施产品召回</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2B7E9055">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发布风险信息</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2F3502CB">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对生产质量管理体系进行自查，并对相关问题进行整改</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2A5412C7">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修改说明书、标签、操作手册等</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69D4F4BC">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改进生产工艺、设计、产品技术要求等</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6C20F843">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开展医疗器械再评价</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1ED86935">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按规定进行变更注册或者备案</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p>
    <w:p w14:paraId="6E3E41B8">
      <w:pPr>
        <w:pStyle w:val="Bodytext10"/>
        <w:numPr>
          <w:ilvl w:val="0"/>
          <w:numId w:val="3"/>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其他需要采取的风险控制措施。</w:t>
      </w:r>
    </w:p>
    <w:p w14:paraId="36A106B0">
      <w:pPr>
        <w:pStyle w:val="Bodytext10"/>
        <w:spacing w:line="360" w:lineRule="auto"/>
        <w:ind w:left="567"/>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14:textFill>
            <w14:solidFill>
              <w14:schemeClr w14:val="tx1"/>
            </w14:solidFill>
          </w14:textFill>
        </w:rPr>
        <w:t>与用械安全相关的</w:t>
      </w:r>
      <w:r>
        <w:rPr>
          <w:rFonts w:asciiTheme="minorEastAsia" w:eastAsiaTheme="minorEastAsia" w:hAnsiTheme="minorEastAsia" w:hint="eastAsia"/>
          <w:color w:val="000000" w:themeColor="text1"/>
          <w:sz w:val="24"/>
          <w:szCs w:val="24"/>
          <w:lang w:eastAsia="zh-CN"/>
          <w14:textFill>
            <w14:solidFill>
              <w14:schemeClr w14:val="tx1"/>
            </w14:solidFill>
          </w14:textFill>
        </w:rPr>
        <w:t>风险</w:t>
      </w:r>
      <w:r>
        <w:rPr>
          <w:rFonts w:asciiTheme="minorEastAsia" w:eastAsiaTheme="minorEastAsia" w:hAnsiTheme="minorEastAsia" w:hint="eastAsia"/>
          <w:color w:val="000000" w:themeColor="text1"/>
          <w:sz w:val="24"/>
          <w:szCs w:val="24"/>
          <w14:textFill>
            <w14:solidFill>
              <w14:schemeClr w14:val="tx1"/>
            </w14:solidFill>
          </w14:textFill>
        </w:rPr>
        <w:t>及处置情况</w:t>
      </w:r>
      <w:r>
        <w:rPr>
          <w:rFonts w:asciiTheme="minorEastAsia" w:eastAsiaTheme="minorEastAsia" w:hAnsiTheme="minorEastAsia"/>
          <w:color w:val="000000" w:themeColor="text1"/>
          <w:sz w:val="24"/>
          <w:szCs w:val="24"/>
          <w14:textFill>
            <w14:solidFill>
              <w14:schemeClr w14:val="tx1"/>
            </w14:solidFill>
          </w14:textFill>
        </w:rPr>
        <w:t>,</w:t>
      </w:r>
      <w:r>
        <w:rPr>
          <w:rFonts w:asciiTheme="minorEastAsia" w:eastAsiaTheme="minorEastAsia" w:hAnsiTheme="minorEastAsia" w:hint="eastAsia"/>
          <w:color w:val="000000" w:themeColor="text1"/>
          <w:sz w:val="24"/>
          <w:szCs w:val="24"/>
          <w14:textFill>
            <w14:solidFill>
              <w14:schemeClr w14:val="tx1"/>
            </w14:solidFill>
          </w14:textFill>
        </w:rPr>
        <w:t>应当及时向社会公布。</w:t>
      </w:r>
    </w:p>
    <w:p w14:paraId="70D0F0FA">
      <w:pPr>
        <w:pStyle w:val="Bodytext10"/>
        <w:numPr>
          <w:ilvl w:val="1"/>
          <w:numId w:val="1"/>
        </w:numPr>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eastAsia="zh-CN"/>
          <w14:textFill>
            <w14:solidFill>
              <w14:schemeClr w14:val="tx1"/>
            </w14:solidFill>
          </w14:textFill>
        </w:rPr>
        <w:t>再评价</w:t>
      </w:r>
    </w:p>
    <w:p w14:paraId="3B0787AA">
      <w:pPr>
        <w:pStyle w:val="Bodytext10"/>
        <w:tabs>
          <w:tab w:val="left" w:pos="828"/>
        </w:tabs>
        <w:spacing w:line="360" w:lineRule="auto"/>
        <w:ind w:firstLine="400"/>
        <w:rPr>
          <w:rFonts w:asciiTheme="minorEastAsia" w:eastAsiaTheme="minorEastAsia" w:hAnsiTheme="minorEastAsia"/>
          <w:color w:val="000000" w:themeColor="text1"/>
          <w:sz w:val="24"/>
          <w:szCs w:val="24"/>
          <w14:textFill>
            <w14:solidFill>
              <w14:schemeClr w14:val="tx1"/>
            </w14:solidFill>
          </w14:textFill>
        </w:rPr>
      </w:pPr>
      <w:bookmarkStart w:id="26" w:name="bookmark33"/>
      <w:r>
        <w:rPr>
          <w:rFonts w:asciiTheme="minorEastAsia" w:eastAsiaTheme="minorEastAsia" w:hAnsiTheme="minorEastAsia"/>
          <w:color w:val="000000" w:themeColor="text1"/>
          <w:sz w:val="24"/>
          <w:szCs w:val="24"/>
          <w:lang w:val="en-US" w:eastAsia="en-US" w:bidi="en-US"/>
          <w14:textFill>
            <w14:solidFill>
              <w14:schemeClr w14:val="tx1"/>
            </w14:solidFill>
          </w14:textFill>
        </w:rPr>
        <w:t>a</w:t>
      </w:r>
      <w:bookmarkEnd w:id="26"/>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有下列情形之一的，应当主动开展再评价，并依据再评价结论，采取相应措施：</w:t>
      </w:r>
    </w:p>
    <w:p w14:paraId="127BA44D">
      <w:pPr>
        <w:pStyle w:val="Bodytext10"/>
        <w:tabs>
          <w:tab w:val="left" w:pos="1954"/>
        </w:tabs>
        <w:spacing w:line="360" w:lineRule="auto"/>
        <w:ind w:firstLine="480" w:firstLineChars="200"/>
        <w:rPr>
          <w:rFonts w:asciiTheme="minorEastAsia" w:eastAsiaTheme="minorEastAsia" w:hAnsiTheme="minorEastAsia"/>
          <w:color w:val="000000" w:themeColor="text1"/>
          <w:sz w:val="24"/>
          <w:szCs w:val="24"/>
          <w14:textFill>
            <w14:solidFill>
              <w14:schemeClr w14:val="tx1"/>
            </w14:solidFill>
          </w14:textFill>
        </w:rPr>
      </w:pPr>
      <w:bookmarkStart w:id="27" w:name="bookmark34"/>
      <w:r>
        <w:rPr>
          <w:rFonts w:asciiTheme="minorEastAsia" w:eastAsiaTheme="minorEastAsia" w:hAnsiTheme="minorEastAsia"/>
          <w:color w:val="000000" w:themeColor="text1"/>
          <w:sz w:val="24"/>
          <w:szCs w:val="24"/>
          <w14:textFill>
            <w14:solidFill>
              <w14:schemeClr w14:val="tx1"/>
            </w14:solidFill>
          </w14:textFill>
        </w:rPr>
        <w:t>（</w:t>
      </w:r>
      <w:bookmarkEnd w:id="27"/>
      <w:r>
        <w:rPr>
          <w:rFonts w:asciiTheme="minorEastAsia" w:eastAsiaTheme="minorEastAsia" w:hAnsiTheme="minorEastAsia"/>
          <w:color w:val="000000" w:themeColor="text1"/>
          <w:sz w:val="24"/>
          <w:szCs w:val="24"/>
          <w14:textFill>
            <w14:solidFill>
              <w14:schemeClr w14:val="tx1"/>
            </w14:solidFill>
          </w14:textFill>
        </w:rPr>
        <w:t>一）根据科学研究的发展，对医疗器械的安全、有效有认识上改变的；</w:t>
      </w:r>
    </w:p>
    <w:p w14:paraId="317AE26B">
      <w:pPr>
        <w:pStyle w:val="Bodytext10"/>
        <w:tabs>
          <w:tab w:val="left" w:pos="1954"/>
        </w:tabs>
        <w:spacing w:line="360" w:lineRule="auto"/>
        <w:ind w:firstLine="480" w:firstLineChars="200"/>
        <w:rPr>
          <w:rFonts w:asciiTheme="minorEastAsia" w:eastAsiaTheme="minorEastAsia" w:hAnsiTheme="minorEastAsia"/>
          <w:color w:val="000000" w:themeColor="text1"/>
          <w:sz w:val="24"/>
          <w:szCs w:val="24"/>
          <w14:textFill>
            <w14:solidFill>
              <w14:schemeClr w14:val="tx1"/>
            </w14:solidFill>
          </w14:textFill>
        </w:rPr>
      </w:pPr>
      <w:bookmarkStart w:id="28" w:name="bookmark35"/>
      <w:r>
        <w:rPr>
          <w:rFonts w:asciiTheme="minorEastAsia" w:eastAsiaTheme="minorEastAsia" w:hAnsiTheme="minorEastAsia"/>
          <w:color w:val="000000" w:themeColor="text1"/>
          <w:sz w:val="24"/>
          <w:szCs w:val="24"/>
          <w14:textFill>
            <w14:solidFill>
              <w14:schemeClr w14:val="tx1"/>
            </w14:solidFill>
          </w14:textFill>
        </w:rPr>
        <w:t>（</w:t>
      </w:r>
      <w:bookmarkEnd w:id="28"/>
      <w:r>
        <w:rPr>
          <w:rFonts w:asciiTheme="minorEastAsia" w:eastAsiaTheme="minorEastAsia" w:hAnsiTheme="minorEastAsia"/>
          <w:color w:val="000000" w:themeColor="text1"/>
          <w:sz w:val="24"/>
          <w:szCs w:val="24"/>
          <w14:textFill>
            <w14:solidFill>
              <w14:schemeClr w14:val="tx1"/>
            </w14:solidFill>
          </w14:textFill>
        </w:rPr>
        <w:t>二）医疗器械不良事件监测、评估结果表明医疗器械可能存在缺陷的；</w:t>
      </w:r>
    </w:p>
    <w:p w14:paraId="5588BA76">
      <w:pPr>
        <w:pStyle w:val="Bodytext10"/>
        <w:tabs>
          <w:tab w:val="left" w:pos="1954"/>
        </w:tabs>
        <w:spacing w:line="360" w:lineRule="auto"/>
        <w:ind w:firstLine="480" w:firstLineChars="200"/>
        <w:rPr>
          <w:rFonts w:asciiTheme="minorEastAsia" w:eastAsiaTheme="minorEastAsia" w:hAnsiTheme="minorEastAsia"/>
          <w:color w:val="000000" w:themeColor="text1"/>
          <w:sz w:val="24"/>
          <w:szCs w:val="24"/>
          <w14:textFill>
            <w14:solidFill>
              <w14:schemeClr w14:val="tx1"/>
            </w14:solidFill>
          </w14:textFill>
        </w:rPr>
      </w:pPr>
      <w:bookmarkStart w:id="29" w:name="bookmark36"/>
      <w:r>
        <w:rPr>
          <w:rFonts w:asciiTheme="minorEastAsia" w:eastAsiaTheme="minorEastAsia" w:hAnsiTheme="minorEastAsia"/>
          <w:color w:val="000000" w:themeColor="text1"/>
          <w:sz w:val="24"/>
          <w:szCs w:val="24"/>
          <w14:textFill>
            <w14:solidFill>
              <w14:schemeClr w14:val="tx1"/>
            </w14:solidFill>
          </w14:textFill>
        </w:rPr>
        <w:t>（</w:t>
      </w:r>
      <w:bookmarkEnd w:id="29"/>
      <w:r>
        <w:rPr>
          <w:rFonts w:asciiTheme="minorEastAsia" w:eastAsiaTheme="minorEastAsia" w:hAnsiTheme="minorEastAsia"/>
          <w:color w:val="000000" w:themeColor="text1"/>
          <w:sz w:val="24"/>
          <w:szCs w:val="24"/>
          <w14:textFill>
            <w14:solidFill>
              <w14:schemeClr w14:val="tx1"/>
            </w14:solidFill>
          </w14:textFill>
        </w:rPr>
        <w:t>三）国家药品监督管理局规定应当开展再评价的其他情形。</w:t>
      </w:r>
    </w:p>
    <w:p w14:paraId="560D9F61">
      <w:pPr>
        <w:pStyle w:val="Bodytext10"/>
        <w:tabs>
          <w:tab w:val="left" w:pos="828"/>
        </w:tabs>
        <w:spacing w:line="360" w:lineRule="auto"/>
        <w:ind w:left="840" w:hanging="420"/>
        <w:jc w:val="both"/>
        <w:rPr>
          <w:rFonts w:asciiTheme="minorEastAsia" w:eastAsiaTheme="minorEastAsia" w:hAnsiTheme="minorEastAsia"/>
          <w:color w:val="000000" w:themeColor="text1"/>
          <w:sz w:val="24"/>
          <w:szCs w:val="24"/>
          <w14:textFill>
            <w14:solidFill>
              <w14:schemeClr w14:val="tx1"/>
            </w14:solidFill>
          </w14:textFill>
        </w:rPr>
      </w:pPr>
      <w:bookmarkStart w:id="30" w:name="bookmark37"/>
      <w:r>
        <w:rPr>
          <w:rFonts w:asciiTheme="minorEastAsia" w:eastAsiaTheme="minorEastAsia" w:hAnsiTheme="minorEastAsia"/>
          <w:color w:val="000000" w:themeColor="text1"/>
          <w:sz w:val="24"/>
          <w:szCs w:val="24"/>
          <w:lang w:val="en-US" w:eastAsia="en-US" w:bidi="en-US"/>
          <w14:textFill>
            <w14:solidFill>
              <w14:schemeClr w14:val="tx1"/>
            </w14:solidFill>
          </w14:textFill>
        </w:rPr>
        <w:t>b</w:t>
      </w:r>
      <w:bookmarkEnd w:id="30"/>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开展医疗器械再评价，应当根据产品上市后获知和掌握的产品安全有效信息、临床数据和使用经验等</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对原医疗器械注册资料中的产品风险分析资料、产品技术要求</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说明书</w:t>
      </w:r>
      <w:r>
        <w:rPr>
          <w:rFonts w:asciiTheme="minorEastAsia" w:eastAsiaTheme="minorEastAsia" w:hAnsiTheme="minorEastAsia" w:hint="eastAsia"/>
          <w:color w:val="000000" w:themeColor="text1"/>
          <w:sz w:val="24"/>
          <w:szCs w:val="24"/>
          <w:lang w:eastAsia="zh-CN"/>
          <w14:textFill>
            <w14:solidFill>
              <w14:schemeClr w14:val="tx1"/>
            </w14:solidFill>
          </w14:textFill>
        </w:rPr>
        <w:t>、</w:t>
      </w:r>
      <w:r>
        <w:rPr>
          <w:rFonts w:asciiTheme="minorEastAsia" w:eastAsiaTheme="minorEastAsia" w:hAnsiTheme="minorEastAsia"/>
          <w:color w:val="000000" w:themeColor="text1"/>
          <w:sz w:val="24"/>
          <w:szCs w:val="24"/>
          <w14:textFill>
            <w14:solidFill>
              <w14:schemeClr w14:val="tx1"/>
            </w14:solidFill>
          </w14:textFill>
        </w:rPr>
        <w:t>标签等技术数据和内容进行重新评价。</w:t>
      </w:r>
    </w:p>
    <w:p w14:paraId="191AD5FB">
      <w:pPr>
        <w:pStyle w:val="Bodytext10"/>
        <w:tabs>
          <w:tab w:val="left" w:pos="828"/>
        </w:tabs>
        <w:spacing w:line="360" w:lineRule="auto"/>
        <w:ind w:firstLine="400"/>
        <w:jc w:val="both"/>
        <w:rPr>
          <w:rFonts w:asciiTheme="minorEastAsia" w:eastAsiaTheme="minorEastAsia" w:hAnsiTheme="minorEastAsia"/>
          <w:color w:val="000000" w:themeColor="text1"/>
          <w:sz w:val="24"/>
          <w:szCs w:val="24"/>
          <w14:textFill>
            <w14:solidFill>
              <w14:schemeClr w14:val="tx1"/>
            </w14:solidFill>
          </w14:textFill>
        </w:rPr>
      </w:pPr>
      <w:bookmarkStart w:id="31" w:name="bookmark38"/>
      <w:r>
        <w:rPr>
          <w:rFonts w:asciiTheme="minorEastAsia" w:eastAsiaTheme="minorEastAsia" w:hAnsiTheme="minorEastAsia"/>
          <w:color w:val="000000" w:themeColor="text1"/>
          <w:sz w:val="24"/>
          <w:szCs w:val="24"/>
          <w:lang w:val="en-US" w:eastAsia="en-US" w:bidi="en-US"/>
          <w14:textFill>
            <w14:solidFill>
              <w14:schemeClr w14:val="tx1"/>
            </w14:solidFill>
          </w14:textFill>
        </w:rPr>
        <w:t>c</w:t>
      </w:r>
      <w:bookmarkEnd w:id="31"/>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评价报告应当包括产品风险受益评估、社会经济效益评估、技术进展评估、拟采取的措施建议等。</w:t>
      </w:r>
    </w:p>
    <w:p w14:paraId="3146B32A">
      <w:pPr>
        <w:pStyle w:val="Bodytext10"/>
        <w:tabs>
          <w:tab w:val="left" w:pos="828"/>
        </w:tabs>
        <w:spacing w:line="360" w:lineRule="auto"/>
        <w:ind w:left="840" w:hanging="420"/>
        <w:rPr>
          <w:rFonts w:asciiTheme="minorEastAsia" w:eastAsiaTheme="minorEastAsia" w:hAnsiTheme="minorEastAsia"/>
          <w:color w:val="000000" w:themeColor="text1"/>
          <w:sz w:val="24"/>
          <w:szCs w:val="24"/>
          <w14:textFill>
            <w14:solidFill>
              <w14:schemeClr w14:val="tx1"/>
            </w14:solidFill>
          </w14:textFill>
        </w:rPr>
      </w:pPr>
      <w:bookmarkStart w:id="32" w:name="bookmark39"/>
      <w:r>
        <w:rPr>
          <w:rFonts w:asciiTheme="minorEastAsia" w:eastAsiaTheme="minorEastAsia" w:hAnsiTheme="minorEastAsia"/>
          <w:color w:val="000000" w:themeColor="text1"/>
          <w:sz w:val="24"/>
          <w:szCs w:val="24"/>
          <w:lang w:val="en-US" w:eastAsia="en-US" w:bidi="en-US"/>
          <w14:textFill>
            <w14:solidFill>
              <w14:schemeClr w14:val="tx1"/>
            </w14:solidFill>
          </w14:textFill>
        </w:rPr>
        <w:t>d</w:t>
      </w:r>
      <w:bookmarkEnd w:id="32"/>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主动开展医疗器械再评价的，应当制定再评价工作方案。通过再评价确定需要釆取</w:t>
      </w:r>
      <w:r>
        <w:rPr>
          <w:rFonts w:asciiTheme="minorEastAsia" w:eastAsiaTheme="minorEastAsia" w:hAnsiTheme="minorEastAsia" w:hint="eastAsia"/>
          <w:color w:val="000000" w:themeColor="text1"/>
          <w:sz w:val="24"/>
          <w:szCs w:val="24"/>
          <w:lang w:eastAsia="zh-CN"/>
          <w14:textFill>
            <w14:solidFill>
              <w14:schemeClr w14:val="tx1"/>
            </w14:solidFill>
          </w14:textFill>
        </w:rPr>
        <w:t>控</w:t>
      </w:r>
      <w:r>
        <w:rPr>
          <w:rFonts w:asciiTheme="minorEastAsia" w:eastAsiaTheme="minorEastAsia" w:hAnsiTheme="minorEastAsia"/>
          <w:color w:val="000000" w:themeColor="text1"/>
          <w:sz w:val="24"/>
          <w:szCs w:val="24"/>
          <w14:textFill>
            <w14:solidFill>
              <w14:schemeClr w14:val="tx1"/>
            </w14:solidFill>
          </w14:textFill>
        </w:rPr>
        <w:t>制措施的， 应当在再评价结论形成后15日内，</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向所在地的药监管理部门</w:t>
      </w:r>
      <w:r>
        <w:rPr>
          <w:rFonts w:asciiTheme="minorEastAsia" w:eastAsiaTheme="minorEastAsia" w:hAnsiTheme="minorEastAsia"/>
          <w:color w:val="000000" w:themeColor="text1"/>
          <w:sz w:val="24"/>
          <w:szCs w:val="24"/>
          <w14:textFill>
            <w14:solidFill>
              <w14:schemeClr w14:val="tx1"/>
            </w14:solidFill>
          </w14:textFill>
        </w:rPr>
        <w:t>提交再评价报告。</w:t>
      </w:r>
      <w:bookmarkStart w:id="33" w:name="bookmark40"/>
    </w:p>
    <w:p w14:paraId="3F69047B">
      <w:pPr>
        <w:pStyle w:val="Bodytext10"/>
        <w:tabs>
          <w:tab w:val="left" w:pos="828"/>
        </w:tabs>
        <w:spacing w:line="360" w:lineRule="auto"/>
        <w:ind w:left="840" w:hanging="420"/>
        <w:rPr>
          <w:rFonts w:asciiTheme="minorEastAsia" w:eastAsiaTheme="minorEastAsia" w:hAnsiTheme="minorEastAsia"/>
          <w:color w:val="000000" w:themeColor="text1"/>
          <w:sz w:val="24"/>
          <w:szCs w:val="24"/>
          <w:lang w:val="en-US" w:eastAsia="zh-CN"/>
          <w14:textFill>
            <w14:solidFill>
              <w14:schemeClr w14:val="tx1"/>
            </w14:solidFill>
          </w14:textFill>
        </w:rPr>
      </w:pPr>
      <w:r>
        <w:rPr>
          <w:rFonts w:asciiTheme="minorEastAsia" w:eastAsiaTheme="minorEastAsia" w:hAnsiTheme="minorEastAsia"/>
          <w:color w:val="000000" w:themeColor="text1"/>
          <w:sz w:val="24"/>
          <w:szCs w:val="24"/>
          <w:lang w:val="en-US" w:eastAsia="en-US" w:bidi="en-US"/>
          <w14:textFill>
            <w14:solidFill>
              <w14:schemeClr w14:val="tx1"/>
            </w14:solidFill>
          </w14:textFill>
        </w:rPr>
        <w:t>e</w:t>
      </w:r>
      <w:bookmarkEnd w:id="33"/>
      <w:r>
        <w:rPr>
          <w:rFonts w:asciiTheme="minorEastAsia" w:eastAsiaTheme="minorEastAsia" w:hAnsiTheme="minorEastAsia"/>
          <w:color w:val="000000" w:themeColor="text1"/>
          <w:sz w:val="24"/>
          <w:szCs w:val="24"/>
          <w:lang w:val="en-US" w:eastAsia="en-US" w:bidi="en-US"/>
          <w14:textFill>
            <w14:solidFill>
              <w14:schemeClr w14:val="tx1"/>
            </w14:solidFill>
          </w14:textFill>
        </w:rPr>
        <w:t>）</w:t>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lang w:val="en-US" w:eastAsia="en-US" w:bidi="en-US"/>
          <w14:textFill>
            <w14:solidFill>
              <w14:schemeClr w14:val="tx1"/>
            </w14:solidFill>
          </w14:textFill>
        </w:rPr>
        <w:tab/>
      </w:r>
      <w:r>
        <w:rPr>
          <w:rFonts w:asciiTheme="minorEastAsia" w:eastAsiaTheme="minorEastAsia" w:hAnsiTheme="minorEastAsia"/>
          <w:color w:val="000000" w:themeColor="text1"/>
          <w:sz w:val="24"/>
          <w:szCs w:val="24"/>
          <w14:textFill>
            <w14:solidFill>
              <w14:schemeClr w14:val="tx1"/>
            </w14:solidFill>
          </w14:textFill>
        </w:rPr>
        <w:t>药品监督管理部门对开展的再评价结论有异议的，公司应当按照药品监督管理部门的要求重新</w:t>
      </w:r>
      <w:r>
        <w:rPr>
          <w:rFonts w:asciiTheme="minorEastAsia" w:eastAsiaTheme="minorEastAsia" w:hAnsiTheme="minorEastAsia" w:hint="eastAsia"/>
          <w:color w:val="000000" w:themeColor="text1"/>
          <w:sz w:val="24"/>
          <w:szCs w:val="24"/>
          <w:lang w:val="en-US" w:eastAsia="zh-CN"/>
          <w14:textFill>
            <w14:solidFill>
              <w14:schemeClr w14:val="tx1"/>
            </w14:solidFill>
          </w14:textFill>
        </w:rPr>
        <w:t>确认再评价结果或者重新开展再评价。</w:t>
      </w:r>
    </w:p>
    <w:p w14:paraId="23CBCEF5">
      <w:pPr>
        <w:pStyle w:val="Bodytext10"/>
        <w:numPr>
          <w:ilvl w:val="1"/>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不良事件监测记录</w:t>
      </w:r>
    </w:p>
    <w:p w14:paraId="0F8A20B2">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记录内容：不良事件发现、报告、评价和控制过程中有关的文件记录。</w:t>
      </w:r>
    </w:p>
    <w:p w14:paraId="1F584B67">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保存期限：记录应保存至医疗器械有效期后2年，但应当不少于5年。</w:t>
      </w:r>
    </w:p>
    <w:p w14:paraId="189E6A68">
      <w:pPr>
        <w:pStyle w:val="Bodytext10"/>
        <w:numPr>
          <w:ilvl w:val="1"/>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不良事件监测培训</w:t>
      </w:r>
    </w:p>
    <w:p w14:paraId="5D5B561A">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医疗器械不良事件监测工作培训纳入企业年度培训计划，由领导小组负责审核并组织实施。</w:t>
      </w:r>
    </w:p>
    <w:p w14:paraId="362DF4A9">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医疗器械不良事件监</w:t>
      </w:r>
      <w:r>
        <w:rPr>
          <w:rFonts w:asciiTheme="minorEastAsia" w:eastAsiaTheme="minorEastAsia" w:hAnsiTheme="minorEastAsia"/>
          <w:color w:val="000000" w:themeColor="text1"/>
          <w:sz w:val="24"/>
          <w:szCs w:val="24"/>
          <w:lang w:val="zh-CN" w:eastAsia="zh-CN" w:bidi="zh-CN"/>
          <w14:textFill>
            <w14:solidFill>
              <w14:schemeClr w14:val="tx1"/>
            </w14:solidFill>
          </w14:textFill>
        </w:rPr>
        <w:t>测工作</w:t>
      </w:r>
      <w:r>
        <w:rPr>
          <w:rFonts w:asciiTheme="minorEastAsia" w:eastAsiaTheme="minorEastAsia" w:hAnsiTheme="minorEastAsia"/>
          <w:color w:val="000000" w:themeColor="text1"/>
          <w:sz w:val="24"/>
          <w:szCs w:val="24"/>
          <w14:textFill>
            <w14:solidFill>
              <w14:schemeClr w14:val="tx1"/>
            </w14:solidFill>
          </w14:textFill>
        </w:rPr>
        <w:t>培训对象为公司全体人员。</w:t>
      </w:r>
    </w:p>
    <w:p w14:paraId="329A1815">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培训内容应当包含现行相关法律法规，公司工作程序，医疗器械不良事件监测相关知识、分析评价 方法、合理用械知识等。</w:t>
      </w:r>
    </w:p>
    <w:p w14:paraId="511F1610">
      <w:pPr>
        <w:pStyle w:val="Bodytext10"/>
        <w:numPr>
          <w:ilvl w:val="2"/>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培训结束应当进行效果评估，通过调查问卷、书面考试等方式评价培训效果，并建立培训档案，包括人员签到表、考核表等资料。</w:t>
      </w:r>
      <w:bookmarkStart w:id="34" w:name="bookmark44"/>
      <w:bookmarkEnd w:id="34"/>
    </w:p>
    <w:p w14:paraId="045E2CDC">
      <w:pPr>
        <w:pStyle w:val="Bodytext10"/>
        <w:numPr>
          <w:ilvl w:val="0"/>
          <w:numId w:val="1"/>
        </w:numPr>
        <w:tabs>
          <w:tab w:val="left" w:pos="828"/>
        </w:tabs>
        <w:spacing w:line="360" w:lineRule="auto"/>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hint="eastAsia"/>
          <w:color w:val="000000" w:themeColor="text1"/>
          <w:sz w:val="24"/>
          <w:szCs w:val="24"/>
          <w:lang w:eastAsia="zh-CN"/>
          <w14:textFill>
            <w14:solidFill>
              <w14:schemeClr w14:val="tx1"/>
            </w14:solidFill>
          </w14:textFill>
        </w:rPr>
        <w:t>相关文件</w:t>
      </w:r>
    </w:p>
    <w:p w14:paraId="05927DB4">
      <w:pPr>
        <w:pStyle w:val="Bodytext10"/>
        <w:tabs>
          <w:tab w:val="left" w:pos="828"/>
        </w:tabs>
        <w:spacing w:line="360" w:lineRule="auto"/>
        <w:ind w:firstLine="240" w:firstLineChars="100"/>
        <w:rPr>
          <w:rFonts w:asciiTheme="minorEastAsia" w:eastAsiaTheme="minorEastAsia" w:hAnsiTheme="minorEastAsia"/>
          <w:color w:val="000000" w:themeColor="text1"/>
          <w:sz w:val="24"/>
          <w:szCs w:val="24"/>
          <w14:textFill>
            <w14:solidFill>
              <w14:schemeClr w14:val="tx1"/>
            </w14:solidFill>
          </w14:textFill>
        </w:rPr>
      </w:pPr>
      <w:r>
        <w:rPr>
          <w:rFonts w:asciiTheme="minorEastAsia" w:eastAsiaTheme="minorEastAsia" w:hAnsiTheme="minorEastAsia"/>
          <w:color w:val="000000" w:themeColor="text1"/>
          <w:sz w:val="24"/>
          <w:szCs w:val="24"/>
          <w14:textFill>
            <w14:solidFill>
              <w14:schemeClr w14:val="tx1"/>
            </w14:solidFill>
          </w14:textFill>
        </w:rPr>
        <w:t>《医疗器械不良事件监测和再评价管理办法》国家市场监督管理总局令第1号</w:t>
      </w:r>
    </w:p>
    <w:p w14:paraId="03A4E386">
      <w:pPr>
        <w:pStyle w:val="Bodytext10"/>
        <w:tabs>
          <w:tab w:val="left" w:pos="828"/>
        </w:tabs>
        <w:spacing w:line="360" w:lineRule="auto"/>
        <w:ind w:firstLine="240" w:firstLineChars="100"/>
        <w:rPr>
          <w:rFonts w:asciiTheme="minorEastAsia" w:eastAsiaTheme="minorEastAsia" w:hAnsiTheme="minorEastAsia"/>
          <w:sz w:val="24"/>
          <w:szCs w:val="24"/>
          <w:lang w:eastAsia="zh-CN"/>
        </w:rPr>
      </w:pPr>
      <w:r>
        <w:rPr>
          <w:rFonts w:asciiTheme="minorEastAsia" w:eastAsiaTheme="minorEastAsia" w:hAnsiTheme="minorEastAsia"/>
          <w:sz w:val="24"/>
          <w:szCs w:val="24"/>
        </w:rPr>
        <w:t>国家药监局关于发布医疗器械</w:t>
      </w:r>
      <w:r>
        <w:rPr>
          <w:rFonts w:asciiTheme="minorEastAsia" w:eastAsiaTheme="minorEastAsia" w:hAnsiTheme="minorEastAsia" w:hint="eastAsia"/>
          <w:sz w:val="24"/>
          <w:szCs w:val="24"/>
          <w:lang w:val="en-US" w:eastAsia="zh-CN"/>
        </w:rPr>
        <w:t>注册人</w:t>
      </w:r>
      <w:r>
        <w:rPr>
          <w:rFonts w:asciiTheme="minorEastAsia" w:eastAsiaTheme="minorEastAsia" w:hAnsiTheme="minorEastAsia"/>
          <w:sz w:val="24"/>
          <w:szCs w:val="24"/>
        </w:rPr>
        <w:t>开展不良事件监测工作指南的通告（2020年第25号）</w:t>
      </w:r>
    </w:p>
    <w:p w14:paraId="5708FFDF">
      <w:pPr>
        <w:pStyle w:val="Bodytext10"/>
        <w:tabs>
          <w:tab w:val="left" w:pos="828"/>
        </w:tabs>
        <w:spacing w:line="360" w:lineRule="auto"/>
        <w:ind w:left="567"/>
        <w:rPr>
          <w:rFonts w:asciiTheme="minorEastAsia" w:eastAsiaTheme="minorEastAsia" w:hAnsiTheme="minorEastAsia"/>
          <w:sz w:val="24"/>
          <w:szCs w:val="24"/>
        </w:rPr>
      </w:pPr>
      <w:r>
        <w:rPr>
          <w:rFonts w:asciiTheme="minorEastAsia" w:eastAsiaTheme="minorEastAsia" w:hAnsiTheme="minorEastAsia"/>
          <w:sz w:val="24"/>
          <w:szCs w:val="24"/>
          <w:lang w:eastAsia="zh-CN"/>
        </w:rPr>
        <w:t>XASL</w:t>
      </w:r>
      <w:r>
        <w:rPr>
          <w:rFonts w:asciiTheme="minorEastAsia" w:eastAsiaTheme="minorEastAsia" w:hAnsiTheme="minorEastAsia"/>
          <w:sz w:val="24"/>
          <w:szCs w:val="24"/>
          <w:lang w:eastAsia="zh-CN"/>
        </w:rPr>
        <w:t>-QP-027</w:t>
      </w:r>
      <w:r>
        <w:rPr>
          <w:rFonts w:asciiTheme="minorEastAsia" w:eastAsiaTheme="minorEastAsia" w:hAnsiTheme="minorEastAsia" w:hint="eastAsia"/>
          <w:sz w:val="24"/>
          <w:szCs w:val="24"/>
          <w:lang w:eastAsia="zh-CN"/>
        </w:rPr>
        <w:t>《</w:t>
      </w:r>
      <w:r>
        <w:rPr>
          <w:rFonts w:asciiTheme="minorEastAsia" w:eastAsiaTheme="minorEastAsia" w:hAnsiTheme="minorEastAsia"/>
          <w:sz w:val="24"/>
          <w:szCs w:val="24"/>
        </w:rPr>
        <w:t>忠告性通知和产品召回控制程序</w:t>
      </w:r>
      <w:r>
        <w:rPr>
          <w:rFonts w:asciiTheme="minorEastAsia" w:eastAsiaTheme="minorEastAsia" w:hAnsiTheme="minorEastAsia" w:hint="eastAsia"/>
          <w:sz w:val="24"/>
          <w:szCs w:val="24"/>
          <w:lang w:eastAsia="zh-CN"/>
        </w:rPr>
        <w:t>》</w:t>
      </w:r>
    </w:p>
    <w:p w14:paraId="7A11F314">
      <w:pPr>
        <w:pStyle w:val="Bodytext10"/>
        <w:tabs>
          <w:tab w:val="left" w:pos="828"/>
        </w:tabs>
        <w:spacing w:line="360" w:lineRule="auto"/>
        <w:ind w:left="567"/>
        <w:rPr>
          <w:rFonts w:asciiTheme="minorEastAsia" w:eastAsiaTheme="minorEastAsia" w:hAnsiTheme="minorEastAsia"/>
          <w:sz w:val="24"/>
          <w:szCs w:val="24"/>
          <w:lang w:eastAsia="zh-CN"/>
        </w:rPr>
      </w:pPr>
      <w:r>
        <w:rPr>
          <w:rFonts w:asciiTheme="minorEastAsia" w:eastAsiaTheme="minorEastAsia" w:hAnsiTheme="minorEastAsia"/>
          <w:sz w:val="24"/>
          <w:szCs w:val="24"/>
          <w:lang w:eastAsia="zh-CN"/>
        </w:rPr>
        <w:t>XASL</w:t>
      </w:r>
      <w:r>
        <w:rPr>
          <w:rFonts w:asciiTheme="minorEastAsia" w:eastAsiaTheme="minorEastAsia" w:hAnsiTheme="minorEastAsia"/>
          <w:sz w:val="24"/>
          <w:szCs w:val="24"/>
          <w:lang w:eastAsia="zh-CN"/>
        </w:rPr>
        <w:t>-QP-028</w:t>
      </w:r>
      <w:r>
        <w:rPr>
          <w:rFonts w:asciiTheme="minorEastAsia" w:eastAsiaTheme="minorEastAsia" w:hAnsiTheme="minorEastAsia" w:hint="eastAsia"/>
          <w:sz w:val="24"/>
          <w:szCs w:val="24"/>
          <w:lang w:eastAsia="zh-CN"/>
        </w:rPr>
        <w:t>《</w:t>
      </w:r>
      <w:r>
        <w:rPr>
          <w:rFonts w:asciiTheme="minorEastAsia" w:eastAsiaTheme="minorEastAsia" w:hAnsiTheme="minorEastAsia"/>
          <w:sz w:val="24"/>
          <w:szCs w:val="24"/>
        </w:rPr>
        <w:t>顾客抱怨处理程序</w:t>
      </w:r>
      <w:r>
        <w:rPr>
          <w:rFonts w:asciiTheme="minorEastAsia" w:eastAsiaTheme="minorEastAsia" w:hAnsiTheme="minorEastAsia" w:hint="eastAsia"/>
          <w:sz w:val="24"/>
          <w:szCs w:val="24"/>
          <w:lang w:eastAsia="zh-CN"/>
        </w:rPr>
        <w:t>》</w:t>
      </w:r>
      <w:bookmarkStart w:id="35" w:name="bookmark45"/>
      <w:bookmarkEnd w:id="35"/>
    </w:p>
    <w:p w14:paraId="35FE79C0">
      <w:pPr>
        <w:pStyle w:val="Bodytext10"/>
        <w:numPr>
          <w:ilvl w:val="0"/>
          <w:numId w:val="1"/>
        </w:numPr>
        <w:spacing w:after="160" w:line="360" w:lineRule="auto"/>
        <w:rPr>
          <w:rFonts w:asciiTheme="minorEastAsia" w:eastAsiaTheme="minorEastAsia" w:hAnsiTheme="minorEastAsia"/>
          <w:sz w:val="24"/>
          <w:szCs w:val="24"/>
        </w:rPr>
      </w:pPr>
      <w:r>
        <w:rPr>
          <w:rFonts w:asciiTheme="minorEastAsia" w:eastAsiaTheme="minorEastAsia" w:hAnsiTheme="minorEastAsia" w:hint="eastAsia"/>
          <w:sz w:val="24"/>
          <w:szCs w:val="24"/>
          <w:lang w:eastAsia="zh-CN"/>
        </w:rPr>
        <w:t>修订历史</w:t>
      </w:r>
    </w:p>
    <w:tbl>
      <w:tblPr>
        <w:tblStyle w:val="TableGrid"/>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87"/>
        <w:gridCol w:w="2187"/>
        <w:gridCol w:w="4374"/>
      </w:tblGrid>
      <w:tr w14:paraId="030D1507">
        <w:tblPrEx>
          <w:tblW w:w="8748" w:type="dxa"/>
          <w:tblInd w:w="0" w:type="dxa"/>
          <w:tblLayout w:type="fixed"/>
        </w:tblPrEx>
        <w:tc>
          <w:tcPr>
            <w:tcW w:w="8748" w:type="dxa"/>
            <w:gridSpan w:val="3"/>
          </w:tcPr>
          <w:p w14:paraId="77862908">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修订历史</w:t>
            </w:r>
          </w:p>
        </w:tc>
      </w:tr>
      <w:tr w14:paraId="2D4D3339">
        <w:tblPrEx>
          <w:tblW w:w="8748" w:type="dxa"/>
          <w:tblInd w:w="0" w:type="dxa"/>
          <w:tblLayout w:type="fixed"/>
        </w:tblPrEx>
        <w:tc>
          <w:tcPr>
            <w:tcW w:w="2187" w:type="dxa"/>
          </w:tcPr>
          <w:p w14:paraId="37783FEF">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版本</w:t>
            </w:r>
          </w:p>
        </w:tc>
        <w:tc>
          <w:tcPr>
            <w:tcW w:w="2187" w:type="dxa"/>
          </w:tcPr>
          <w:p w14:paraId="10298295">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生效日期</w:t>
            </w:r>
          </w:p>
        </w:tc>
        <w:tc>
          <w:tcPr>
            <w:tcW w:w="4374" w:type="dxa"/>
          </w:tcPr>
          <w:p w14:paraId="578DD951">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更改记录</w:t>
            </w:r>
          </w:p>
        </w:tc>
      </w:tr>
      <w:tr w14:paraId="35ADC736">
        <w:tblPrEx>
          <w:tblW w:w="8748" w:type="dxa"/>
          <w:tblInd w:w="0" w:type="dxa"/>
          <w:tblLayout w:type="fixed"/>
        </w:tblPrEx>
        <w:tc>
          <w:tcPr>
            <w:tcW w:w="2187" w:type="dxa"/>
          </w:tcPr>
          <w:p w14:paraId="5418A61F">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A/0</w:t>
            </w:r>
          </w:p>
        </w:tc>
        <w:tc>
          <w:tcPr>
            <w:tcW w:w="2187" w:type="dxa"/>
          </w:tcPr>
          <w:p w14:paraId="526CBA5A">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2026.02.05</w:t>
            </w:r>
          </w:p>
        </w:tc>
        <w:tc>
          <w:tcPr>
            <w:tcW w:w="4374" w:type="dxa"/>
          </w:tcPr>
          <w:p w14:paraId="07884A38">
            <w:pPr>
              <w:spacing w:before="147" w:line="360" w:lineRule="auto"/>
              <w:jc w:val="center"/>
              <w:rPr>
                <w:rFonts w:asciiTheme="minorEastAsia" w:eastAsiaTheme="minorEastAsia" w:hAnsiTheme="minorEastAsia" w:cs="宋体"/>
                <w:spacing w:val="8"/>
                <w:lang w:eastAsia="zh-CN"/>
              </w:rPr>
            </w:pPr>
            <w:r>
              <w:rPr>
                <w:rFonts w:asciiTheme="minorEastAsia" w:eastAsiaTheme="minorEastAsia" w:hAnsiTheme="minorEastAsia" w:cs="宋体" w:hint="eastAsia"/>
                <w:spacing w:val="8"/>
                <w:lang w:eastAsia="zh-CN"/>
              </w:rPr>
              <w:t>新文件发放</w:t>
            </w:r>
          </w:p>
        </w:tc>
      </w:tr>
    </w:tbl>
    <w:p w14:paraId="741A9F20">
      <w:pPr>
        <w:tabs>
          <w:tab w:val="left" w:pos="5651"/>
        </w:tabs>
      </w:pPr>
      <w:r>
        <w:tab/>
      </w:r>
    </w:p>
    <w:sectPr>
      <w:headerReference w:type="default" r:id="rId5"/>
      <w:footerReference w:type="default" r:id="rId6"/>
      <w:pgSz w:w="11900" w:h="16840"/>
      <w:pgMar w:top="819" w:right="907" w:bottom="835" w:left="1085" w:header="391" w:footer="407" w:gutter="0"/>
      <w:pgNumType w:start="1"/>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华文彩云">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Arial Unicode MS">
    <w:altName w:val="宋体"/>
    <w:panose1 w:val="020B0604020202020204"/>
    <w:charset w:val="86"/>
    <w:family w:val="swiss"/>
    <w:pitch w:val="default"/>
    <w:sig w:usb0="00000000" w:usb1="00000000" w:usb2="0000003F" w:usb3="00000000" w:csb0="003F01FF" w:csb1="00000000"/>
  </w:font>
  <w:font w:name="华文新魏">
    <w:altName w:val="宋体"/>
    <w:panose1 w:val="02010800040101010101"/>
    <w:charset w:val="86"/>
    <w:family w:val="auto"/>
    <w:pitch w:val="default"/>
    <w:sig w:usb0="00000000" w:usb1="00000000" w:usb2="00000010" w:usb3="00000000" w:csb0="00040000" w:csb1="00000000"/>
  </w:font>
  <w:font w:name="华文细黑">
    <w:altName w:val="微软雅黑"/>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21F7FE">
    <w:pPr>
      <w:pStyle w:val="Footer"/>
    </w:pPr>
    <w:r>
      <w:rPr>
        <w:lang w:eastAsia="zh-CN" w:bidi="ar-SA"/>
      </w:rPr>
      <w:pict>
        <v:shapetype id="_x0000_t202" coordsize="21600,21600" o:spt="202" path="m,l,21600r21600,l21600,xe">
          <v:stroke joinstyle="miter"/>
          <v:path gradientshapeok="t" o:connecttype="rect"/>
        </v:shapetype>
        <v:shape id="_x0000_s2049" o:spid="_x0000_s2049" type="#_x0000_t202" style="width:2in;height:2in;margin-top:0;margin-left:0;mso-height-relative:page;mso-position-horizontal:center;mso-position-horizontal-relative:margin;mso-width-relative:page;mso-wrap-style:none;position:absolute;z-index:251658240" coordsize="21600,21600" filled="f" stroked="f">
          <v:stroke joinstyle="miter"/>
          <o:lock v:ext="edit" aspectratio="f"/>
          <v:textbox style="mso-fit-shape-to-text:t" inset="0,0,0,0">
            <w:txbxContent>
              <w:p w14:paraId="2FC73783">
                <w:pPr>
                  <w:pStyle w:val="Footer"/>
                  <w:rPr>
                    <w:rFonts w:eastAsia="宋体"/>
                    <w:lang w:eastAsia="zh-CN"/>
                  </w:rPr>
                </w:pPr>
                <w:r>
                  <w:rPr>
                    <w:rFonts w:eastAsia="宋体" w:hint="eastAsia"/>
                    <w:lang w:eastAsia="zh-CN"/>
                  </w:rPr>
                  <w:t xml:space="preserve">第 </w:t>
                </w: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4</w:t>
                </w:r>
                <w:r>
                  <w:rPr>
                    <w:rFonts w:eastAsia="宋体" w:hint="eastAsia"/>
                    <w:lang w:eastAsia="zh-CN"/>
                  </w:rPr>
                  <w:fldChar w:fldCharType="end"/>
                </w:r>
                <w:r>
                  <w:rPr>
                    <w:rFonts w:eastAsia="宋体" w:hint="eastAsia"/>
                    <w:lang w:eastAsia="zh-CN"/>
                  </w:rPr>
                  <w:t xml:space="preserve"> 页 共 </w:t>
                </w:r>
                <w:r>
                  <w:rPr>
                    <w:rFonts w:eastAsia="宋体" w:hint="eastAsia"/>
                    <w:lang w:eastAsia="zh-CN"/>
                  </w:rPr>
                  <w:fldChar w:fldCharType="begin"/>
                </w:r>
                <w:r>
                  <w:rPr>
                    <w:rFonts w:eastAsia="宋体" w:hint="eastAsia"/>
                    <w:lang w:eastAsia="zh-CN"/>
                  </w:rPr>
                  <w:instrText xml:space="preserve"> NUMPAGES  \* MERGEFORMAT </w:instrText>
                </w:r>
                <w:r>
                  <w:rPr>
                    <w:rFonts w:eastAsia="宋体" w:hint="eastAsia"/>
                    <w:lang w:eastAsia="zh-CN"/>
                  </w:rPr>
                  <w:fldChar w:fldCharType="separate"/>
                </w:r>
                <w:r>
                  <w:rPr>
                    <w:rFonts w:eastAsia="宋体"/>
                    <w:lang w:eastAsia="zh-CN"/>
                  </w:rPr>
                  <w:t>4</w:t>
                </w:r>
                <w:r>
                  <w:rPr>
                    <w:rFonts w:eastAsia="宋体" w:hint="eastAsia"/>
                    <w:lang w:eastAsia="zh-CN"/>
                  </w:rPr>
                  <w:fldChar w:fldCharType="end"/>
                </w:r>
                <w:r>
                  <w:rPr>
                    <w:rFonts w:eastAsia="宋体" w:hint="eastAsia"/>
                    <w:lang w:eastAsia="zh-CN"/>
                  </w:rPr>
                  <w:t xml:space="preserve"> 页</w:t>
                </w:r>
              </w:p>
            </w:txbxContent>
          </v:textbox>
          <w10:wrap anchorx="margin"/>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Normal"/>
      <w:tblW w:w="9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924"/>
      <w:gridCol w:w="1693"/>
      <w:gridCol w:w="3114"/>
      <w:gridCol w:w="3208"/>
    </w:tblGrid>
    <w:tr w14:paraId="201863C4">
      <w:tblPrEx>
        <w:tblW w:w="9939" w:type="dxa"/>
        <w:tblLayout w:type="fixed"/>
      </w:tblPrEx>
      <w:trPr>
        <w:cantSplit/>
        <w:trHeight w:val="405"/>
      </w:trPr>
      <w:tc>
        <w:tcPr>
          <w:tcW w:w="1924" w:type="dxa"/>
          <w:vAlign w:val="center"/>
        </w:tcPr>
        <w:p w14:paraId="3DAD5EAE">
          <w:pPr>
            <w:pStyle w:val="Header"/>
            <w:pBdr>
              <w:bottom w:val="none" w:sz="0" w:space="0" w:color="auto"/>
            </w:pBdr>
            <w:rPr>
              <w:rFonts w:ascii="华文彩云" w:eastAsia="华文彩云" w:hAnsi="Arial Unicode MS" w:cs="Arial Unicode MS"/>
              <w:b/>
              <w:bCs/>
              <w:sz w:val="52"/>
              <w:szCs w:val="52"/>
              <w:lang w:eastAsia="zh-CN"/>
            </w:rPr>
          </w:pPr>
        </w:p>
      </w:tc>
      <w:tc>
        <w:tcPr>
          <w:tcW w:w="4807" w:type="dxa"/>
          <w:gridSpan w:val="2"/>
          <w:vAlign w:val="center"/>
        </w:tcPr>
        <w:p w14:paraId="494B9C26">
          <w:pPr>
            <w:pStyle w:val="Header"/>
            <w:pBdr>
              <w:bottom w:val="none" w:sz="0" w:space="0" w:color="auto"/>
            </w:pBdr>
            <w:jc w:val="center"/>
            <w:rPr>
              <w:rFonts w:ascii="宋体" w:hAnsi="宋体"/>
              <w:b/>
              <w:sz w:val="32"/>
              <w:szCs w:val="32"/>
            </w:rPr>
          </w:pPr>
          <w:r>
            <w:rPr>
              <w:rFonts w:ascii="宋体" w:hAnsi="宋体" w:hint="eastAsia"/>
              <w:b/>
              <w:sz w:val="32"/>
              <w:szCs w:val="32"/>
            </w:rPr>
            <w:t>河北雄安尚龙医疗科技有限公司</w:t>
          </w:r>
        </w:p>
        <w:p w14:paraId="4D260406">
          <w:pPr>
            <w:pStyle w:val="Header"/>
            <w:pBdr>
              <w:bottom w:val="none" w:sz="0" w:space="0" w:color="auto"/>
            </w:pBdr>
            <w:jc w:val="center"/>
            <w:rPr>
              <w:rFonts w:ascii="华文新魏" w:eastAsia="宋体" w:hAnsi="华文细黑"/>
              <w:b/>
              <w:sz w:val="28"/>
              <w:szCs w:val="28"/>
              <w:lang w:eastAsia="zh-CN"/>
            </w:rPr>
          </w:pPr>
          <w:r>
            <w:rPr>
              <w:rFonts w:ascii="宋体" w:eastAsia="宋体" w:hAnsi="宋体" w:hint="eastAsia"/>
              <w:b/>
              <w:sz w:val="32"/>
              <w:szCs w:val="32"/>
              <w:lang w:eastAsia="zh-CN"/>
            </w:rPr>
            <w:t>医疗器械不良事件报告和再评价程序</w:t>
          </w:r>
        </w:p>
      </w:tc>
      <w:tc>
        <w:tcPr>
          <w:tcW w:w="3208" w:type="dxa"/>
          <w:vAlign w:val="center"/>
        </w:tcPr>
        <w:p w14:paraId="3B4C8A0E">
          <w:pPr>
            <w:pStyle w:val="Header"/>
            <w:pBdr>
              <w:bottom w:val="none" w:sz="0" w:space="0" w:color="auto"/>
            </w:pBdr>
            <w:spacing w:line="360" w:lineRule="auto"/>
            <w:rPr>
              <w:rFonts w:ascii="宋体" w:eastAsia="宋体" w:hAnsi="宋体"/>
              <w:sz w:val="21"/>
              <w:szCs w:val="21"/>
              <w:lang w:eastAsia="zh-CN"/>
            </w:rPr>
          </w:pPr>
          <w:r>
            <w:rPr>
              <w:rFonts w:ascii="宋体" w:eastAsia="宋体" w:hAnsi="宋体" w:hint="eastAsia"/>
              <w:sz w:val="21"/>
              <w:szCs w:val="21"/>
              <w:lang w:eastAsia="zh-CN"/>
            </w:rPr>
            <w:t>文件编号</w:t>
          </w:r>
          <w:r>
            <w:rPr>
              <w:rFonts w:ascii="宋体" w:hAnsi="宋体" w:hint="eastAsia"/>
              <w:sz w:val="21"/>
              <w:szCs w:val="21"/>
            </w:rPr>
            <w:t>：</w:t>
          </w:r>
          <w:r>
            <w:rPr>
              <w:rFonts w:ascii="宋体" w:eastAsia="宋体" w:hAnsi="宋体" w:hint="eastAsia"/>
              <w:sz w:val="21"/>
              <w:szCs w:val="21"/>
              <w:lang w:eastAsia="zh-CN"/>
            </w:rPr>
            <w:t>XASL</w:t>
          </w:r>
          <w:r>
            <w:rPr>
              <w:rFonts w:ascii="宋体" w:eastAsia="宋体" w:hAnsi="宋体" w:hint="eastAsia"/>
              <w:sz w:val="21"/>
              <w:szCs w:val="21"/>
              <w:lang w:eastAsia="zh-CN"/>
            </w:rPr>
            <w:t>-QP-030</w:t>
          </w:r>
        </w:p>
        <w:p w14:paraId="6A933476">
          <w:pPr>
            <w:pStyle w:val="Header"/>
            <w:pBdr>
              <w:bottom w:val="none" w:sz="0" w:space="0" w:color="auto"/>
            </w:pBdr>
            <w:spacing w:line="360" w:lineRule="auto"/>
            <w:rPr>
              <w:rFonts w:ascii="宋体" w:eastAsia="宋体" w:hAnsi="宋体"/>
              <w:sz w:val="21"/>
              <w:szCs w:val="21"/>
              <w:lang w:eastAsia="zh-CN"/>
            </w:rPr>
          </w:pPr>
          <w:r>
            <w:rPr>
              <w:rFonts w:ascii="宋体" w:eastAsia="宋体" w:hAnsi="宋体" w:hint="eastAsia"/>
              <w:sz w:val="21"/>
              <w:szCs w:val="21"/>
              <w:lang w:eastAsia="zh-CN"/>
            </w:rPr>
            <w:t>版本：A/0</w:t>
          </w:r>
        </w:p>
        <w:p w14:paraId="1B71E645">
          <w:pPr>
            <w:pStyle w:val="Header"/>
            <w:pBdr>
              <w:bottom w:val="none" w:sz="0" w:space="0" w:color="auto"/>
            </w:pBdr>
            <w:spacing w:line="360" w:lineRule="auto"/>
            <w:rPr>
              <w:rFonts w:ascii="宋体" w:eastAsia="宋体" w:hAnsi="宋体"/>
              <w:sz w:val="21"/>
              <w:szCs w:val="21"/>
              <w:lang w:eastAsia="zh-CN"/>
            </w:rPr>
          </w:pPr>
          <w:r>
            <w:rPr>
              <w:rFonts w:ascii="宋体" w:eastAsia="宋体" w:hAnsi="宋体" w:hint="eastAsia"/>
              <w:sz w:val="21"/>
              <w:szCs w:val="21"/>
              <w:lang w:eastAsia="zh-CN"/>
            </w:rPr>
            <w:t>生效日期：</w:t>
          </w:r>
          <w:r>
            <w:rPr>
              <w:rFonts w:ascii="宋体" w:eastAsia="宋体" w:hAnsi="宋体" w:hint="eastAsia"/>
              <w:sz w:val="21"/>
              <w:szCs w:val="21"/>
              <w:lang w:eastAsia="zh-CN"/>
            </w:rPr>
            <w:t>2026.02.05</w:t>
          </w:r>
        </w:p>
      </w:tc>
    </w:tr>
    <w:tr w14:paraId="0D18CCEC">
      <w:tblPrEx>
        <w:tblW w:w="9939" w:type="dxa"/>
        <w:tblLayout w:type="fixed"/>
      </w:tblPrEx>
      <w:trPr>
        <w:cantSplit/>
        <w:trHeight w:val="405"/>
      </w:trPr>
      <w:tc>
        <w:tcPr>
          <w:tcW w:w="3617" w:type="dxa"/>
          <w:gridSpan w:val="2"/>
          <w:vAlign w:val="center"/>
        </w:tcPr>
        <w:p w14:paraId="535AAFF3">
          <w:pPr>
            <w:pStyle w:val="Header"/>
            <w:pBdr>
              <w:bottom w:val="none" w:sz="0" w:space="0" w:color="auto"/>
            </w:pBdr>
            <w:tabs>
              <w:tab w:val="left" w:pos="422"/>
            </w:tabs>
            <w:jc w:val="left"/>
            <w:rPr>
              <w:rFonts w:ascii="宋体" w:eastAsia="宋体" w:hAnsi="宋体" w:cs="宋体"/>
              <w:bCs/>
              <w:sz w:val="21"/>
              <w:szCs w:val="21"/>
              <w:lang w:eastAsia="zh-CN"/>
            </w:rPr>
          </w:pPr>
          <w:r>
            <w:rPr>
              <w:rFonts w:ascii="宋体" w:eastAsia="宋体" w:hAnsi="宋体" w:cs="宋体" w:hint="eastAsia"/>
              <w:bCs/>
              <w:sz w:val="21"/>
              <w:szCs w:val="21"/>
              <w:lang w:eastAsia="zh-CN"/>
            </w:rPr>
            <w:t>编制：</w:t>
          </w:r>
        </w:p>
      </w:tc>
      <w:tc>
        <w:tcPr>
          <w:tcW w:w="3114" w:type="dxa"/>
          <w:vAlign w:val="center"/>
        </w:tcPr>
        <w:p w14:paraId="549DC533">
          <w:pPr>
            <w:pStyle w:val="Header"/>
            <w:pBdr>
              <w:bottom w:val="none" w:sz="0" w:space="0" w:color="auto"/>
            </w:pBdr>
            <w:jc w:val="left"/>
            <w:rPr>
              <w:rFonts w:ascii="宋体" w:eastAsia="宋体" w:hAnsi="宋体" w:cs="宋体"/>
              <w:bCs/>
              <w:sz w:val="21"/>
              <w:szCs w:val="21"/>
              <w:lang w:eastAsia="zh-CN"/>
            </w:rPr>
          </w:pPr>
          <w:r>
            <w:rPr>
              <w:rFonts w:ascii="宋体" w:eastAsia="宋体" w:hAnsi="宋体" w:cs="宋体" w:hint="eastAsia"/>
              <w:bCs/>
              <w:sz w:val="21"/>
              <w:szCs w:val="21"/>
              <w:lang w:eastAsia="zh-CN"/>
            </w:rPr>
            <w:t>审核：</w:t>
          </w:r>
        </w:p>
      </w:tc>
      <w:tc>
        <w:tcPr>
          <w:tcW w:w="3208" w:type="dxa"/>
          <w:vAlign w:val="center"/>
        </w:tcPr>
        <w:p w14:paraId="43FF072E">
          <w:pPr>
            <w:pStyle w:val="Header"/>
            <w:pBdr>
              <w:bottom w:val="none" w:sz="0" w:space="0" w:color="auto"/>
            </w:pBdr>
            <w:spacing w:line="360" w:lineRule="auto"/>
            <w:jc w:val="left"/>
            <w:rPr>
              <w:rFonts w:ascii="宋体" w:eastAsia="宋体" w:hAnsi="宋体" w:cs="宋体"/>
              <w:bCs/>
              <w:sz w:val="21"/>
              <w:szCs w:val="21"/>
              <w:lang w:eastAsia="zh-CN"/>
            </w:rPr>
          </w:pPr>
          <w:r>
            <w:rPr>
              <w:rFonts w:ascii="宋体" w:eastAsia="宋体" w:hAnsi="宋体" w:cs="宋体" w:hint="eastAsia"/>
              <w:bCs/>
              <w:sz w:val="21"/>
              <w:szCs w:val="21"/>
              <w:lang w:eastAsia="zh-CN"/>
            </w:rPr>
            <w:t>批准：</w:t>
          </w:r>
        </w:p>
      </w:tc>
    </w:tr>
  </w:tbl>
  <w:p w14:paraId="692EF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B654F3"/>
    <w:multiLevelType w:val="singleLevel"/>
    <w:tmpl w:val="25B654F3"/>
    <w:lvl w:ilvl="0">
      <w:start w:val="1"/>
      <w:numFmt w:val="ideographDigit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
    <w:nsid w:val="75F931C8"/>
    <w:multiLevelType w:val="multilevel"/>
    <w:tmpl w:val="75F931C8"/>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nsid w:val="7FD55932"/>
    <w:multiLevelType w:val="multilevel"/>
    <w:tmpl w:val="7FD55932"/>
    <w:lvl w:ilvl="0">
      <w:start w:val="1"/>
      <w:numFmt w:val="japaneseCounting"/>
      <w:lvlText w:val="(%1）"/>
      <w:lvlJc w:val="left"/>
      <w:pPr>
        <w:ind w:left="1167" w:hanging="60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bordersDoNotSurroundHeader/>
  <w:bordersDoNotSurroundFooter/>
  <w:doNotTrackMoves/>
  <w:defaultTabStop w:val="420"/>
  <w:drawingGridHorizontalSpacing w:val="181"/>
  <w:drawingGridVerticalSpacing w:val="181"/>
  <w:characterSpacingControl w:val="compressPunctuation"/>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D36DCE"/>
    <w:rsid w:val="6982201C"/>
  </w:rsids>
  <w:docVars>
    <w:docVar w:name="commondata" w:val="eyJoZGlkIjoiZjdiZDdlY2Q0MDA3ZTg1Nzk2ODkyZjQzYTRmZDlhY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pPr>
    <w:rPr>
      <w:rFonts w:ascii="Times New Roman" w:eastAsia="Times New Roman" w:hAnsi="Times New Roman" w:cs="Times New Roman"/>
      <w:color w:val="000000"/>
      <w:sz w:val="24"/>
      <w:szCs w:val="24"/>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pPr>
      <w:spacing w:after="120" w:afterLines="0" w:afterAutospacing="0"/>
    </w:p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pBdr>
        <w:top w:val="none" w:sz="0" w:space="0" w:color="auto"/>
        <w:left w:val="none" w:sz="0" w:space="0" w:color="auto"/>
        <w:bottom w:val="none" w:sz="0" w:space="0" w:color="auto"/>
        <w:right w:val="none" w:sz="0" w:space="0" w:color="auto"/>
      </w:pBdr>
      <w:tabs>
        <w:tab w:val="center" w:pos="4153"/>
        <w:tab w:val="right" w:pos="8306"/>
      </w:tabs>
      <w:snapToGrid w:val="0"/>
      <w:jc w:val="both"/>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1">
    <w:name w:val="Picture caption|1_"/>
    <w:basedOn w:val="DefaultParagraphFont"/>
    <w:link w:val="Picturecaption10"/>
    <w:rPr>
      <w:rFonts w:ascii="宋体" w:eastAsia="宋体" w:hAnsi="宋体" w:cs="宋体"/>
      <w:sz w:val="12"/>
      <w:szCs w:val="12"/>
      <w:u w:val="none"/>
      <w:shd w:val="clear" w:color="auto" w:fill="auto"/>
      <w:lang w:val="zh-TW" w:eastAsia="zh-TW" w:bidi="zh-TW"/>
    </w:rPr>
  </w:style>
  <w:style w:type="paragraph" w:customStyle="1" w:styleId="Picturecaption10">
    <w:name w:val="Picture caption|1"/>
    <w:basedOn w:val="Normal"/>
    <w:link w:val="Picturecaption1"/>
    <w:rPr>
      <w:rFonts w:ascii="宋体" w:eastAsia="宋体" w:hAnsi="宋体" w:cs="宋体"/>
      <w:sz w:val="12"/>
      <w:szCs w:val="12"/>
      <w:lang w:val="zh-TW" w:eastAsia="zh-TW" w:bidi="zh-TW"/>
    </w:rPr>
  </w:style>
  <w:style w:type="character" w:customStyle="1" w:styleId="Bodytext1">
    <w:name w:val="Body text|1_"/>
    <w:basedOn w:val="DefaultParagraphFont"/>
    <w:link w:val="Bodytext10"/>
    <w:rPr>
      <w:rFonts w:ascii="宋体" w:eastAsia="宋体" w:hAnsi="宋体" w:cs="宋体"/>
      <w:sz w:val="20"/>
      <w:szCs w:val="20"/>
      <w:u w:val="none"/>
      <w:shd w:val="clear" w:color="auto" w:fill="auto"/>
      <w:lang w:val="zh-TW" w:eastAsia="zh-TW" w:bidi="zh-TW"/>
    </w:rPr>
  </w:style>
  <w:style w:type="paragraph" w:customStyle="1" w:styleId="Bodytext10">
    <w:name w:val="Body text|1"/>
    <w:basedOn w:val="Normal"/>
    <w:link w:val="Bodytext1"/>
    <w:pPr>
      <w:spacing w:line="430" w:lineRule="auto"/>
    </w:pPr>
    <w:rPr>
      <w:rFonts w:ascii="宋体" w:eastAsia="宋体" w:hAnsi="宋体" w:cs="宋体"/>
      <w:sz w:val="20"/>
      <w:szCs w:val="20"/>
      <w:lang w:val="zh-TW" w:eastAsia="zh-TW" w:bidi="zh-TW"/>
    </w:rPr>
  </w:style>
  <w:style w:type="character" w:customStyle="1" w:styleId="Bodytext2">
    <w:name w:val="Body text|2_"/>
    <w:basedOn w:val="DefaultParagraphFont"/>
    <w:link w:val="Bodytext20"/>
    <w:qFormat/>
    <w:rPr>
      <w:rFonts w:ascii="宋体" w:eastAsia="宋体" w:hAnsi="宋体" w:cs="宋体"/>
      <w:sz w:val="12"/>
      <w:szCs w:val="12"/>
      <w:u w:val="none"/>
      <w:shd w:val="clear" w:color="auto" w:fill="auto"/>
      <w:lang w:val="zh-TW" w:eastAsia="zh-TW" w:bidi="zh-TW"/>
    </w:rPr>
  </w:style>
  <w:style w:type="paragraph" w:customStyle="1" w:styleId="Bodytext20">
    <w:name w:val="Body text|2"/>
    <w:basedOn w:val="Normal"/>
    <w:link w:val="Bodytext2"/>
    <w:pPr>
      <w:spacing w:line="172" w:lineRule="exact"/>
    </w:pPr>
    <w:rPr>
      <w:rFonts w:ascii="宋体" w:eastAsia="宋体" w:hAnsi="宋体" w:cs="宋体"/>
      <w:sz w:val="12"/>
      <w:szCs w:val="12"/>
      <w:lang w:val="zh-TW" w:eastAsia="zh-TW" w:bidi="zh-TW"/>
    </w:rPr>
  </w:style>
  <w:style w:type="character" w:customStyle="1" w:styleId="Bodytext4">
    <w:name w:val="Body text|4_"/>
    <w:basedOn w:val="DefaultParagraphFont"/>
    <w:link w:val="Bodytext40"/>
    <w:rPr>
      <w:rFonts w:ascii="宋体" w:eastAsia="宋体" w:hAnsi="宋体" w:cs="宋体"/>
      <w:sz w:val="13"/>
      <w:szCs w:val="13"/>
      <w:u w:val="single"/>
      <w:shd w:val="clear" w:color="auto" w:fill="auto"/>
      <w:lang w:val="zh-TW" w:eastAsia="zh-TW" w:bidi="zh-TW"/>
    </w:rPr>
  </w:style>
  <w:style w:type="paragraph" w:customStyle="1" w:styleId="Bodytext40">
    <w:name w:val="Body text|4"/>
    <w:basedOn w:val="Normal"/>
    <w:link w:val="Bodytext4"/>
    <w:qFormat/>
    <w:rPr>
      <w:rFonts w:ascii="宋体" w:eastAsia="宋体" w:hAnsi="宋体" w:cs="宋体"/>
      <w:sz w:val="13"/>
      <w:szCs w:val="13"/>
      <w:u w:val="single"/>
      <w:lang w:val="zh-TW" w:eastAsia="zh-TW" w:bidi="zh-TW"/>
    </w:rPr>
  </w:style>
  <w:style w:type="character" w:customStyle="1" w:styleId="Other1">
    <w:name w:val="Other|1_"/>
    <w:basedOn w:val="DefaultParagraphFont"/>
    <w:link w:val="Other10"/>
    <w:rPr>
      <w:rFonts w:ascii="宋体" w:eastAsia="宋体" w:hAnsi="宋体" w:cs="宋体"/>
      <w:sz w:val="20"/>
      <w:szCs w:val="20"/>
      <w:u w:val="none"/>
      <w:shd w:val="clear" w:color="auto" w:fill="auto"/>
      <w:lang w:val="zh-TW" w:eastAsia="zh-TW" w:bidi="zh-TW"/>
    </w:rPr>
  </w:style>
  <w:style w:type="paragraph" w:customStyle="1" w:styleId="Other10">
    <w:name w:val="Other|1"/>
    <w:basedOn w:val="Normal"/>
    <w:link w:val="Other1"/>
    <w:pPr>
      <w:spacing w:line="430" w:lineRule="auto"/>
    </w:pPr>
    <w:rPr>
      <w:rFonts w:ascii="宋体" w:eastAsia="宋体" w:hAnsi="宋体" w:cs="宋体"/>
      <w:sz w:val="20"/>
      <w:szCs w:val="20"/>
      <w:lang w:val="zh-TW" w:eastAsia="zh-TW" w:bidi="zh-TW"/>
    </w:rPr>
  </w:style>
  <w:style w:type="character" w:customStyle="1" w:styleId="Tablecaption1">
    <w:name w:val="Table caption|1_"/>
    <w:basedOn w:val="DefaultParagraphFont"/>
    <w:link w:val="Tablecaption10"/>
    <w:rPr>
      <w:rFonts w:ascii="宋体" w:eastAsia="宋体" w:hAnsi="宋体" w:cs="宋体"/>
      <w:color w:val="201F3C"/>
      <w:sz w:val="20"/>
      <w:szCs w:val="20"/>
      <w:u w:val="none"/>
      <w:shd w:val="clear" w:color="auto" w:fill="auto"/>
      <w:lang w:val="zh-TW" w:eastAsia="zh-TW" w:bidi="zh-TW"/>
    </w:rPr>
  </w:style>
  <w:style w:type="paragraph" w:customStyle="1" w:styleId="Tablecaption10">
    <w:name w:val="Table caption|1"/>
    <w:basedOn w:val="Normal"/>
    <w:link w:val="Tablecaption1"/>
    <w:rPr>
      <w:rFonts w:ascii="宋体" w:eastAsia="宋体" w:hAnsi="宋体" w:cs="宋体"/>
      <w:color w:val="201F3C"/>
      <w:sz w:val="20"/>
      <w:szCs w:val="20"/>
      <w:lang w:val="zh-TW" w:eastAsia="zh-TW" w:bidi="zh-TW"/>
    </w:rPr>
  </w:style>
  <w:style w:type="character" w:customStyle="1" w:styleId="Bodytext3">
    <w:name w:val="Body text|3_"/>
    <w:basedOn w:val="DefaultParagraphFont"/>
    <w:link w:val="Bodytext30"/>
    <w:rPr>
      <w:b/>
      <w:bCs/>
      <w:sz w:val="16"/>
      <w:szCs w:val="16"/>
      <w:u w:val="none"/>
      <w:shd w:val="clear" w:color="auto" w:fill="auto"/>
    </w:rPr>
  </w:style>
  <w:style w:type="paragraph" w:customStyle="1" w:styleId="Bodytext30">
    <w:name w:val="Body text|3"/>
    <w:basedOn w:val="Normal"/>
    <w:link w:val="Bodytext3"/>
    <w:pPr>
      <w:spacing w:after="160"/>
      <w:ind w:left="3100" w:firstLine="760"/>
    </w:pPr>
    <w:rPr>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2725</Words>
  <Characters>2768</Characters>
  <Application>Microsoft Office Word</Application>
  <DocSecurity>0</DocSecurity>
  <Lines>20</Lines>
  <Paragraphs>5</Paragraphs>
  <ScaleCrop>false</ScaleCrop>
  <Company/>
  <LinksUpToDate>false</LinksUpToDate>
  <CharactersWithSpaces>2782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暗月如镰，繁星万点</cp:lastModifiedBy>
  <cp:revision>15</cp:revision>
  <dcterms:created xsi:type="dcterms:W3CDTF">2022-02-14T02:40:00Z</dcterms:created>
  <dcterms:modified xsi:type="dcterms:W3CDTF">2025-11-29T04:59:23Z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4669618939C24B7380E19EDEEA114D94</vt:lpwstr>
  </property>
  <property fmtid="{D5CDD505-2E9C-101B-9397-08002B2CF9AE}" pid="3" name="KSOProductBuildVer">
    <vt:lpwstr>2052-12.1.0.23542</vt:lpwstr>
  </property>
  <property fmtid="{D5CDD505-2E9C-101B-9397-08002B2CF9AE}" pid="4" name="KSOTemplateDocerSaveRecord">
    <vt:lpwstr>eyJoZGlkIjoiODljOTk5ODU4MzVlMWI4NzRmYjM2ZDg4NzczZjM0YzQiLCJ1c2VySWQiOiI1OTc0NDQ3MzkifQ==</vt:lpwstr>
  </property>
</Properties>
</file>