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AI Systems Software Foundations &amp; Heterogeneous Computing_Syllabus</w:t>
      </w:r>
    </w:p>
    <w:p>
      <w:pPr>
        <w:spacing w:before="120" w:after="120" w:line="288" w:lineRule="auto"/>
        <w:ind w:left="0" w:firstLine="0"/>
        <w:jc w:val="center"/>
      </w:pPr>
      <w:r>
        <w:rPr>
          <w:rFonts w:eastAsia="等线" w:ascii="Arial" w:cs="Arial" w:hAnsi="Arial"/>
          <w:b w:val="true"/>
          <w:sz w:val="22"/>
        </w:rPr>
        <w:t>Module I: AI Systems Software Foundations &amp; Heterogeneous Computing</w:t>
      </w:r>
    </w:p>
    <w:p>
      <w:pPr>
        <w:spacing w:before="120" w:after="120" w:line="288" w:lineRule="auto"/>
        <w:ind w:left="0" w:firstLine="0"/>
        <w:jc w:val="center"/>
      </w:pPr>
      <w:r>
        <w:rPr>
          <w:rFonts w:eastAsia="等线" w:ascii="Arial" w:cs="Arial" w:hAnsi="Arial"/>
          <w:sz w:val="22"/>
        </w:rPr>
        <w:t>Syllabus</w:t>
      </w:r>
    </w:p>
    <w:p>
      <w:pPr>
        <w:pStyle w:val="1"/>
        <w:spacing w:before="380" w:after="140" w:line="288" w:lineRule="auto"/>
        <w:ind w:left="0"/>
        <w:jc w:val="left"/>
        <w:outlineLvl w:val="0"/>
      </w:pPr>
      <w:bookmarkStart w:name="heading_0" w:id="0"/>
      <w:r>
        <w:rPr>
          <w:rFonts w:eastAsia="等线" w:ascii="Arial" w:cs="Arial" w:hAnsi="Arial"/>
          <w:b w:val="true"/>
          <w:sz w:val="36"/>
        </w:rPr>
        <w:t>Course Information</w:t>
      </w:r>
      <w:bookmarkEnd w:id="0"/>
    </w:p>
    <w:p>
      <w:pPr>
        <w:spacing w:before="120" w:after="120" w:line="288" w:lineRule="auto"/>
        <w:ind w:left="0" w:firstLine="0"/>
        <w:jc w:val="left"/>
      </w:pPr>
      <w:r>
        <w:rPr>
          <w:rFonts w:eastAsia="等线" w:ascii="Arial" w:cs="Arial" w:hAnsi="Arial"/>
          <w:b w:val="true"/>
          <w:sz w:val="22"/>
        </w:rPr>
        <w:t xml:space="preserve">Course Number: </w:t>
      </w:r>
      <w:r>
        <w:rPr>
          <w:rFonts w:eastAsia="等线" w:ascii="Arial" w:cs="Arial" w:hAnsi="Arial"/>
          <w:sz w:val="22"/>
        </w:rPr>
        <w:t>04832240</w:t>
      </w:r>
    </w:p>
    <w:p>
      <w:pPr>
        <w:spacing w:before="120" w:after="120" w:line="288" w:lineRule="auto"/>
        <w:ind w:left="0" w:firstLine="0"/>
        <w:jc w:val="left"/>
      </w:pPr>
      <w:r>
        <w:rPr>
          <w:rFonts w:eastAsia="等线" w:ascii="Arial" w:cs="Arial" w:hAnsi="Arial"/>
          <w:b w:val="true"/>
          <w:sz w:val="22"/>
        </w:rPr>
        <w:t xml:space="preserve">Hours: </w:t>
      </w:r>
      <w:r>
        <w:rPr>
          <w:rFonts w:eastAsia="等线" w:ascii="Arial" w:cs="Arial" w:hAnsi="Arial"/>
          <w:sz w:val="22"/>
        </w:rPr>
        <w:t>9 Hours</w:t>
      </w:r>
    </w:p>
    <w:p>
      <w:pPr>
        <w:spacing w:before="120" w:after="120" w:line="288" w:lineRule="auto"/>
        <w:ind w:left="0" w:firstLine="0"/>
        <w:jc w:val="left"/>
      </w:pPr>
      <w:r>
        <w:rPr>
          <w:rFonts w:eastAsia="等线" w:ascii="Arial" w:cs="Arial" w:hAnsi="Arial"/>
          <w:b w:val="true"/>
          <w:sz w:val="22"/>
        </w:rPr>
        <w:t xml:space="preserve">Semester: </w:t>
      </w:r>
      <w:r>
        <w:rPr>
          <w:rFonts w:eastAsia="等线" w:ascii="Arial" w:cs="Arial" w:hAnsi="Arial"/>
          <w:sz w:val="22"/>
        </w:rPr>
        <w:t>Fall 2026</w:t>
      </w:r>
    </w:p>
    <w:p>
      <w:pPr>
        <w:spacing w:before="120" w:after="120" w:line="288" w:lineRule="auto"/>
        <w:ind w:left="0" w:firstLine="0"/>
        <w:jc w:val="left"/>
      </w:pPr>
      <w:r>
        <w:rPr>
          <w:rFonts w:eastAsia="等线" w:ascii="Arial" w:cs="Arial" w:hAnsi="Arial"/>
          <w:b w:val="true"/>
          <w:sz w:val="22"/>
        </w:rPr>
        <w:t xml:space="preserve">Class Schedule: </w:t>
      </w:r>
      <w:r>
        <w:rPr>
          <w:rFonts w:eastAsia="等线" w:ascii="Arial" w:cs="Arial" w:hAnsi="Arial"/>
          <w:sz w:val="22"/>
        </w:rPr>
        <w:t>(See course registration system)</w:t>
      </w:r>
    </w:p>
    <w:p>
      <w:pPr>
        <w:spacing w:before="120" w:after="120" w:line="288" w:lineRule="auto"/>
        <w:ind w:left="0" w:firstLine="0"/>
        <w:jc w:val="left"/>
      </w:pPr>
      <w:r>
        <w:rPr>
          <w:rFonts w:eastAsia="等线" w:ascii="Arial" w:cs="Arial" w:hAnsi="Arial"/>
          <w:b w:val="true"/>
          <w:sz w:val="22"/>
        </w:rPr>
        <w:t xml:space="preserve">Classroom: </w:t>
      </w:r>
      <w:r>
        <w:rPr>
          <w:rFonts w:eastAsia="等线" w:ascii="Arial" w:cs="Arial" w:hAnsi="Arial"/>
          <w:sz w:val="22"/>
        </w:rPr>
        <w:t>(See course registration system)</w:t>
      </w:r>
    </w:p>
    <w:p>
      <w:pPr>
        <w:spacing w:before="120" w:after="120" w:line="288" w:lineRule="auto"/>
        <w:ind w:left="0" w:firstLine="0"/>
        <w:jc w:val="left"/>
      </w:pPr>
      <w:r>
        <w:rPr>
          <w:rFonts w:eastAsia="等线" w:ascii="Arial" w:cs="Arial" w:hAnsi="Arial"/>
          <w:b w:val="true"/>
          <w:sz w:val="22"/>
        </w:rPr>
        <w:t xml:space="preserve">Department: </w:t>
      </w:r>
      <w:r>
        <w:rPr>
          <w:rFonts w:eastAsia="等线" w:ascii="Arial" w:cs="Arial" w:hAnsi="Arial"/>
          <w:sz w:val="22"/>
        </w:rPr>
        <w:t>School of Computer Science, Peking University</w:t>
      </w:r>
    </w:p>
    <w:p>
      <w:pPr>
        <w:spacing w:before="120" w:after="120" w:line="288" w:lineRule="auto"/>
        <w:ind w:left="0" w:firstLine="0"/>
        <w:jc w:val="left"/>
      </w:pPr>
      <w:r>
        <w:rPr>
          <w:rFonts w:eastAsia="等线" w:ascii="Arial" w:cs="Arial" w:hAnsi="Arial"/>
          <w:b w:val="true"/>
          <w:sz w:val="22"/>
        </w:rPr>
        <w:t xml:space="preserve">Target Programs: </w:t>
      </w:r>
      <w:r>
        <w:rPr>
          <w:rFonts w:eastAsia="等线" w:ascii="Arial" w:cs="Arial" w:hAnsi="Arial"/>
          <w:sz w:val="22"/>
        </w:rPr>
        <w:t>Computer Science and Technology, Software Engineering, Artificial Intelligence</w:t>
      </w:r>
    </w:p>
    <w:p>
      <w:pPr>
        <w:spacing w:before="120" w:after="120" w:line="288" w:lineRule="auto"/>
        <w:ind w:left="0" w:firstLine="0"/>
        <w:jc w:val="left"/>
      </w:pPr>
      <w:r>
        <w:rPr>
          <w:rFonts w:eastAsia="等线" w:ascii="Arial" w:cs="Arial" w:hAnsi="Arial"/>
          <w:b w:val="true"/>
          <w:sz w:val="22"/>
        </w:rPr>
        <w:t xml:space="preserve">Course Type: </w:t>
      </w:r>
      <w:r>
        <w:rPr>
          <w:rFonts w:eastAsia="等线" w:ascii="Arial" w:cs="Arial" w:hAnsi="Arial"/>
          <w:sz w:val="22"/>
        </w:rPr>
        <w:t>Elective (Computer Architecture and Parallel Computing Track)</w:t>
      </w:r>
    </w:p>
    <w:p>
      <w:pPr>
        <w:spacing w:before="120" w:after="120" w:line="288" w:lineRule="auto"/>
        <w:ind w:left="0" w:firstLine="0"/>
        <w:jc w:val="left"/>
      </w:pPr>
    </w:p>
    <w:p>
      <w:pPr>
        <w:pStyle w:val="1"/>
        <w:spacing w:before="380" w:after="140" w:line="288" w:lineRule="auto"/>
        <w:ind w:left="0"/>
        <w:jc w:val="left"/>
        <w:outlineLvl w:val="0"/>
      </w:pPr>
      <w:bookmarkStart w:name="heading_1" w:id="1"/>
      <w:r>
        <w:rPr>
          <w:rFonts w:eastAsia="等线" w:ascii="Arial" w:cs="Arial" w:hAnsi="Arial"/>
          <w:b w:val="true"/>
          <w:sz w:val="36"/>
        </w:rPr>
        <w:t>Instructor</w:t>
      </w:r>
      <w:bookmarkEnd w:id="1"/>
    </w:p>
    <w:p>
      <w:pPr>
        <w:spacing w:before="120" w:after="120" w:line="288" w:lineRule="auto"/>
        <w:ind w:left="0" w:firstLine="0"/>
        <w:jc w:val="left"/>
      </w:pPr>
      <w:r>
        <w:rPr>
          <w:rFonts w:eastAsia="等线" w:ascii="Arial" w:cs="Arial" w:hAnsi="Arial"/>
          <w:b w:val="true"/>
          <w:sz w:val="22"/>
        </w:rPr>
        <w:t xml:space="preserve">Lead Instructor: </w:t>
      </w:r>
      <w:r>
        <w:rPr>
          <w:rFonts w:eastAsia="等线" w:ascii="Arial" w:cs="Arial" w:hAnsi="Arial"/>
          <w:sz w:val="22"/>
        </w:rPr>
        <w:t>Luo Guojie</w:t>
      </w:r>
    </w:p>
    <w:p>
      <w:pPr>
        <w:spacing w:before="120" w:after="120" w:line="288" w:lineRule="auto"/>
        <w:ind w:left="0" w:firstLine="0"/>
        <w:jc w:val="left"/>
      </w:pPr>
      <w:r>
        <w:rPr>
          <w:rFonts w:eastAsia="等线" w:ascii="Arial" w:cs="Arial" w:hAnsi="Arial"/>
          <w:b w:val="true"/>
          <w:sz w:val="22"/>
        </w:rPr>
        <w:t xml:space="preserve">Email: </w:t>
      </w:r>
      <w:r>
        <w:rPr>
          <w:rFonts w:eastAsia="等线" w:ascii="Arial" w:cs="Arial" w:hAnsi="Arial"/>
          <w:sz w:val="22"/>
        </w:rPr>
        <w:t>(TBD)</w:t>
      </w:r>
    </w:p>
    <w:p>
      <w:pPr>
        <w:spacing w:before="120" w:after="120" w:line="288" w:lineRule="auto"/>
        <w:ind w:left="0" w:firstLine="0"/>
        <w:jc w:val="left"/>
      </w:pPr>
      <w:r>
        <w:rPr>
          <w:rFonts w:eastAsia="等线" w:ascii="Arial" w:cs="Arial" w:hAnsi="Arial"/>
          <w:b w:val="true"/>
          <w:sz w:val="22"/>
        </w:rPr>
        <w:t xml:space="preserve">Office Hours: </w:t>
      </w:r>
      <w:r>
        <w:rPr>
          <w:rFonts w:eastAsia="等线" w:ascii="Arial" w:cs="Arial" w:hAnsi="Arial"/>
          <w:sz w:val="22"/>
        </w:rPr>
        <w:t>(TBD; appointments available via email)</w:t>
      </w:r>
    </w:p>
    <w:p>
      <w:pPr>
        <w:spacing w:before="120" w:after="120" w:line="288" w:lineRule="auto"/>
        <w:ind w:left="0" w:firstLine="0"/>
        <w:jc w:val="left"/>
      </w:pPr>
    </w:p>
    <w:p>
      <w:pPr>
        <w:pStyle w:val="1"/>
        <w:spacing w:before="380" w:after="140" w:line="288" w:lineRule="auto"/>
        <w:ind w:left="0"/>
        <w:jc w:val="left"/>
        <w:outlineLvl w:val="0"/>
      </w:pPr>
      <w:bookmarkStart w:name="heading_2" w:id="2"/>
      <w:r>
        <w:rPr>
          <w:rFonts w:eastAsia="等线" w:ascii="Arial" w:cs="Arial" w:hAnsi="Arial"/>
          <w:b w:val="true"/>
          <w:sz w:val="36"/>
        </w:rPr>
        <w:t>Course Description</w:t>
      </w:r>
      <w:bookmarkEnd w:id="2"/>
    </w:p>
    <w:p>
      <w:pPr>
        <w:spacing w:before="120" w:after="120" w:line="288" w:lineRule="auto"/>
        <w:ind w:left="0" w:firstLine="0"/>
        <w:jc w:val="left"/>
      </w:pPr>
      <w:r>
        <w:rPr>
          <w:rFonts w:eastAsia="等线" w:ascii="Arial" w:cs="Arial" w:hAnsi="Arial"/>
          <w:sz w:val="22"/>
        </w:rPr>
        <w:t>This sub-course focuses on the foundational theory and programming practice of heterogeneous computing in the AI era. Starting from an architectural comparison of CPU, GPU, and NPU hardware, the course systematically covers the SIMT programming model, deep learning framework call chains, and the fundamentals of the Triton language. Through hands-on implementation of classic operators such as vector addition, matrix multiplication, and Softmax, students will build a complete understanding from hardware to the software stack. Using the FlagOS ecosystem as an engineering backdrop, the course emphasizes the equal importance of theory and practice, laying a solid foundation for subsequent advanced modules.</w:t>
      </w:r>
    </w:p>
    <w:p>
      <w:pPr>
        <w:spacing w:before="120" w:after="120" w:line="288" w:lineRule="auto"/>
        <w:ind w:left="0" w:firstLine="0"/>
        <w:jc w:val="left"/>
      </w:pPr>
    </w:p>
    <w:p>
      <w:pPr>
        <w:pStyle w:val="1"/>
        <w:spacing w:before="380" w:after="140" w:line="288" w:lineRule="auto"/>
        <w:ind w:left="0"/>
        <w:jc w:val="left"/>
        <w:outlineLvl w:val="0"/>
      </w:pPr>
      <w:bookmarkStart w:name="heading_3" w:id="3"/>
      <w:r>
        <w:rPr>
          <w:rFonts w:eastAsia="等线" w:ascii="Arial" w:cs="Arial" w:hAnsi="Arial"/>
          <w:b w:val="true"/>
          <w:sz w:val="36"/>
        </w:rPr>
        <w:t>Course Platform and Online Laboratory Environment</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FlagOS Intelligent Computing System Software Stack</w:t>
      </w:r>
      <w:bookmarkEnd w:id="4"/>
    </w:p>
    <w:p>
      <w:pPr>
        <w:spacing w:before="120" w:after="120" w:line="288" w:lineRule="auto"/>
        <w:ind w:left="0" w:firstLine="0"/>
        <w:jc w:val="left"/>
      </w:pPr>
      <w:r>
        <w:rPr>
          <w:rFonts w:eastAsia="等线" w:ascii="Arial" w:cs="Arial" w:hAnsi="Arial"/>
          <w:sz w:val="22"/>
        </w:rPr>
        <w:t>The laboratory environment for this course is built on the FlagOS Intelligent Computing System Software Stack. Developed by the Beijing Academy of Artificial Intelligence (BAAI), FlagOS is a unified open-source heterogeneous computing software stack designed for diverse computing architectures, enabling a "develop once, run on multiple chips, deploy everywhere" paradigm. FlagOS comprises several core components, including:</w:t>
      </w:r>
    </w:p>
    <w:p>
      <w:pPr>
        <w:numPr>
          <w:numId w:val="1"/>
        </w:numPr>
        <w:spacing w:before="120" w:after="120" w:line="288" w:lineRule="auto"/>
        <w:ind w:left="0"/>
        <w:jc w:val="left"/>
      </w:pPr>
      <w:r>
        <w:rPr>
          <w:rFonts w:eastAsia="等线" w:ascii="Arial" w:cs="Arial" w:hAnsi="Arial"/>
          <w:b w:val="true"/>
          <w:sz w:val="22"/>
        </w:rPr>
        <w:t>FlagScale：</w:t>
      </w:r>
      <w:r>
        <w:rPr>
          <w:rFonts w:eastAsia="等线" w:ascii="Arial" w:cs="Arial" w:hAnsi="Arial"/>
          <w:sz w:val="22"/>
        </w:rPr>
        <w:t>A distributed training/inference framework supporting large model training and deployment across heterogeneous hardware</w:t>
      </w:r>
    </w:p>
    <w:p>
      <w:pPr>
        <w:numPr>
          <w:numId w:val="2"/>
        </w:numPr>
        <w:spacing w:before="120" w:after="120" w:line="288" w:lineRule="auto"/>
        <w:ind w:left="0"/>
        <w:jc w:val="left"/>
      </w:pPr>
      <w:r>
        <w:rPr>
          <w:rFonts w:eastAsia="等线" w:ascii="Arial" w:cs="Arial" w:hAnsi="Arial"/>
          <w:b w:val="true"/>
          <w:sz w:val="22"/>
        </w:rPr>
        <w:t>FlagGems：</w:t>
      </w:r>
      <w:r>
        <w:rPr>
          <w:rFonts w:eastAsia="等线" w:ascii="Arial" w:cs="Arial" w:hAnsi="Arial"/>
          <w:sz w:val="22"/>
        </w:rPr>
        <w:t>A general-purpose operator library consisting of high-performance AI operators implemented in the Triton language</w:t>
      </w:r>
    </w:p>
    <w:p>
      <w:pPr>
        <w:numPr>
          <w:numId w:val="3"/>
        </w:numPr>
        <w:spacing w:before="120" w:after="120" w:line="288" w:lineRule="auto"/>
        <w:ind w:left="0"/>
        <w:jc w:val="left"/>
      </w:pPr>
      <w:r>
        <w:rPr>
          <w:rFonts w:eastAsia="等线" w:ascii="Arial" w:cs="Arial" w:hAnsi="Arial"/>
          <w:b w:val="true"/>
          <w:sz w:val="22"/>
        </w:rPr>
        <w:t>FlagTree：</w:t>
      </w:r>
      <w:r>
        <w:rPr>
          <w:rFonts w:eastAsia="等线" w:ascii="Arial" w:cs="Arial" w:hAnsi="Arial"/>
          <w:sz w:val="22"/>
        </w:rPr>
        <w:t>A unified compiler supporting Triton compilation for multiple AI chip backends</w:t>
      </w:r>
    </w:p>
    <w:p>
      <w:pPr>
        <w:numPr>
          <w:numId w:val="4"/>
        </w:numPr>
        <w:spacing w:before="120" w:after="120" w:line="288" w:lineRule="auto"/>
        <w:ind w:left="0"/>
        <w:jc w:val="left"/>
      </w:pPr>
      <w:r>
        <w:rPr>
          <w:rFonts w:eastAsia="等线" w:ascii="Arial" w:cs="Arial" w:hAnsi="Arial"/>
          <w:b w:val="true"/>
          <w:sz w:val="22"/>
        </w:rPr>
        <w:t>FlagCX：</w:t>
      </w:r>
      <w:r>
        <w:rPr>
          <w:rFonts w:eastAsia="等线" w:ascii="Arial" w:cs="Arial" w:hAnsi="Arial"/>
          <w:sz w:val="22"/>
        </w:rPr>
        <w:t>A cross-chip communication library supporting high-performance collective communication in heterogeneous computing environments</w:t>
      </w:r>
    </w:p>
    <w:p>
      <w:pPr>
        <w:spacing w:before="120" w:after="120" w:line="288" w:lineRule="auto"/>
        <w:ind w:left="0" w:firstLine="0"/>
        <w:jc w:val="left"/>
      </w:pPr>
      <w:r>
        <w:rPr>
          <w:rFonts w:eastAsia="等线" w:ascii="Arial" w:cs="Arial" w:hAnsi="Arial"/>
          <w:sz w:val="22"/>
        </w:rPr>
        <w:t>All laboratory tasks, including Triton kernel development, operator optimization, MLIR pass implementation, and distributed training deployment, will be carried out within the FlagOS ecosystem.</w:t>
      </w:r>
    </w:p>
    <w:p>
      <w:pPr>
        <w:pStyle w:val="2"/>
        <w:spacing w:before="320" w:after="120" w:line="288" w:lineRule="auto"/>
        <w:ind w:left="0"/>
        <w:jc w:val="left"/>
        <w:outlineLvl w:val="1"/>
      </w:pPr>
      <w:bookmarkStart w:name="heading_5" w:id="5"/>
      <w:r>
        <w:rPr>
          <w:rFonts w:eastAsia="等线" w:ascii="Arial" w:cs="Arial" w:hAnsi="Arial"/>
          <w:b w:val="true"/>
          <w:sz w:val="32"/>
        </w:rPr>
        <w:t>Online Laboratory</w:t>
      </w:r>
      <w:bookmarkEnd w:id="5"/>
    </w:p>
    <w:p>
      <w:pPr>
        <w:spacing w:before="120" w:after="120" w:line="288" w:lineRule="auto"/>
        <w:ind w:left="0" w:firstLine="0"/>
        <w:jc w:val="left"/>
      </w:pPr>
      <w:r>
        <w:rPr>
          <w:rFonts w:eastAsia="等线" w:ascii="Arial" w:cs="Arial" w:hAnsi="Arial"/>
          <w:sz w:val="22"/>
        </w:rPr>
        <w:t>The course provides a cloud-based online laboratory platform. Students can remotely access GPU computing resources through a web browser to complete all course experiments without configuring a local GPU environment.</w:t>
      </w:r>
    </w:p>
    <w:p>
      <w:pPr>
        <w:spacing w:before="120" w:after="120" w:line="288" w:lineRule="auto"/>
        <w:ind w:left="0" w:firstLine="0"/>
        <w:jc w:val="left"/>
      </w:pPr>
      <w:r>
        <w:rPr>
          <w:rFonts w:eastAsia="等线" w:ascii="Arial" w:cs="Arial" w:hAnsi="Arial"/>
          <w:b w:val="true"/>
          <w:sz w:val="22"/>
        </w:rPr>
        <w:t>Platform Registration and Login:</w:t>
      </w:r>
    </w:p>
    <w:p>
      <w:pPr>
        <w:numPr>
          <w:numId w:val="5"/>
        </w:numPr>
        <w:spacing w:before="120" w:after="120" w:line="288" w:lineRule="auto"/>
        <w:ind w:left="0"/>
        <w:jc w:val="left"/>
      </w:pPr>
      <w:r>
        <w:rPr>
          <w:rFonts w:eastAsia="等线" w:ascii="Arial" w:cs="Arial" w:hAnsi="Arial"/>
          <w:sz w:val="22"/>
        </w:rPr>
        <w:t>After the semester begins, the instructor will set up online laboratory accounts for all enrolled students. Please access the platform at the following URL:</w:t>
      </w:r>
    </w:p>
    <w:p>
      <w:pPr>
        <w:spacing w:before="120" w:after="120" w:line="288" w:lineRule="auto"/>
        <w:ind w:left="0" w:firstLine="420"/>
        <w:jc w:val="left"/>
      </w:pPr>
      <w:r>
        <w:rPr>
          <w:rFonts w:eastAsia="等线" w:ascii="Arial" w:cs="Arial" w:hAnsi="Arial"/>
          <w:sz w:val="22"/>
        </w:rPr>
        <w:t xml:space="preserve">Online Laboratory Portal: </w:t>
      </w:r>
      <w:hyperlink r:id="rId5">
        <w:r>
          <w:rPr>
            <w:rFonts w:eastAsia="等线" w:ascii="Arial" w:cs="Arial" w:hAnsi="Arial"/>
            <w:color w:val="3370ff"/>
            <w:sz w:val="22"/>
            <w:u w:val="single"/>
          </w:rPr>
          <w:t>https://flagos.io/OnlineLab</w:t>
        </w:r>
      </w:hyperlink>
    </w:p>
    <w:p>
      <w:pPr>
        <w:numPr>
          <w:numId w:val="6"/>
        </w:numPr>
        <w:spacing w:before="120" w:after="120" w:line="288" w:lineRule="auto"/>
        <w:ind w:left="0"/>
        <w:jc w:val="left"/>
      </w:pPr>
      <w:r>
        <w:rPr>
          <w:rFonts w:eastAsia="等线" w:ascii="Arial" w:cs="Arial" w:hAnsi="Arial"/>
          <w:sz w:val="22"/>
        </w:rPr>
        <w:t>Once your account is activated, you will be allocated GPU computing resources and can write, run, and debug code directly online. Please use computing time responsibly and avoid occupying resources for extended periods without releasing them.</w:t>
      </w:r>
    </w:p>
    <w:p>
      <w:pPr>
        <w:spacing w:before="120" w:after="120" w:line="288" w:lineRule="auto"/>
        <w:ind w:left="0" w:firstLine="0"/>
        <w:jc w:val="left"/>
      </w:pPr>
      <w:r>
        <w:rPr>
          <w:rFonts w:eastAsia="等线" w:ascii="Arial" w:cs="Arial" w:hAnsi="Arial"/>
          <w:b w:val="true"/>
          <w:sz w:val="22"/>
        </w:rPr>
        <w:t>Platform Usage Guide:</w:t>
      </w:r>
    </w:p>
    <w:p>
      <w:pPr>
        <w:numPr>
          <w:numId w:val="7"/>
        </w:numPr>
        <w:spacing w:before="120" w:after="120" w:line="288" w:lineRule="auto"/>
        <w:ind w:left="0"/>
        <w:jc w:val="left"/>
      </w:pPr>
      <w:r>
        <w:rPr>
          <w:rFonts w:eastAsia="等线" w:ascii="Arial" w:cs="Arial" w:hAnsi="Arial"/>
          <w:sz w:val="22"/>
        </w:rPr>
        <w:t>For detailed documentation on the online laboratory platform (environment setup, experiment submission procedures, FAQs, etc.), please refer to:</w:t>
      </w:r>
    </w:p>
    <w:p>
      <w:pPr>
        <w:spacing w:before="120" w:after="120" w:line="288" w:lineRule="auto"/>
        <w:ind w:left="0" w:firstLine="420"/>
        <w:jc w:val="left"/>
      </w:pPr>
      <w:r>
        <w:rPr>
          <w:rFonts w:eastAsia="等线" w:ascii="Arial" w:cs="Arial" w:hAnsi="Arial"/>
          <w:sz w:val="22"/>
        </w:rPr>
        <w:t xml:space="preserve">Platform Documentation: </w:t>
      </w:r>
      <w:hyperlink r:id="rId6">
        <w:r>
          <w:rPr>
            <w:rFonts w:eastAsia="等线" w:ascii="Arial" w:cs="Arial" w:hAnsi="Arial"/>
            <w:color w:val="3370ff"/>
            <w:sz w:val="22"/>
            <w:u w:val="single"/>
          </w:rPr>
          <w:t>https://docs.flagos.io/projects/onlinelaboratory/en/latest/onlinelaboratory.html</w:t>
        </w:r>
      </w:hyperlink>
    </w:p>
    <w:p>
      <w:pPr>
        <w:numPr>
          <w:numId w:val="8"/>
        </w:numPr>
        <w:spacing w:before="120" w:after="120" w:line="288" w:lineRule="auto"/>
        <w:ind w:left="0"/>
        <w:jc w:val="left"/>
      </w:pPr>
      <w:r>
        <w:rPr>
          <w:rFonts w:eastAsia="等线" w:ascii="Arial" w:cs="Arial" w:hAnsi="Arial"/>
          <w:sz w:val="22"/>
        </w:rPr>
        <w:t>Students are advised to carefully read the above documentation before the first experiment to familiarize themselves with the basic workflow. If you encounter technical issues, please consult the documentation first, then seek help through the course discussion forum or Office Hours.</w:t>
      </w:r>
    </w:p>
    <w:p>
      <w:pPr>
        <w:spacing w:before="120" w:after="120" w:line="288" w:lineRule="auto"/>
        <w:ind w:left="0" w:firstLine="0"/>
        <w:jc w:val="left"/>
      </w:pPr>
      <w:r>
        <w:rPr>
          <w:rFonts w:eastAsia="等线" w:ascii="Arial" w:cs="Arial" w:hAnsi="Arial"/>
          <w:b w:val="true"/>
          <w:sz w:val="22"/>
        </w:rPr>
        <w:t>Important Notes:</w:t>
      </w:r>
    </w:p>
    <w:p>
      <w:pPr>
        <w:numPr>
          <w:numId w:val="9"/>
        </w:numPr>
        <w:spacing w:before="120" w:after="120" w:line="288" w:lineRule="auto"/>
        <w:ind w:left="0"/>
        <w:jc w:val="left"/>
      </w:pPr>
      <w:r>
        <w:rPr>
          <w:rFonts w:eastAsia="等线" w:ascii="Arial" w:cs="Arial" w:hAnsi="Arial"/>
          <w:sz w:val="22"/>
        </w:rPr>
        <w:t>The computing resources on the online laboratory platform are exclusively for course experiments. Do not use them for personal projects unrelated to the course.</w:t>
      </w:r>
    </w:p>
    <w:p>
      <w:pPr>
        <w:numPr>
          <w:numId w:val="10"/>
        </w:numPr>
        <w:spacing w:before="120" w:after="120" w:line="288" w:lineRule="auto"/>
        <w:ind w:left="0"/>
        <w:jc w:val="left"/>
      </w:pPr>
      <w:r>
        <w:rPr>
          <w:rFonts w:eastAsia="等线" w:ascii="Arial" w:cs="Arial" w:hAnsi="Arial"/>
          <w:sz w:val="22"/>
        </w:rPr>
        <w:t>Please save your code and data locally in a timely manner after completing experiments, as platform instances may be periodically reclaimed.</w:t>
      </w:r>
    </w:p>
    <w:p>
      <w:pPr>
        <w:numPr>
          <w:numId w:val="11"/>
        </w:numPr>
        <w:spacing w:before="120" w:after="120" w:line="288" w:lineRule="auto"/>
        <w:ind w:left="0"/>
        <w:jc w:val="left"/>
      </w:pPr>
      <w:r>
        <w:rPr>
          <w:rFonts w:eastAsia="等线" w:ascii="Arial" w:cs="Arial" w:hAnsi="Arial"/>
          <w:sz w:val="22"/>
        </w:rPr>
        <w:t>If resources are unavailable during peak hours, please schedule your work during off-peak times and plan your experiment schedule accordingly.</w:t>
      </w:r>
    </w:p>
    <w:p>
      <w:pPr>
        <w:pStyle w:val="2"/>
        <w:spacing w:before="320" w:after="120" w:line="288" w:lineRule="auto"/>
        <w:ind w:left="0"/>
        <w:jc w:val="left"/>
        <w:outlineLvl w:val="1"/>
      </w:pPr>
      <w:bookmarkStart w:name="heading_6" w:id="6"/>
      <w:r>
        <w:rPr>
          <w:rFonts w:eastAsia="等线" w:ascii="Arial" w:cs="Arial" w:hAnsi="Arial"/>
          <w:b w:val="true"/>
          <w:sz w:val="32"/>
        </w:rPr>
        <w:t>Course-Related Links</w:t>
      </w:r>
      <w:bookmarkEnd w:id="6"/>
    </w:p>
    <w:p>
      <w:pPr>
        <w:spacing w:before="120" w:after="120" w:line="288" w:lineRule="auto"/>
        <w:ind w:left="0" w:firstLine="0"/>
        <w:jc w:val="left"/>
      </w:pPr>
      <w:r>
        <w:rPr>
          <w:rFonts w:eastAsia="等线" w:ascii="Arial" w:cs="Arial" w:hAnsi="Arial"/>
          <w:sz w:val="22"/>
        </w:rPr>
        <w:t>Below are important links you may need during the course: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7005"/>
      </w:tblGrid>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Resource</w:t>
            </w:r>
          </w:p>
        </w:tc>
        <w:tc>
          <w:tcPr>
            <w:tcW w:w="7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URL</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FlagOS Official Website</w:t>
            </w:r>
          </w:p>
        </w:tc>
        <w:tc>
          <w:tcPr>
            <w:tcW w:w="7005" w:type="dxa"/>
            <w:tcMar>
              <w:top w:type="dxa" w:w="60"/>
              <w:left w:type="dxa" w:w="120"/>
              <w:bottom w:type="dxa" w:w="30"/>
              <w:right w:type="dxa" w:w="120"/>
            </w:tcMar>
          </w:tcPr>
          <w:p>
            <w:pPr>
              <w:spacing w:before="120" w:after="120" w:line="288" w:lineRule="auto"/>
              <w:ind w:left="0"/>
              <w:jc w:val="left"/>
            </w:pPr>
            <w:hyperlink r:id="rId7">
              <w:r>
                <w:rPr>
                  <w:rFonts w:eastAsia="等线" w:ascii="Arial" w:cs="Arial" w:hAnsi="Arial"/>
                  <w:color w:val="3370ff"/>
                  <w:sz w:val="22"/>
                  <w:u w:val="single"/>
                </w:rPr>
                <w:t>https://flagos.io</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Online Laboratory</w:t>
            </w:r>
          </w:p>
        </w:tc>
        <w:tc>
          <w:tcPr>
            <w:tcW w:w="7005" w:type="dxa"/>
            <w:tcMar>
              <w:top w:type="dxa" w:w="60"/>
              <w:left w:type="dxa" w:w="120"/>
              <w:bottom w:type="dxa" w:w="30"/>
              <w:right w:type="dxa" w:w="120"/>
            </w:tcMar>
          </w:tcPr>
          <w:p>
            <w:pPr>
              <w:spacing w:before="120" w:after="120" w:line="288" w:lineRule="auto"/>
              <w:ind w:left="0"/>
              <w:jc w:val="left"/>
            </w:pPr>
            <w:hyperlink r:id="rId8">
              <w:r>
                <w:rPr>
                  <w:rFonts w:eastAsia="等线" w:ascii="Arial" w:cs="Arial" w:hAnsi="Arial"/>
                  <w:color w:val="3370ff"/>
                  <w:sz w:val="22"/>
                  <w:u w:val="single"/>
                </w:rPr>
                <w:t>https://flagos.io/OnlineLab</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Platform Documentation</w:t>
            </w:r>
          </w:p>
        </w:tc>
        <w:tc>
          <w:tcPr>
            <w:tcW w:w="7005" w:type="dxa"/>
            <w:tcMar>
              <w:top w:type="dxa" w:w="60"/>
              <w:left w:type="dxa" w:w="120"/>
              <w:bottom w:type="dxa" w:w="30"/>
              <w:right w:type="dxa" w:w="120"/>
            </w:tcMar>
          </w:tcPr>
          <w:p>
            <w:pPr>
              <w:spacing w:before="120" w:after="120" w:line="288" w:lineRule="auto"/>
              <w:ind w:left="0"/>
              <w:jc w:val="left"/>
            </w:pPr>
            <w:hyperlink r:id="rId9">
              <w:r>
                <w:rPr>
                  <w:rFonts w:eastAsia="等线" w:ascii="Arial" w:cs="Arial" w:hAnsi="Arial"/>
                  <w:color w:val="3370ff"/>
                  <w:sz w:val="22"/>
                  <w:u w:val="single"/>
                </w:rPr>
                <w:t>https://docs.flagos.io/projects/onlinelaboratory/en/latest/onlinelaboratory.html</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FlagOS Developer Community</w:t>
            </w:r>
          </w:p>
        </w:tc>
        <w:tc>
          <w:tcPr>
            <w:tcW w:w="7005" w:type="dxa"/>
            <w:tcMar>
              <w:top w:type="dxa" w:w="60"/>
              <w:left w:type="dxa" w:w="120"/>
              <w:bottom w:type="dxa" w:w="30"/>
              <w:right w:type="dxa" w:w="120"/>
            </w:tcMar>
          </w:tcPr>
          <w:p>
            <w:pPr>
              <w:spacing w:before="120" w:after="120" w:line="288" w:lineRule="auto"/>
              <w:ind w:left="0"/>
              <w:jc w:val="left"/>
            </w:pPr>
            <w:hyperlink r:id="rId10">
              <w:r>
                <w:rPr>
                  <w:rFonts w:eastAsia="等线" w:ascii="Arial" w:cs="Arial" w:hAnsi="Arial"/>
                  <w:color w:val="3370ff"/>
                  <w:sz w:val="22"/>
                  <w:u w:val="single"/>
                </w:rPr>
                <w:t>https://flagos.csdn.net</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FlagGems GitHub</w:t>
            </w:r>
          </w:p>
        </w:tc>
        <w:tc>
          <w:tcPr>
            <w:tcW w:w="7005" w:type="dxa"/>
            <w:tcMar>
              <w:top w:type="dxa" w:w="60"/>
              <w:left w:type="dxa" w:w="120"/>
              <w:bottom w:type="dxa" w:w="30"/>
              <w:right w:type="dxa" w:w="120"/>
            </w:tcMar>
          </w:tcPr>
          <w:p>
            <w:pPr>
              <w:spacing w:before="120" w:after="120" w:line="288" w:lineRule="auto"/>
              <w:ind w:left="0"/>
              <w:jc w:val="left"/>
            </w:pPr>
            <w:hyperlink r:id="rId11">
              <w:r>
                <w:rPr>
                  <w:rFonts w:eastAsia="等线" w:ascii="Arial" w:cs="Arial" w:hAnsi="Arial"/>
                  <w:color w:val="3370ff"/>
                  <w:sz w:val="22"/>
                  <w:u w:val="single"/>
                </w:rPr>
                <w:t>https://github.com/FlagOpen/FlagGems</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FlagTree GitHub</w:t>
            </w:r>
          </w:p>
        </w:tc>
        <w:tc>
          <w:tcPr>
            <w:tcW w:w="7005" w:type="dxa"/>
            <w:tcMar>
              <w:top w:type="dxa" w:w="60"/>
              <w:left w:type="dxa" w:w="120"/>
              <w:bottom w:type="dxa" w:w="30"/>
              <w:right w:type="dxa" w:w="120"/>
            </w:tcMar>
          </w:tcPr>
          <w:p>
            <w:pPr>
              <w:spacing w:before="120" w:after="120" w:line="288" w:lineRule="auto"/>
              <w:ind w:left="0"/>
              <w:jc w:val="left"/>
            </w:pPr>
            <w:hyperlink r:id="rId12">
              <w:r>
                <w:rPr>
                  <w:rFonts w:eastAsia="等线" w:ascii="Arial" w:cs="Arial" w:hAnsi="Arial"/>
                  <w:color w:val="3370ff"/>
                  <w:sz w:val="22"/>
                  <w:u w:val="single"/>
                </w:rPr>
                <w:t>https://github.com/flagos-ai/FlagTree</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FlagCX GitHub</w:t>
            </w:r>
          </w:p>
        </w:tc>
        <w:tc>
          <w:tcPr>
            <w:tcW w:w="7005" w:type="dxa"/>
            <w:tcMar>
              <w:top w:type="dxa" w:w="60"/>
              <w:left w:type="dxa" w:w="120"/>
              <w:bottom w:type="dxa" w:w="30"/>
              <w:right w:type="dxa" w:w="120"/>
            </w:tcMar>
          </w:tcPr>
          <w:p>
            <w:pPr>
              <w:spacing w:before="120" w:after="120" w:line="288" w:lineRule="auto"/>
              <w:ind w:left="0"/>
              <w:jc w:val="left"/>
            </w:pPr>
            <w:hyperlink r:id="rId13">
              <w:r>
                <w:rPr>
                  <w:rFonts w:eastAsia="等线" w:ascii="Arial" w:cs="Arial" w:hAnsi="Arial"/>
                  <w:color w:val="3370ff"/>
                  <w:sz w:val="22"/>
                  <w:u w:val="single"/>
                </w:rPr>
                <w:t>https://github.com/flagos-ai/FlagCX</w:t>
              </w:r>
            </w:hyperlink>
          </w:p>
        </w:tc>
      </w:tr>
    </w:tbl>
    <w:p>
      <w:pPr>
        <w:spacing w:before="120" w:after="120" w:line="288" w:lineRule="auto"/>
        <w:ind w:left="0" w:firstLine="0"/>
        <w:jc w:val="left"/>
      </w:pPr>
    </w:p>
    <w:p>
      <w:pPr>
        <w:pStyle w:val="1"/>
        <w:spacing w:before="380" w:after="140" w:line="288" w:lineRule="auto"/>
        <w:ind w:left="0"/>
        <w:jc w:val="left"/>
        <w:outlineLvl w:val="0"/>
      </w:pPr>
      <w:bookmarkStart w:name="heading_7" w:id="7"/>
      <w:r>
        <w:rPr>
          <w:rFonts w:eastAsia="等线" w:ascii="Arial" w:cs="Arial" w:hAnsi="Arial"/>
          <w:b w:val="true"/>
          <w:sz w:val="36"/>
        </w:rPr>
        <w:t>Prerequisites</w:t>
      </w:r>
      <w:bookmarkEnd w:id="7"/>
    </w:p>
    <w:p>
      <w:pPr>
        <w:spacing w:before="120" w:after="120" w:line="288" w:lineRule="auto"/>
        <w:ind w:left="0" w:firstLine="0"/>
        <w:jc w:val="left"/>
      </w:pPr>
      <w:r>
        <w:rPr>
          <w:rFonts w:eastAsia="等线" w:ascii="Arial" w:cs="Arial" w:hAnsi="Arial"/>
          <w:sz w:val="22"/>
        </w:rPr>
        <w:t>Before enrolling in this course, you should have the following background:</w:t>
      </w:r>
    </w:p>
    <w:p>
      <w:pPr>
        <w:numPr>
          <w:numId w:val="12"/>
        </w:numPr>
        <w:spacing w:before="120" w:after="120" w:line="288" w:lineRule="auto"/>
        <w:ind w:left="0"/>
        <w:jc w:val="left"/>
      </w:pPr>
      <w:r>
        <w:rPr>
          <w:rFonts w:eastAsia="等线" w:ascii="Arial" w:cs="Arial" w:hAnsi="Arial"/>
          <w:sz w:val="22"/>
        </w:rPr>
        <w:t>Computer Organization: Understanding of basic processor architecture, memory hierarchy, and instruction execution pipeline.</w:t>
      </w:r>
    </w:p>
    <w:p>
      <w:pPr>
        <w:numPr>
          <w:numId w:val="13"/>
        </w:numPr>
        <w:spacing w:before="120" w:after="120" w:line="288" w:lineRule="auto"/>
        <w:ind w:left="0"/>
        <w:jc w:val="left"/>
      </w:pPr>
      <w:r>
        <w:rPr>
          <w:rFonts w:eastAsia="等线" w:ascii="Arial" w:cs="Arial" w:hAnsi="Arial"/>
          <w:sz w:val="22"/>
        </w:rPr>
        <w:t>Operating Systems: Familiarity with fundamental concepts such as process/thread management and memory management.</w:t>
      </w:r>
    </w:p>
    <w:p>
      <w:pPr>
        <w:numPr>
          <w:numId w:val="14"/>
        </w:numPr>
        <w:spacing w:before="120" w:after="120" w:line="288" w:lineRule="auto"/>
        <w:ind w:left="0"/>
        <w:jc w:val="left"/>
      </w:pPr>
      <w:r>
        <w:rPr>
          <w:rFonts w:eastAsia="等线" w:ascii="Arial" w:cs="Arial" w:hAnsi="Arial"/>
          <w:sz w:val="22"/>
        </w:rPr>
        <w:t>Introduction to Deep Learning: Familiarity with basic neural network concepts and hands-on experience with PyTorch or TensorFlow.</w:t>
      </w:r>
    </w:p>
    <w:p>
      <w:pPr>
        <w:numPr>
          <w:numId w:val="15"/>
        </w:numPr>
        <w:spacing w:before="120" w:after="120" w:line="288" w:lineRule="auto"/>
        <w:ind w:left="0"/>
        <w:jc w:val="left"/>
      </w:pPr>
      <w:r>
        <w:rPr>
          <w:rFonts w:eastAsia="等线" w:ascii="Arial" w:cs="Arial" w:hAnsi="Arial"/>
          <w:sz w:val="22"/>
        </w:rPr>
        <w:t>C/C++ Programming: Solid proficiency in C/C++ programming.</w:t>
      </w:r>
    </w:p>
    <w:p>
      <w:pPr>
        <w:spacing w:before="120" w:after="120" w:line="288" w:lineRule="auto"/>
        <w:ind w:left="0" w:firstLine="0"/>
        <w:jc w:val="left"/>
      </w:pPr>
      <w:r>
        <w:rPr>
          <w:rFonts w:eastAsia="等线" w:ascii="Arial" w:cs="Arial" w:hAnsi="Arial"/>
          <w:sz w:val="22"/>
        </w:rPr>
        <w:t>If you have no prior experience with CUDA, Triton, or GPU programming, there is no need to worry—the course will start from the fundamentals. However, the course progresses at a brisk pace, so it is recommended that you familiarize yourself with basic Python and PyTorch usage in advance.</w:t>
      </w:r>
    </w:p>
    <w:p>
      <w:pPr>
        <w:spacing w:before="120" w:after="120" w:line="288" w:lineRule="auto"/>
        <w:ind w:left="0" w:firstLine="0"/>
        <w:jc w:val="left"/>
      </w:pPr>
    </w:p>
    <w:p>
      <w:pPr>
        <w:pStyle w:val="1"/>
        <w:spacing w:before="380" w:after="140" w:line="288" w:lineRule="auto"/>
        <w:ind w:left="0"/>
        <w:jc w:val="left"/>
        <w:outlineLvl w:val="0"/>
      </w:pPr>
      <w:bookmarkStart w:name="heading_8" w:id="8"/>
      <w:r>
        <w:rPr>
          <w:rFonts w:eastAsia="等线" w:ascii="Arial" w:cs="Arial" w:hAnsi="Arial"/>
          <w:b w:val="true"/>
          <w:sz w:val="36"/>
        </w:rPr>
        <w:t>Course Objectives</w:t>
      </w:r>
      <w:bookmarkEnd w:id="8"/>
    </w:p>
    <w:p>
      <w:pPr>
        <w:spacing w:before="120" w:after="120" w:line="288" w:lineRule="auto"/>
        <w:ind w:left="0" w:firstLine="0"/>
        <w:jc w:val="left"/>
      </w:pPr>
      <w:r>
        <w:rPr>
          <w:rFonts w:eastAsia="等线" w:ascii="Arial" w:cs="Arial" w:hAnsi="Arial"/>
          <w:sz w:val="22"/>
        </w:rPr>
        <w:t>Upon completing this course, you will be able to:</w:t>
      </w:r>
    </w:p>
    <w:p>
      <w:pPr>
        <w:numPr>
          <w:numId w:val="16"/>
        </w:numPr>
        <w:spacing w:before="120" w:after="120" w:line="288" w:lineRule="auto"/>
        <w:ind w:left="0"/>
        <w:jc w:val="left"/>
      </w:pPr>
      <w:r>
        <w:rPr>
          <w:rFonts w:eastAsia="等线" w:ascii="Arial" w:cs="Arial" w:hAnsi="Arial"/>
          <w:sz w:val="22"/>
        </w:rPr>
        <w:t>Understand the architectural characteristics and design trade-offs of AI hardware including CPU, GPU, and NPU, and recognize the challenges posed by the slowdown of Moore's Law.</w:t>
      </w:r>
    </w:p>
    <w:p>
      <w:pPr>
        <w:numPr>
          <w:numId w:val="17"/>
        </w:numPr>
        <w:spacing w:before="120" w:after="120" w:line="288" w:lineRule="auto"/>
        <w:ind w:left="0"/>
        <w:jc w:val="left"/>
      </w:pPr>
      <w:r>
        <w:rPr>
          <w:rFonts w:eastAsia="等线" w:ascii="Arial" w:cs="Arial" w:hAnsi="Arial"/>
          <w:sz w:val="22"/>
        </w:rPr>
        <w:t>Master the SIMT programming model, thread/warp concepts, and memory coalescing as core heterogeneous computing programming techniques.</w:t>
      </w:r>
    </w:p>
    <w:p>
      <w:pPr>
        <w:numPr>
          <w:numId w:val="18"/>
        </w:numPr>
        <w:spacing w:before="120" w:after="120" w:line="288" w:lineRule="auto"/>
        <w:ind w:left="0"/>
        <w:jc w:val="left"/>
      </w:pPr>
      <w:r>
        <w:rPr>
          <w:rFonts w:eastAsia="等线" w:ascii="Arial" w:cs="Arial" w:hAnsi="Arial"/>
          <w:sz w:val="22"/>
        </w:rPr>
        <w:t>Understand the complete call chain of deep learning frameworks (PyTorch/TensorFlow) from the Python frontend to hardware execution.</w:t>
      </w:r>
    </w:p>
    <w:p>
      <w:pPr>
        <w:numPr>
          <w:numId w:val="19"/>
        </w:numPr>
        <w:spacing w:before="120" w:after="120" w:line="288" w:lineRule="auto"/>
        <w:ind w:left="0"/>
        <w:jc w:val="left"/>
      </w:pPr>
      <w:r>
        <w:rPr>
          <w:rFonts w:eastAsia="等线" w:ascii="Arial" w:cs="Arial" w:hAnsi="Arial"/>
          <w:sz w:val="22"/>
        </w:rPr>
        <w:t>Master the basic syntax of the Triton language and be able to write fundamental operators such as vector addition, matrix multiplication, and Softmax.</w:t>
      </w:r>
    </w:p>
    <w:p>
      <w:pPr>
        <w:numPr>
          <w:numId w:val="20"/>
        </w:numPr>
        <w:spacing w:before="120" w:after="120" w:line="288" w:lineRule="auto"/>
        <w:ind w:left="0"/>
        <w:jc w:val="left"/>
      </w:pPr>
      <w:r>
        <w:rPr>
          <w:rFonts w:eastAsia="等线" w:ascii="Arial" w:cs="Arial" w:hAnsi="Arial"/>
          <w:sz w:val="22"/>
        </w:rPr>
        <w:t>Become familiar with the FlagOS ecosystem and the FlagGems operator library, and develop the basic ability to develop and test operators within the FlagGems framework.</w:t>
      </w:r>
    </w:p>
    <w:p>
      <w:pPr>
        <w:numPr>
          <w:numId w:val="21"/>
        </w:numPr>
        <w:spacing w:before="120" w:after="120" w:line="288" w:lineRule="auto"/>
        <w:ind w:left="0"/>
        <w:jc w:val="left"/>
      </w:pPr>
      <w:r>
        <w:rPr>
          <w:rFonts w:eastAsia="等线" w:ascii="Arial" w:cs="Arial" w:hAnsi="Arial"/>
          <w:sz w:val="22"/>
        </w:rPr>
        <w:t>Understand basic strategies for memory hierarchy optimization, including Shared Memory usage, Bank Conflict identification, and Tiling techniques.</w:t>
      </w:r>
    </w:p>
    <w:p>
      <w:pPr>
        <w:pStyle w:val="1"/>
        <w:spacing w:before="380" w:after="140" w:line="288" w:lineRule="auto"/>
        <w:ind w:left="0"/>
        <w:jc w:val="left"/>
        <w:outlineLvl w:val="0"/>
      </w:pPr>
      <w:bookmarkStart w:name="heading_9" w:id="9"/>
      <w:r>
        <w:rPr>
          <w:rFonts w:eastAsia="等线" w:ascii="Arial" w:cs="Arial" w:hAnsi="Arial"/>
          <w:b w:val="true"/>
          <w:sz w:val="36"/>
        </w:rPr>
        <w:t>Session Schedule</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70"/>
        <w:gridCol w:w="7110"/>
      </w:tblGrid>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Session</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Topic &amp; Content</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Course Introduction &amp; AI Hardware Landscape: CPU/GPU/NPU architecture comparison, FlagOS background</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Heterogeneous Computing Programming Models: SIMT model, threads &amp; warps, memory coalescing</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Deep Learning Framework Call Chain Analysis: Python → C++ → CUDA Driver → Hardware</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Introduction to Triton: Kernel function definition, Grid &amp; Block concepts</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Environment Setup &amp; Toolchain: Docker/Conda configuration, FlagOS development environment</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Vector Computation Basics: Implementing VectorAdd in Triton, understanding tl.load/tl.store</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Matrix Multiplication Optimization I: Tiled Matrix Multiplication principles &amp; implementation</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Memory Hierarchy Optimization: Shared Memory, Bank Conflict, Cache locality</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Module Midterm Project: Implementing a Softmax Kernel in Triton</w:t>
            </w:r>
          </w:p>
        </w:tc>
      </w:tr>
    </w:tbl>
    <w:p>
      <w:pPr>
        <w:spacing w:before="120" w:after="120" w:line="288" w:lineRule="auto"/>
        <w:ind w:left="0" w:firstLine="0"/>
        <w:jc w:val="left"/>
      </w:pPr>
    </w:p>
    <w:p>
      <w:pPr>
        <w:pStyle w:val="1"/>
        <w:spacing w:before="380" w:after="140" w:line="288" w:lineRule="auto"/>
        <w:ind w:left="0"/>
        <w:jc w:val="left"/>
        <w:outlineLvl w:val="0"/>
      </w:pPr>
      <w:bookmarkStart w:name="heading_10" w:id="10"/>
      <w:r>
        <w:rPr>
          <w:rFonts w:eastAsia="等线" w:ascii="Arial" w:cs="Arial" w:hAnsi="Arial"/>
          <w:b w:val="true"/>
          <w:sz w:val="36"/>
        </w:rPr>
        <w:t>Textbooks and References</w:t>
      </w:r>
      <w:bookmarkEnd w:id="10"/>
    </w:p>
    <w:p>
      <w:pPr>
        <w:spacing w:before="120" w:after="120" w:line="288" w:lineRule="auto"/>
        <w:ind w:left="0" w:firstLine="0"/>
        <w:jc w:val="left"/>
      </w:pPr>
      <w:r>
        <w:rPr>
          <w:rFonts w:eastAsia="等线" w:ascii="Arial" w:cs="Arial" w:hAnsi="Arial"/>
          <w:sz w:val="22"/>
        </w:rPr>
        <w:t>There is no required textbook for this course. Reading materials primarily consist of lecture notes, research papers, and online documentation. The following are recommended reference resources:</w:t>
      </w:r>
    </w:p>
    <w:p>
      <w:pPr>
        <w:pStyle w:val="2"/>
        <w:spacing w:before="320" w:after="120" w:line="288" w:lineRule="auto"/>
        <w:ind w:left="0"/>
        <w:jc w:val="left"/>
        <w:outlineLvl w:val="1"/>
      </w:pPr>
      <w:bookmarkStart w:name="heading_11" w:id="11"/>
      <w:r>
        <w:rPr>
          <w:rFonts w:eastAsia="等线" w:ascii="Arial" w:cs="Arial" w:hAnsi="Arial"/>
          <w:b w:val="true"/>
          <w:sz w:val="32"/>
        </w:rPr>
        <w:t>Recommended Reference Books</w:t>
      </w:r>
      <w:bookmarkEnd w:id="11"/>
    </w:p>
    <w:p>
      <w:pPr>
        <w:numPr>
          <w:numId w:val="22"/>
        </w:numPr>
        <w:spacing w:before="120" w:after="120" w:line="288" w:lineRule="auto"/>
        <w:ind w:left="0"/>
        <w:jc w:val="left"/>
      </w:pPr>
      <w:r>
        <w:rPr>
          <w:rFonts w:eastAsia="等线" w:ascii="Arial" w:cs="Arial" w:hAnsi="Arial"/>
          <w:sz w:val="22"/>
        </w:rPr>
        <w:t>Zheng Weimin, Zhang Chenxi, et al. Intelligent Computing Systems. Tsinghua University Press, 2020.</w:t>
      </w:r>
    </w:p>
    <w:p>
      <w:pPr>
        <w:numPr>
          <w:numId w:val="23"/>
        </w:numPr>
        <w:spacing w:before="120" w:after="120" w:line="288" w:lineRule="auto"/>
        <w:ind w:left="0"/>
        <w:jc w:val="left"/>
      </w:pPr>
      <w:r>
        <w:rPr>
          <w:rFonts w:eastAsia="等线" w:ascii="Arial" w:cs="Arial" w:hAnsi="Arial"/>
          <w:sz w:val="22"/>
        </w:rPr>
        <w:t>NVIDIA.《CUDA C++ Best Practices Guide》. NVIDIA Developer Documentation, 2024.</w:t>
      </w:r>
    </w:p>
    <w:p>
      <w:pPr>
        <w:pStyle w:val="2"/>
        <w:spacing w:before="320" w:after="120" w:line="288" w:lineRule="auto"/>
        <w:ind w:left="0"/>
        <w:jc w:val="left"/>
        <w:outlineLvl w:val="1"/>
      </w:pPr>
      <w:bookmarkStart w:name="heading_12" w:id="12"/>
      <w:r>
        <w:rPr>
          <w:rFonts w:eastAsia="等线" w:ascii="Arial" w:cs="Arial" w:hAnsi="Arial"/>
          <w:b w:val="true"/>
          <w:sz w:val="32"/>
        </w:rPr>
        <w:t>Key Papers</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55"/>
        <w:gridCol w:w="4080"/>
        <w:gridCol w:w="1845"/>
      </w:tblGrid>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Authors</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Paper Title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Publication</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Philippe Tillet, et al.</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Triton: An Intermediate Language and Compiler for Tiled Neural Network Computations</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MAPL, 2019</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Additional reading materials and lecture notes will be distributed during the course. Please follow the course homepage and announcements.</w:t>
      </w: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赵志强 5476"/>
          <v:fill opacity="0.3"/>
        </v:shape>
      </w:pict>
    </w:r>
  </w:p>
</w:hdr>
</file>

<file path=word/numbering.xml><?xml version="1.0" encoding="utf-8"?>
<w:numbering xmlns:w="http://schemas.openxmlformats.org/wordprocessingml/2006/main">
  <w:abstractNum w:abstractNumId="192486">
    <w:lvl>
      <w:numFmt w:val="bullet"/>
      <w:suff w:val="tab"/>
      <w:lvlText w:val="•"/>
      <w:rPr>
        <w:color w:val="3370ff"/>
      </w:rPr>
    </w:lvl>
  </w:abstractNum>
  <w:abstractNum w:abstractNumId="192487">
    <w:lvl>
      <w:numFmt w:val="bullet"/>
      <w:suff w:val="tab"/>
      <w:lvlText w:val="•"/>
      <w:rPr>
        <w:color w:val="3370ff"/>
      </w:rPr>
    </w:lvl>
  </w:abstractNum>
  <w:abstractNum w:abstractNumId="192488">
    <w:lvl>
      <w:numFmt w:val="bullet"/>
      <w:suff w:val="tab"/>
      <w:lvlText w:val="•"/>
      <w:rPr>
        <w:color w:val="3370ff"/>
      </w:rPr>
    </w:lvl>
  </w:abstractNum>
  <w:abstractNum w:abstractNumId="192489">
    <w:lvl>
      <w:numFmt w:val="bullet"/>
      <w:suff w:val="tab"/>
      <w:lvlText w:val="•"/>
      <w:rPr>
        <w:color w:val="3370ff"/>
      </w:rPr>
    </w:lvl>
  </w:abstractNum>
  <w:abstractNum w:abstractNumId="192490">
    <w:lvl>
      <w:numFmt w:val="bullet"/>
      <w:suff w:val="tab"/>
      <w:lvlText w:val="•"/>
      <w:rPr>
        <w:color w:val="3370ff"/>
      </w:rPr>
    </w:lvl>
  </w:abstractNum>
  <w:abstractNum w:abstractNumId="192491">
    <w:lvl>
      <w:numFmt w:val="bullet"/>
      <w:suff w:val="tab"/>
      <w:lvlText w:val="•"/>
      <w:rPr>
        <w:color w:val="3370ff"/>
      </w:rPr>
    </w:lvl>
  </w:abstractNum>
  <w:abstractNum w:abstractNumId="192492">
    <w:lvl>
      <w:numFmt w:val="bullet"/>
      <w:suff w:val="tab"/>
      <w:lvlText w:val="•"/>
      <w:rPr>
        <w:color w:val="3370ff"/>
      </w:rPr>
    </w:lvl>
  </w:abstractNum>
  <w:abstractNum w:abstractNumId="192493">
    <w:lvl>
      <w:numFmt w:val="bullet"/>
      <w:suff w:val="tab"/>
      <w:lvlText w:val="•"/>
      <w:rPr>
        <w:color w:val="3370ff"/>
      </w:rPr>
    </w:lvl>
  </w:abstractNum>
  <w:abstractNum w:abstractNumId="192494">
    <w:lvl>
      <w:numFmt w:val="bullet"/>
      <w:suff w:val="tab"/>
      <w:lvlText w:val="•"/>
      <w:rPr>
        <w:color w:val="3370ff"/>
      </w:rPr>
    </w:lvl>
  </w:abstractNum>
  <w:abstractNum w:abstractNumId="192495">
    <w:lvl>
      <w:numFmt w:val="bullet"/>
      <w:suff w:val="tab"/>
      <w:lvlText w:val="•"/>
      <w:rPr>
        <w:color w:val="3370ff"/>
      </w:rPr>
    </w:lvl>
  </w:abstractNum>
  <w:abstractNum w:abstractNumId="192496">
    <w:lvl>
      <w:numFmt w:val="bullet"/>
      <w:suff w:val="tab"/>
      <w:lvlText w:val="•"/>
      <w:rPr>
        <w:color w:val="3370ff"/>
      </w:rPr>
    </w:lvl>
  </w:abstractNum>
  <w:abstractNum w:abstractNumId="192497">
    <w:lvl>
      <w:numFmt w:val="bullet"/>
      <w:suff w:val="tab"/>
      <w:lvlText w:val="•"/>
      <w:rPr>
        <w:color w:val="3370ff"/>
      </w:rPr>
    </w:lvl>
  </w:abstractNum>
  <w:abstractNum w:abstractNumId="192498">
    <w:lvl>
      <w:numFmt w:val="bullet"/>
      <w:suff w:val="tab"/>
      <w:lvlText w:val="•"/>
      <w:rPr>
        <w:color w:val="3370ff"/>
      </w:rPr>
    </w:lvl>
  </w:abstractNum>
  <w:abstractNum w:abstractNumId="192499">
    <w:lvl>
      <w:numFmt w:val="bullet"/>
      <w:suff w:val="tab"/>
      <w:lvlText w:val="•"/>
      <w:rPr>
        <w:color w:val="3370ff"/>
      </w:rPr>
    </w:lvl>
  </w:abstractNum>
  <w:abstractNum w:abstractNumId="192500">
    <w:lvl>
      <w:numFmt w:val="bullet"/>
      <w:suff w:val="tab"/>
      <w:lvlText w:val="•"/>
      <w:rPr>
        <w:color w:val="3370ff"/>
      </w:rPr>
    </w:lvl>
  </w:abstractNum>
  <w:abstractNum w:abstractNumId="192501">
    <w:lvl>
      <w:start w:val="1"/>
      <w:numFmt w:val="decimal"/>
      <w:suff w:val="tab"/>
      <w:lvlText w:val="%1."/>
      <w:rPr>
        <w:color w:val="3370ff"/>
      </w:rPr>
    </w:lvl>
  </w:abstractNum>
  <w:abstractNum w:abstractNumId="192502">
    <w:lvl>
      <w:start w:val="2"/>
      <w:numFmt w:val="decimal"/>
      <w:suff w:val="tab"/>
      <w:lvlText w:val="%1."/>
      <w:rPr>
        <w:color w:val="3370ff"/>
      </w:rPr>
    </w:lvl>
  </w:abstractNum>
  <w:abstractNum w:abstractNumId="192503">
    <w:lvl>
      <w:start w:val="3"/>
      <w:numFmt w:val="decimal"/>
      <w:suff w:val="tab"/>
      <w:lvlText w:val="%1."/>
      <w:rPr>
        <w:color w:val="3370ff"/>
      </w:rPr>
    </w:lvl>
  </w:abstractNum>
  <w:abstractNum w:abstractNumId="192504">
    <w:lvl>
      <w:start w:val="4"/>
      <w:numFmt w:val="decimal"/>
      <w:suff w:val="tab"/>
      <w:lvlText w:val="%1."/>
      <w:rPr>
        <w:color w:val="3370ff"/>
      </w:rPr>
    </w:lvl>
  </w:abstractNum>
  <w:abstractNum w:abstractNumId="192505">
    <w:lvl>
      <w:start w:val="5"/>
      <w:numFmt w:val="decimal"/>
      <w:suff w:val="tab"/>
      <w:lvlText w:val="%1."/>
      <w:rPr>
        <w:color w:val="3370ff"/>
      </w:rPr>
    </w:lvl>
  </w:abstractNum>
  <w:abstractNum w:abstractNumId="192506">
    <w:lvl>
      <w:start w:val="6"/>
      <w:numFmt w:val="decimal"/>
      <w:suff w:val="tab"/>
      <w:lvlText w:val="%1."/>
      <w:rPr>
        <w:color w:val="3370ff"/>
      </w:rPr>
    </w:lvl>
  </w:abstractNum>
  <w:abstractNum w:abstractNumId="192507">
    <w:lvl>
      <w:numFmt w:val="bullet"/>
      <w:suff w:val="tab"/>
      <w:lvlText w:val="•"/>
      <w:rPr>
        <w:color w:val="3370ff"/>
      </w:rPr>
    </w:lvl>
  </w:abstractNum>
  <w:abstractNum w:abstractNumId="192508">
    <w:lvl>
      <w:numFmt w:val="bullet"/>
      <w:suff w:val="tab"/>
      <w:lvlText w:val="•"/>
      <w:rPr>
        <w:color w:val="3370ff"/>
      </w:rPr>
    </w:lvl>
  </w:abstractNum>
  <w:num w:numId="1">
    <w:abstractNumId w:val="192486"/>
  </w:num>
  <w:num w:numId="2">
    <w:abstractNumId w:val="192487"/>
  </w:num>
  <w:num w:numId="3">
    <w:abstractNumId w:val="192488"/>
  </w:num>
  <w:num w:numId="4">
    <w:abstractNumId w:val="192489"/>
  </w:num>
  <w:num w:numId="5">
    <w:abstractNumId w:val="192490"/>
  </w:num>
  <w:num w:numId="6">
    <w:abstractNumId w:val="192491"/>
  </w:num>
  <w:num w:numId="7">
    <w:abstractNumId w:val="192492"/>
  </w:num>
  <w:num w:numId="8">
    <w:abstractNumId w:val="192493"/>
  </w:num>
  <w:num w:numId="9">
    <w:abstractNumId w:val="192494"/>
  </w:num>
  <w:num w:numId="10">
    <w:abstractNumId w:val="192495"/>
  </w:num>
  <w:num w:numId="11">
    <w:abstractNumId w:val="192496"/>
  </w:num>
  <w:num w:numId="12">
    <w:abstractNumId w:val="192497"/>
  </w:num>
  <w:num w:numId="13">
    <w:abstractNumId w:val="192498"/>
  </w:num>
  <w:num w:numId="14">
    <w:abstractNumId w:val="192499"/>
  </w:num>
  <w:num w:numId="15">
    <w:abstractNumId w:val="192500"/>
  </w:num>
  <w:num w:numId="16">
    <w:abstractNumId w:val="192501"/>
  </w:num>
  <w:num w:numId="17">
    <w:abstractNumId w:val="192502"/>
  </w:num>
  <w:num w:numId="18">
    <w:abstractNumId w:val="192503"/>
  </w:num>
  <w:num w:numId="19">
    <w:abstractNumId w:val="192504"/>
  </w:num>
  <w:num w:numId="20">
    <w:abstractNumId w:val="192505"/>
  </w:num>
  <w:num w:numId="21">
    <w:abstractNumId w:val="192506"/>
  </w:num>
  <w:num w:numId="22">
    <w:abstractNumId w:val="192507"/>
  </w:num>
  <w:num w:numId="23">
    <w:abstractNumId w:val="19250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flagos.csdn.net" TargetMode="External" Type="http://schemas.openxmlformats.org/officeDocument/2006/relationships/hyperlink"/><Relationship Id="rId11" Target="https://github.com/FlagOpen/FlagGems" TargetMode="External" Type="http://schemas.openxmlformats.org/officeDocument/2006/relationships/hyperlink"/><Relationship Id="rId12" Target="https://github.com/flagos-ai/FlagTree" TargetMode="External" Type="http://schemas.openxmlformats.org/officeDocument/2006/relationships/hyperlink"/><Relationship Id="rId13" Target="https://github.com/flagos-ai/FlagCX"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flagos.io/OnlineLab" TargetMode="External" Type="http://schemas.openxmlformats.org/officeDocument/2006/relationships/hyperlink"/><Relationship Id="rId6" Target="https://docs.flagos.io/projects/onlinelaboratory/en/latest/onlinelaboratory.html" TargetMode="External" Type="http://schemas.openxmlformats.org/officeDocument/2006/relationships/hyperlink"/><Relationship Id="rId7" Target="https://flagos.io" TargetMode="External" Type="http://schemas.openxmlformats.org/officeDocument/2006/relationships/hyperlink"/><Relationship Id="rId8" Target="https://flagos.io/OnlineLab" TargetMode="External" Type="http://schemas.openxmlformats.org/officeDocument/2006/relationships/hyperlink"/><Relationship Id="rId9" Target="https://docs.flagos.io/projects/onlinelaboratory/en/latest/onlinelaboratory.html"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2026-03-25T07:13:00Z</dcterms:created>
  <dc:creator>Apache POI</dc:creator>
</cp:coreProperties>
</file>