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1A8A"/>
          <w:sz w:val="48"/>
          <w:szCs w:val="48"/>
        </w:rPr>
        <w:t xml:space="preserve">Meetkader &amp; Dashboard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KPI-structuur per Verantwoordelijkheidsniveau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Subdocument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 5: Meetkader &amp; Dashboard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Hoort bij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Beleidsstuk v2.0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Februari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Inhoudsopgave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Meetfilosofie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meetkader volgt de verantwoordelijkheidsladder. Elk level heeft eigen KPI’s die passen bij de autonomie en het risicoprofiel. Financiële KPI’s zijn bewust lagging indicators die pas op Level 3+ relevant worden.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Principe: </w:t>
      </w:r>
      <w:r>
        <w:rPr>
          <w:rFonts w:ascii="Arial" w:cs="Arial" w:eastAsia="Arial" w:hAnsi="Arial"/>
          <w:sz w:val="22"/>
          <w:szCs w:val="22"/>
        </w:rPr>
        <w:t xml:space="preserve">meet wat het level moet bewijzen, niet wat je hoopt te bereiken.</w:t>
      </w:r>
    </w:p>
    <w:p>
      <w:r>
        <w:br w:type="page"/>
      </w:r>
    </w:p>
    <w:p>
      <w:pPr>
        <w:pStyle w:val="Heading1"/>
      </w:pPr>
      <w:r>
        <w:t xml:space="preserve">2. KPI’s per Level</w:t>
      </w:r>
    </w:p>
    <w:p>
      <w:pPr>
        <w:pStyle w:val="Heading2"/>
      </w:pPr>
      <w:r>
        <w:t xml:space="preserve">2.1 Level 1 – Cognitieve Ondersteuning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Meet: voorspelbaarheid en leertempo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1200"/>
        <w:gridCol w:w="140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Frequentie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Correctheid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suggesties beoordeeld als 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vragen met ≥1 relevante suggestie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Adoptie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medewerkers dat Dani ≥3x/dag gebruikt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Leertempo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Nieuwe lacunes per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AHT-impact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Verandering afhandeltijd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KCC-data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Medewerker-NPS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Tevredenheidsscore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Enquête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Level 2 – Begeleide Interactie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Meet: tevredenheid en efficiëntie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1200"/>
        <w:gridCol w:w="140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Frequentie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CSAT inwoner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Tevredenheidsscore na interactie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≥4.0/5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gesprek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Automatisering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volledig door Dani afgehandeld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Escalatieratio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overgedragen aan mens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Gem. reactietijd Dani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Correctheid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inhoudelijk 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Steekproef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Level 3+ – Taakuitvoering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Meet: financiële impact en volume-effecten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1200"/>
        <w:gridCol w:w="140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Frequentie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Deflection rate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Telefonievolume-reductie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KCC-data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TBN-reductie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Reductie terugbelnotities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KCC-data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contact resolution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Kostenbesparing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Gerealiseerde besparing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Kwartaal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Gating-criteria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Elke overgang vereist dat de KPI’s van het huidige level structureel behaald zijn: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Overgang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Verplichte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Beslisser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L1 → L2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Correctheid ≥95%, coverage ≥80%, NPS ≥7/10, 500+ beoordeeld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Adil + Hans-Erik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L2 → L3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≥4.0, automatisering ≥50%, escalatie ≤30%, geen kritieke incidenten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Adil + Hans-Erik + stuurgroep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L3 → L4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L3-KPI’s stabiel, DPIA afgerond, governance-goedkeuring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Stuurgroep + directie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Dashboard-ontwerp</w:t>
      </w:r>
    </w:p>
    <w:p>
      <w:pPr>
        <w:pStyle w:val="Heading2"/>
      </w:pPr>
      <w:r>
        <w:t xml:space="preserve">4.1 Overzichtspagina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KPI-scorecard met traffic light (groen/oranje/rood) per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Trendgrafieken: correctheid en coverage over tijd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Volume-indicatoren: aantal interacties, suggesties, escalaties</w:t>
      </w:r>
    </w:p>
    <w:p>
      <w:pPr>
        <w:pStyle w:val="Heading2"/>
      </w:pPr>
      <w:r>
        <w:t xml:space="preserve">4.2 Detailpagina’s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Top-10 kennislacunes met frequentie en prioriteit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Escalatie-analyse: redenen en patronen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Feedbackoverzicht per onderwerp en per bron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Adoptie per medewerker (geanonimiseerd of per team)</w:t>
      </w:r>
    </w:p>
    <w:p>
      <w:pPr>
        <w:pStyle w:val="Heading2"/>
      </w:pPr>
      <w:r>
        <w:t xml:space="preserve">4.3 Rapportage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Dagelijks: automatisch correctheids- en volume-overzicht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Wekelijks: verbeterrapport met top-lacunes en aanbevelingen (Freeday → Adil)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Maandelijks: management-rapportage met KPI-scorecard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Kwartaal: stuurgroep-rapportage met gating-beoordeling</w:t>
      </w:r>
    </w:p>
    <w:p>
      <w:r>
        <w:br w:type="page"/>
      </w:r>
    </w:p>
    <w:p>
      <w:pPr>
        <w:pStyle w:val="Heading1"/>
      </w:pPr>
      <w:r>
        <w:t xml:space="preserve">5. Verbetercyclus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meetkader is niet alleen rapportage, maar stuurt concrete verbetering: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Verantwoordelijke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onder drempel of stijgende lacune-trend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(automatisch)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 bepalen: kennis, prompt, scope of techniek?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Kennisbron aanvullen, prompt tunen, scope aanpassen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 + content-eigenaar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 meten na implementatie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 + Adil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Structurele monitoring op herhaling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Meetkader &amp; Dashboard – Dani –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A1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2026-02-10T13:12:13.262Z</dcterms:created>
  <dcterms:modified xsi:type="dcterms:W3CDTF">2026-02-10T13:12:13.263Z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