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00"/>
        <w:jc w:val="center"/>
      </w:pPr>
      <w:r>
        <w:rPr>
          <w:b/>
          <w:bCs/>
          <w:color w:val="1F2A4A"/>
          <w:sz w:val="40"/>
          <w:szCs w:val="40"/>
        </w:rPr>
        <w:t xml:space="preserve">Business Insights</w:t>
      </w:r>
    </w:p>
    <w:p>
      <w:pPr>
        <w:spacing w:after="30"/>
        <w:jc w:val="center"/>
      </w:pPr>
      <w:r>
        <w:rPr>
          <w:b/>
          <w:bCs/>
          <w:color w:val="0D9488"/>
          <w:sz w:val="24"/>
          <w:szCs w:val="24"/>
        </w:rPr>
        <w:t xml:space="preserve">E-Commerce Sales, Customer &amp; Product Analytics</w:t>
      </w:r>
    </w:p>
    <w:p>
      <w:pPr>
        <w:spacing w:after="500"/>
        <w:jc w:val="center"/>
      </w:pPr>
      <w:r>
        <w:rPr>
          <w:i/>
          <w:iCs/>
          <w:color w:val="6B7280"/>
          <w:sz w:val="18"/>
          <w:szCs w:val="18"/>
        </w:rPr>
        <w:t xml:space="preserve">Deliverable 5 of 6 — Final Project Deliverables</w:t>
      </w:r>
    </w:p>
    <w:p>
      <w:pPr>
        <w:spacing w:after="130"/>
      </w:pPr>
      <w:r>
        <w:rPr>
          <w:sz w:val="21"/>
          <w:szCs w:val="21"/>
        </w:rPr>
        <w:t xml:space="preserve">This document consolidates the major findings discovered while analysing the Customers, Products, Orders and Order Items dataset (100 customers · 50 products · 500 orders · 1,500 order items, covering 12 May 2025 – 12 May 2026). Each insight is grouped by business area and backed by the underlying numbers.</w:t>
      </w:r>
    </w:p>
    <w:p>
      <w:pPr>
        <w:pStyle w:val="Heading1"/>
        <w:spacing w:after="150" w:before="340"/>
      </w:pPr>
      <w:r>
        <w:t xml:space="preserve">1. Sales &amp; Revenue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Total revenue across the analysis window is ₹7,97,87,626 (₹7.98 Cr), generated from 349 delivered orders at an average order value of ₹2,28,618.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Electronics is the clear leading category, contributing ₹2,94,32,401 — 36.9% of total revenue — well ahead of Sports (26.5%), Books (16.8%), Home &amp; Kitchen (10.5%) and Clothing (9.3%).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Revenue has grown steadily across the data window, rising from roughly ₹42.9 lakh in May 2025 to a peak of ₹1.07 crore in April 2026 — a positive, sustained upward trend rather than a one-off spike.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single best-selling product is "Eco Similique," generating ₹42,36,995 in revenue on its own, followed by "Smart Iste" (₹38,14,663) and "Premium Numquam" (₹36,70,981). The top 10 products are heavily concentrated in the Electronics and Sports categories.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At the other end, the three lowest-revenue products — "Premium Suscipit" (₹1,12,696), "Classic Numquam" (₹1,63,435) and "Premium Veniam" (₹1,80,181) — generate a small fraction of what the top performers do, and are candidates for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Mumbai (₹1.28 Cr) and Chennai (₹1.27 Cr) are the two strongest cities by revenue, followed by Pune, Bengaluru, Kolkata, Delhi, Ahmedabad and Hyderabad — revenue is reasonably spread but not even across the 8 cities served.</w:t>
      </w:r>
    </w:p>
    <w:p>
      <w:pPr>
        <w:pStyle w:val="Heading1"/>
        <w:spacing w:after="150" w:before="340"/>
      </w:pPr>
      <w:r>
        <w:t xml:space="preserve">2. Customer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Of 100 registered customers, 95 are repeat buyers — a 95.0% repeat purchase rate, indicating strong customer satisfaction and retention overall.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Customer value is concentrated: the 24 customers classified as High-Value generate ₹3,62,24,643 in revenue — nearly as much as the much larger 71-customer Repeat segment (₹4,33,45,307), and far more per customer.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Only 4 customers are One-Time buyers (contributing a modest ₹2,17,676 combined), and exactly 1 customer has never placed an order at all — the customer base is, on the whole, highly engaged.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Average revenue per paying customer is ₹8,31,121 — a useful benchmark for evaluating whether marketing or retention spend on an individual customer is proportionate.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New customer signups peaked in September 2025 (8 new customers) but have slowed markedly since — only 6 in March 2026 and just 1 in April 2026 — a deceleration in acquisition worth investigating independently of the strong retention numbers above.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Mumbai (18 customers) and Bengaluru (17) have the largest registered customer bases, though Mumbai does not lead proportionally on revenue per customer once city-level order value is accounted for.</w:t>
      </w:r>
    </w:p>
    <w:p>
      <w:pPr>
        <w:pStyle w:val="Heading1"/>
        <w:spacing w:after="150" w:before="340"/>
      </w:pPr>
      <w:r>
        <w:t xml:space="preserve">3. Product &amp; Category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Electronics leads not only on revenue but on units sold (1,118 units), ahead of Sports (627), Books (581), Clothing (436) and Home &amp; Kitchen (382).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Sports products carry the highest average price (₹34,228), followed by Electronics (₹25,945), Books (₹24,709), Home &amp; Kitchen (₹20,462) and Clothing (₹17,258) — category revenue leadership and category pricing do not move together, since Sports is priced highest but ranks second in revenue.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8 products are currently flagged as Low Stock (stock between 1 and 100 units); none are fully Out of Stock, but several of these low-stock items are mid-to-high performers by revenue, creating a near-term fulfilment risk if demand continues.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100% of the 1,500 order line items have a unit price that exactly matches the current product catalog price — the dataset does not currently capture historical or promotional pricing, which limits any discount-effectiveness analysis.</w:t>
      </w:r>
    </w:p>
    <w:p>
      <w:pPr>
        <w:pStyle w:val="Heading1"/>
        <w:spacing w:after="150" w:before="340"/>
      </w:pPr>
      <w:r>
        <w:t xml:space="preserve">4. Orders &amp; Payment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Of 500 total orders, 69.8% (349) were delivered, 10.6% (53) were cancelled, 5.4% (27) were returned, and 14.2% (71) remain pending — cancellations and returns combined touch 16.0% of all orders.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Cash on Delivery has the highest cancellation rate of any payment method at 14.56%, compared with 11.86% for Net Banking, 10.00% for Credit Card, 9.17% for Debit Card, and just 6.25% for UPI — the lowest of all five methods.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Debit Card (₹1.998 Cr) and Net Banking (₹1.994 Cr) generate the most delivered revenue, narrowly ahead of Credit Card, UPI and Cash on Delivery — revenue is fairly evenly spread across payment methods despite the cancellation-rate differences above.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Cancellation rates vary meaningfully by city: Mumbai's cancellation rate (17.86%) is more than double Pune's (6.67%), the lowest of the 8 cities — a strong signal of a city-specific operational issue rather than a company-wide problem.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 data-quality note: 26 orders (mostly marked Delivered) have no corresponding line items in Order Items, meaning they contribute to order-volume counts but ₹0 to revenue. This does not affect the KPIs in this report, which are computed from Order Items, but it is worth flagging to the source system.</w:t>
      </w:r>
    </w:p>
    <w:p>
      <w:pPr>
        <w:pStyle w:val="Heading1"/>
        <w:spacing w:after="150" w:before="340"/>
      </w:pPr>
      <w:r>
        <w:t xml:space="preserve">5. Customer Value &amp; Retention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High-Value segment (24% of customers) contributes roughly 45% of total customer revenue — a textbook Pareto pattern where a minority of the customer base drives a disproportionate share of value.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With a 95% repeat rate already achieved, the primary growth lever is not conversion of new buyers into repeat buyers (already largely solved) but deepening spend within the existing repeat and high-value 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Because average revenue per customer (₹8,31,121) is high relative to the One-Time segment's average (~₹54,419 per customer), the gap between a first-time buyer and an established one is substantial — early lifecycle engagement (the first 1–2 purchases) appears to be where the greatest value is unlocked.</w:t>
      </w:r>
    </w:p>
    <w:p>
      <w:pPr>
        <w:pStyle w:val="Heading1"/>
        <w:spacing w:after="150" w:before="340"/>
      </w:pPr>
      <w:r>
        <w:t xml:space="preserve">6. Data Quality Note</w:t>
      </w:r>
    </w:p>
    <w:tbl>
      <w:tblPr>
        <w:tblW w:type="dxa" w:w="9350"/>
        <w:tblBorders>
          <w:top w:val="single" w:color="D97706" w:sz="2"/>
          <w:left w:val="single" w:color="D97706" w:sz="28"/>
          <w:bottom w:val="single" w:color="D97706" w:sz="2"/>
          <w:right w:val="single" w:color="D97706" w:sz="2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1F2A4A"/>
                <w:sz w:val="22"/>
                <w:szCs w:val="22"/>
              </w:rPr>
              <w:t xml:space="preserve">Overall data quality assessment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sz w:val="19"/>
                <w:szCs w:val="19"/>
              </w:rPr>
              <w:t xml:space="preserve">The dataset is largely clean at source: no duplicate keys, no orphaned foreign keys, no invalid dates, and a small, consistent set of categorical values across status, payment method and category.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sz w:val="19"/>
                <w:szCs w:val="19"/>
              </w:rPr>
              <w:t xml:space="preserve">The one substantive issue — 26 orders with no line items — does not break referential integrity, but does mean order-count KPIs (Total Orders = 500) and revenue KPIs (computed from Order Items) are not perfectly reconciled.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sz w:val="19"/>
                <w:szCs w:val="19"/>
              </w:rPr>
              <w:t xml:space="preserve">This is documented so any revenue-per-order comparison against Total Orders (rather than Delivered Orders with items) is read with that caveat.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8" w:space="6"/>
      </w:pBdr>
      <w:spacing w:after="150" w:before="340"/>
    </w:pPr>
    <w:rPr>
      <w:rFonts w:ascii="Calibri" w:cs="Calibri" w:eastAsia="Calibri" w:hAnsi="Calibri"/>
      <w:b/>
      <w:bCs/>
      <w:color w:val="1F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1F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2026-09-22T07:06:55.563Z</dcterms:created>
  <dcterms:modified xsi:type="dcterms:W3CDTF">2026-09-22T07:06:55.572Z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