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700"/>
        <w:jc w:val="center"/>
      </w:pPr>
      <w:r>
        <w:rPr>
          <w:b/>
          <w:bCs/>
          <w:color w:val="1F2A4A"/>
          <w:sz w:val="40"/>
          <w:szCs w:val="40"/>
        </w:rPr>
        <w:t xml:space="preserve">Business Recommendations</w:t>
      </w:r>
    </w:p>
    <w:p>
      <w:pPr>
        <w:spacing w:after="30"/>
        <w:jc w:val="center"/>
      </w:pPr>
      <w:r>
        <w:rPr>
          <w:b/>
          <w:bCs/>
          <w:color w:val="0D9488"/>
          <w:sz w:val="24"/>
          <w:szCs w:val="24"/>
        </w:rPr>
        <w:t xml:space="preserve">E-Commerce Sales, Customer &amp; Product Analytics</w:t>
      </w:r>
    </w:p>
    <w:p>
      <w:pPr>
        <w:spacing w:after="500"/>
        <w:jc w:val="center"/>
      </w:pPr>
      <w:r>
        <w:rPr>
          <w:i/>
          <w:iCs/>
          <w:color w:val="6B7280"/>
          <w:sz w:val="18"/>
          <w:szCs w:val="18"/>
        </w:rPr>
        <w:t xml:space="preserve">Deliverable 6 of 6 — Final Project Deliverables</w:t>
      </w:r>
    </w:p>
    <w:p>
      <w:pPr>
        <w:spacing w:after="130"/>
      </w:pPr>
      <w:r>
        <w:rPr>
          <w:sz w:val="21"/>
          <w:szCs w:val="21"/>
        </w:rPr>
        <w:t xml:space="preserve">Every recommendation below is drawn directly from a finding documented in the companion Business Insights report — none are generic advice. They are ordered roughly by expected impact and ease of action.</w:t>
      </w:r>
    </w:p>
    <w:p>
      <w:pPr>
        <w:pStyle w:val="Heading1"/>
        <w:spacing w:after="150" w:before="340"/>
      </w:pPr>
      <w:r>
        <w:t xml:space="preserve">Recommendations</w:t>
      </w:r>
    </w:p>
    <w:tbl>
      <w:tblPr>
        <w:tblW w:type="dxa" w:w="9350"/>
        <w:tblBorders>
          <w:top w:val="single" w:color="0D9488" w:sz="4"/>
          <w:left w:val="single" w:color="0D9488" w:sz="4"/>
          <w:bottom w:val="single" w:color="0D9488" w:sz="4"/>
          <w:right w:val="single" w:color="0D9488" w:sz="4"/>
          <w:insideH w:val="single" w:color="0D9488" w:sz="2"/>
          <w:insideV w:val="none"/>
        </w:tblBorders>
      </w:tblPr>
      <w:tblGrid>
        <w:gridCol w:w="9350"/>
      </w:tblGrid>
      <w:tr>
        <w:tc>
          <w:tcPr>
            <w:gridSpan w:val="1"/>
            <w:shd w:fill="1F2A4A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Concentrate marketing and merchandising on Electronics</w:t>
            </w:r>
          </w:p>
        </w:tc>
      </w:tr>
      <w:tr>
        <w:tc>
          <w:tcPr>
            <w:shd w:fill="F5F6F8" w:val="clear"/>
            <w:tcMar>
              <w:top w:type="dxa" w:w="140"/>
              <w:left w:type="dxa" w:w="220"/>
              <w:bottom w:type="dxa" w:w="60"/>
              <w:right w:type="dxa" w:w="220"/>
            </w:tcMar>
          </w:tcPr>
          <w:p>
            <w:pPr>
              <w:spacing w:after="110"/>
            </w:pPr>
            <w:r>
              <w:rPr>
                <w:b/>
                <w:bCs/>
                <w:i/>
                <w:iCs/>
                <w:color w:val="6B7280"/>
                <w:sz w:val="19"/>
                <w:szCs w:val="19"/>
              </w:rPr>
              <w:t xml:space="preserve">Supporting finding: 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Electronics drives 36.9% of total revenue (₹2.94 Cr) and leads on units sold (1,118) — well ahead of every other category.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sz w:val="20"/>
                <w:szCs w:val="20"/>
              </w:rPr>
              <w:t xml:space="preserve">Prioritise Electronics for homepage placement, featured banners, and paid marketing spend.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sz w:val="20"/>
                <w:szCs w:val="20"/>
              </w:rPr>
              <w:t xml:space="preserve">Test cross-sell bundles pairing Electronics with the lowest-performing category (Clothing, 9.3% of revenue) to lift its share.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sz w:val="20"/>
                <w:szCs w:val="20"/>
              </w:rPr>
              <w:t xml:space="preserve">Review whether current inventory and supplier capacity in Electronics can support continued growth given its outsized demand.</w:t>
            </w:r>
          </w:p>
        </w:tc>
      </w:tr>
    </w:tbl>
    <w:p>
      <w:pPr>
        <w:spacing w:after="220"/>
      </w:pPr>
    </w:p>
    <w:tbl>
      <w:tblPr>
        <w:tblW w:type="dxa" w:w="9350"/>
        <w:tblBorders>
          <w:top w:val="single" w:color="0D9488" w:sz="4"/>
          <w:left w:val="single" w:color="0D9488" w:sz="4"/>
          <w:bottom w:val="single" w:color="0D9488" w:sz="4"/>
          <w:right w:val="single" w:color="0D9488" w:sz="4"/>
          <w:insideH w:val="single" w:color="0D9488" w:sz="2"/>
          <w:insideV w:val="none"/>
        </w:tblBorders>
      </w:tblPr>
      <w:tblGrid>
        <w:gridCol w:w="9350"/>
      </w:tblGrid>
      <w:tr>
        <w:tc>
          <w:tcPr>
            <w:gridSpan w:val="1"/>
            <w:shd w:fill="1F2A4A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Build a retention and loyalty programme around the existing customer base</w:t>
            </w:r>
          </w:p>
        </w:tc>
      </w:tr>
      <w:tr>
        <w:tc>
          <w:tcPr>
            <w:shd w:fill="F5F6F8" w:val="clear"/>
            <w:tcMar>
              <w:top w:type="dxa" w:w="140"/>
              <w:left w:type="dxa" w:w="220"/>
              <w:bottom w:type="dxa" w:w="60"/>
              <w:right w:type="dxa" w:w="220"/>
            </w:tcMar>
          </w:tcPr>
          <w:p>
            <w:pPr>
              <w:spacing w:after="110"/>
            </w:pPr>
            <w:r>
              <w:rPr>
                <w:b/>
                <w:bCs/>
                <w:i/>
                <w:iCs/>
                <w:color w:val="6B7280"/>
                <w:sz w:val="19"/>
                <w:szCs w:val="19"/>
              </w:rPr>
              <w:t xml:space="preserve">Supporting finding: 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95% of customers are already repeat buyers, and the 24 High-Value customers alone generate ₹3.62 Cr — nearly matching the much larger Repeat segment.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sz w:val="20"/>
                <w:szCs w:val="20"/>
              </w:rPr>
              <w:t xml:space="preserve">Launch a tiered loyalty programme that rewards the High-Value segment specifically, to protect this concentrated revenue.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sz w:val="20"/>
                <w:szCs w:val="20"/>
              </w:rPr>
              <w:t xml:space="preserve">Since conversion to repeat buying is already strong, shift retention spend toward increasing order frequency and basket size within the existing base rather than acquisition-focused campaigns.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sz w:val="20"/>
                <w:szCs w:val="20"/>
              </w:rPr>
              <w:t xml:space="preserve">Assign dedicated account attention (e.g. early access, personalised offers) to the top 10 customers by revenue.</w:t>
            </w:r>
          </w:p>
        </w:tc>
      </w:tr>
    </w:tbl>
    <w:p>
      <w:pPr>
        <w:spacing w:after="220"/>
      </w:pPr>
    </w:p>
    <w:tbl>
      <w:tblPr>
        <w:tblW w:type="dxa" w:w="9350"/>
        <w:tblBorders>
          <w:top w:val="single" w:color="DC5B3E" w:sz="4"/>
          <w:left w:val="single" w:color="DC5B3E" w:sz="4"/>
          <w:bottom w:val="single" w:color="DC5B3E" w:sz="4"/>
          <w:right w:val="single" w:color="DC5B3E" w:sz="4"/>
          <w:insideH w:val="single" w:color="DC5B3E" w:sz="2"/>
          <w:insideV w:val="none"/>
        </w:tblBorders>
      </w:tblPr>
      <w:tblGrid>
        <w:gridCol w:w="9350"/>
      </w:tblGrid>
      <w:tr>
        <w:tc>
          <w:tcPr>
            <w:gridSpan w:val="1"/>
            <w:shd w:fill="1F2A4A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Investigate the elevated cancellation rate on Cash on Delivery orders</w:t>
            </w:r>
          </w:p>
        </w:tc>
      </w:tr>
      <w:tr>
        <w:tc>
          <w:tcPr>
            <w:shd w:fill="F5F6F8" w:val="clear"/>
            <w:tcMar>
              <w:top w:type="dxa" w:w="140"/>
              <w:left w:type="dxa" w:w="220"/>
              <w:bottom w:type="dxa" w:w="60"/>
              <w:right w:type="dxa" w:w="220"/>
            </w:tcMar>
          </w:tcPr>
          <w:p>
            <w:pPr>
              <w:spacing w:after="110"/>
            </w:pPr>
            <w:r>
              <w:rPr>
                <w:b/>
                <w:bCs/>
                <w:i/>
                <w:iCs/>
                <w:color w:val="6B7280"/>
                <w:sz w:val="19"/>
                <w:szCs w:val="19"/>
              </w:rPr>
              <w:t xml:space="preserve">Supporting finding: 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COD has the highest cancellation rate of any payment method at 14.56%, nearly 2.5x UPI's 6.25% — the lowest.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sz w:val="20"/>
                <w:szCs w:val="20"/>
              </w:rPr>
              <w:t xml:space="preserve">Review whether COD orders lack a confirmation step that other payment methods effectively have (upfront payment itself filters out non-committed buyers).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sz w:val="20"/>
                <w:szCs w:val="20"/>
              </w:rPr>
              <w:t xml:space="preserve">Consider a phone or SMS confirmation step for high-value COD orders before dispatch.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sz w:val="20"/>
                <w:szCs w:val="20"/>
              </w:rPr>
              <w:t xml:space="preserve">Test incentivising a shift toward UPI or Debit Card (e.g. a small discount) for customers currently defaulting to COD.</w:t>
            </w:r>
          </w:p>
        </w:tc>
      </w:tr>
    </w:tbl>
    <w:p>
      <w:pPr>
        <w:spacing w:after="220"/>
      </w:pPr>
    </w:p>
    <w:tbl>
      <w:tblPr>
        <w:tblW w:type="dxa" w:w="9350"/>
        <w:tblBorders>
          <w:top w:val="single" w:color="DC5B3E" w:sz="4"/>
          <w:left w:val="single" w:color="DC5B3E" w:sz="4"/>
          <w:bottom w:val="single" w:color="DC5B3E" w:sz="4"/>
          <w:right w:val="single" w:color="DC5B3E" w:sz="4"/>
          <w:insideH w:val="single" w:color="DC5B3E" w:sz="2"/>
          <w:insideV w:val="none"/>
        </w:tblBorders>
      </w:tblPr>
      <w:tblGrid>
        <w:gridCol w:w="9350"/>
      </w:tblGrid>
      <w:tr>
        <w:tc>
          <w:tcPr>
            <w:gridSpan w:val="1"/>
            <w:shd w:fill="1F2A4A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Investigate Mumbai's disproportionately high cancellation rate</w:t>
            </w:r>
          </w:p>
        </w:tc>
      </w:tr>
      <w:tr>
        <w:tc>
          <w:tcPr>
            <w:shd w:fill="F5F6F8" w:val="clear"/>
            <w:tcMar>
              <w:top w:type="dxa" w:w="140"/>
              <w:left w:type="dxa" w:w="220"/>
              <w:bottom w:type="dxa" w:w="60"/>
              <w:right w:type="dxa" w:w="220"/>
            </w:tcMar>
          </w:tcPr>
          <w:p>
            <w:pPr>
              <w:spacing w:after="110"/>
            </w:pPr>
            <w:r>
              <w:rPr>
                <w:b/>
                <w:bCs/>
                <w:i/>
                <w:iCs/>
                <w:color w:val="6B7280"/>
                <w:sz w:val="19"/>
                <w:szCs w:val="19"/>
              </w:rPr>
              <w:t xml:space="preserve">Supporting finding: 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Mumbai's cancellation rate (17.86%) is more than double Pune's (6.67%), the lowest of the 8 cities served — despite Mumbai being the top city by both revenue and customer count.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sz w:val="20"/>
                <w:szCs w:val="20"/>
              </w:rPr>
              <w:t xml:space="preserve">Audit Mumbai-specific fulfilment: delivery partner performance, average delivery time, and address-verification issues.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sz w:val="20"/>
                <w:szCs w:val="20"/>
              </w:rPr>
              <w:t xml:space="preserve">Compare Mumbai's payment-method mix against other cities — if COD usage is disproportionately high there, that alone may explain part of the gap (see Recommendation 3).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sz w:val="20"/>
                <w:szCs w:val="20"/>
              </w:rPr>
              <w:t xml:space="preserve">Since Mumbai is also the largest revenue and customer base, even a modest improvement here has an outsized impact on total order economics.</w:t>
            </w:r>
          </w:p>
        </w:tc>
      </w:tr>
    </w:tbl>
    <w:p>
      <w:pPr>
        <w:spacing w:after="220"/>
      </w:pPr>
    </w:p>
    <w:tbl>
      <w:tblPr>
        <w:tblW w:type="dxa" w:w="9350"/>
        <w:tblBorders>
          <w:top w:val="single" w:color="D97706" w:sz="4"/>
          <w:left w:val="single" w:color="D97706" w:sz="4"/>
          <w:bottom w:val="single" w:color="D97706" w:sz="4"/>
          <w:right w:val="single" w:color="D97706" w:sz="4"/>
          <w:insideH w:val="single" w:color="D97706" w:sz="2"/>
          <w:insideV w:val="none"/>
        </w:tblBorders>
      </w:tblPr>
      <w:tblGrid>
        <w:gridCol w:w="9350"/>
      </w:tblGrid>
      <w:tr>
        <w:tc>
          <w:tcPr>
            <w:gridSpan w:val="1"/>
            <w:shd w:fill="1F2A4A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Resolve low-stock risk before it affects revenue</w:t>
            </w:r>
          </w:p>
        </w:tc>
      </w:tr>
      <w:tr>
        <w:tc>
          <w:tcPr>
            <w:shd w:fill="F5F6F8" w:val="clear"/>
            <w:tcMar>
              <w:top w:type="dxa" w:w="140"/>
              <w:left w:type="dxa" w:w="220"/>
              <w:bottom w:type="dxa" w:w="60"/>
              <w:right w:type="dxa" w:w="220"/>
            </w:tcMar>
          </w:tcPr>
          <w:p>
            <w:pPr>
              <w:spacing w:after="110"/>
            </w:pPr>
            <w:r>
              <w:rPr>
                <w:b/>
                <w:bCs/>
                <w:i/>
                <w:iCs/>
                <w:color w:val="6B7280"/>
                <w:sz w:val="19"/>
                <w:szCs w:val="19"/>
              </w:rPr>
              <w:t xml:space="preserve">Supporting finding: 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8 products are currently in the Low Stock band, some of which are mid-to-high revenue performers; none are yet fully out of stock, but the risk is live.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sz w:val="20"/>
                <w:szCs w:val="20"/>
              </w:rPr>
              <w:t xml:space="preserve">Cross-reference the low-stock list against the top-10 products-by-revenue list and prioritise restocking any overlap first.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sz w:val="20"/>
                <w:szCs w:val="20"/>
              </w:rPr>
              <w:t xml:space="preserve">Set a recurring (e.g. weekly) stock-level review using the Product &amp; Category dashboard rather than a one-off check.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sz w:val="20"/>
                <w:szCs w:val="20"/>
              </w:rPr>
              <w:t xml:space="preserve">For genuinely low-velocity products among the 8, evaluate whether restocking is worthwhile versus phasing them out.</w:t>
            </w:r>
          </w:p>
        </w:tc>
      </w:tr>
    </w:tbl>
    <w:p>
      <w:pPr>
        <w:spacing w:after="220"/>
      </w:pPr>
    </w:p>
    <w:tbl>
      <w:tblPr>
        <w:tblW w:type="dxa" w:w="9350"/>
        <w:tblBorders>
          <w:top w:val="single" w:color="D97706" w:sz="4"/>
          <w:left w:val="single" w:color="D97706" w:sz="4"/>
          <w:bottom w:val="single" w:color="D97706" w:sz="4"/>
          <w:right w:val="single" w:color="D97706" w:sz="4"/>
          <w:insideH w:val="single" w:color="D97706" w:sz="2"/>
          <w:insideV w:val="none"/>
        </w:tblBorders>
      </w:tblPr>
      <w:tblGrid>
        <w:gridCol w:w="9350"/>
      </w:tblGrid>
      <w:tr>
        <w:tc>
          <w:tcPr>
            <w:gridSpan w:val="1"/>
            <w:shd w:fill="1F2A4A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6.  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Address the recent slowdown in new customer acquisition</w:t>
            </w:r>
          </w:p>
        </w:tc>
      </w:tr>
      <w:tr>
        <w:tc>
          <w:tcPr>
            <w:shd w:fill="F5F6F8" w:val="clear"/>
            <w:tcMar>
              <w:top w:type="dxa" w:w="140"/>
              <w:left w:type="dxa" w:w="220"/>
              <w:bottom w:type="dxa" w:w="60"/>
              <w:right w:type="dxa" w:w="220"/>
            </w:tcMar>
          </w:tcPr>
          <w:p>
            <w:pPr>
              <w:spacing w:after="110"/>
            </w:pPr>
            <w:r>
              <w:rPr>
                <w:b/>
                <w:bCs/>
                <w:i/>
                <w:iCs/>
                <w:color w:val="6B7280"/>
                <w:sz w:val="19"/>
                <w:szCs w:val="19"/>
              </w:rPr>
              <w:t xml:space="preserve">Supporting finding: 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New signups peaked at 8 in September 2025 but fell to just 1 in April 2026 — a clear deceleration that the strong 95% repeat rate does not offset for long-term growth.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sz w:val="20"/>
                <w:szCs w:val="20"/>
              </w:rPr>
              <w:t xml:space="preserve">Run a focused acquisition campaign to understand and reverse the recent drop-off — check whether it coincides with a change in marketing spend, seasonality, or a competitive shift.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sz w:val="20"/>
                <w:szCs w:val="20"/>
              </w:rPr>
              <w:t xml:space="preserve">Since retention is already strong, new-customer economics (cost per acquisition, first-order conversion) are likely to have solid downstream payback — worth re-investing in.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sz w:val="20"/>
                <w:szCs w:val="20"/>
              </w:rPr>
              <w:t xml:space="preserve">Track New Customers as a standing monthly KPI on the dashboard (already built) so a slowdown like this is caught sooner next time.</w:t>
            </w:r>
          </w:p>
        </w:tc>
      </w:tr>
    </w:tbl>
    <w:p>
      <w:pPr>
        <w:spacing w:after="220"/>
      </w:pPr>
    </w:p>
    <w:tbl>
      <w:tblPr>
        <w:tblW w:type="dxa" w:w="9350"/>
        <w:tblBorders>
          <w:top w:val="single" w:color="0D9488" w:sz="4"/>
          <w:left w:val="single" w:color="0D9488" w:sz="4"/>
          <w:bottom w:val="single" w:color="0D9488" w:sz="4"/>
          <w:right w:val="single" w:color="0D9488" w:sz="4"/>
          <w:insideH w:val="single" w:color="0D9488" w:sz="2"/>
          <w:insideV w:val="none"/>
        </w:tblBorders>
      </w:tblPr>
      <w:tblGrid>
        <w:gridCol w:w="9350"/>
      </w:tblGrid>
      <w:tr>
        <w:tc>
          <w:tcPr>
            <w:gridSpan w:val="1"/>
            <w:shd w:fill="1F2A4A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7.  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Review the bottom-performing products for bundling, discounting, or delisting</w:t>
            </w:r>
          </w:p>
        </w:tc>
      </w:tr>
      <w:tr>
        <w:tc>
          <w:tcPr>
            <w:shd w:fill="F5F6F8" w:val="clear"/>
            <w:tcMar>
              <w:top w:type="dxa" w:w="140"/>
              <w:left w:type="dxa" w:w="220"/>
              <w:bottom w:type="dxa" w:w="60"/>
              <w:right w:type="dxa" w:w="220"/>
            </w:tcMar>
          </w:tcPr>
          <w:p>
            <w:pPr>
              <w:spacing w:after="110"/>
            </w:pPr>
            <w:r>
              <w:rPr>
                <w:b/>
                <w:bCs/>
                <w:i/>
                <w:iCs/>
                <w:color w:val="6B7280"/>
                <w:sz w:val="19"/>
                <w:szCs w:val="19"/>
              </w:rPr>
              <w:t xml:space="preserve">Supporting finding: 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The three lowest-revenue products ("Premium Suscipit," "Classic Numquam," "Premium Veniam") generate a small fraction of the top performers' revenue.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sz w:val="20"/>
                <w:szCs w:val="20"/>
              </w:rPr>
              <w:t xml:space="preserve">Test bundling these with high-performing products in the same category to lift their visibility and attach rate.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sz w:val="20"/>
                <w:szCs w:val="20"/>
              </w:rPr>
              <w:t xml:space="preserve">If bundling and modest discounting don't move the needle within a defined trial period, consider delisting to simplify the catalog and free up inventory capital.</w:t>
            </w:r>
          </w:p>
        </w:tc>
      </w:tr>
    </w:tbl>
    <w:p>
      <w:pPr>
        <w:spacing w:after="220"/>
      </w:pPr>
    </w:p>
    <w:tbl>
      <w:tblPr>
        <w:tblW w:type="dxa" w:w="9350"/>
        <w:tblBorders>
          <w:top w:val="single" w:color="D97706" w:sz="4"/>
          <w:left w:val="single" w:color="D97706" w:sz="4"/>
          <w:bottom w:val="single" w:color="D97706" w:sz="4"/>
          <w:right w:val="single" w:color="D97706" w:sz="4"/>
          <w:insideH w:val="single" w:color="D97706" w:sz="2"/>
          <w:insideV w:val="none"/>
        </w:tblBorders>
      </w:tblPr>
      <w:tblGrid>
        <w:gridCol w:w="9350"/>
      </w:tblGrid>
      <w:tr>
        <w:tc>
          <w:tcPr>
            <w:gridSpan w:val="1"/>
            <w:shd w:fill="1F2A4A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8.  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Reconcile the 26 orders with no line items in the source system</w:t>
            </w:r>
          </w:p>
        </w:tc>
      </w:tr>
      <w:tr>
        <w:tc>
          <w:tcPr>
            <w:shd w:fill="F5F6F8" w:val="clear"/>
            <w:tcMar>
              <w:top w:type="dxa" w:w="140"/>
              <w:left w:type="dxa" w:w="220"/>
              <w:bottom w:type="dxa" w:w="60"/>
              <w:right w:type="dxa" w:w="220"/>
            </w:tcMar>
          </w:tcPr>
          <w:p>
            <w:pPr>
              <w:spacing w:after="110"/>
            </w:pPr>
            <w:r>
              <w:rPr>
                <w:b/>
                <w:bCs/>
                <w:i/>
                <w:iCs/>
                <w:color w:val="6B7280"/>
                <w:sz w:val="19"/>
                <w:szCs w:val="19"/>
              </w:rPr>
              <w:t xml:space="preserve">Supporting finding: 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26 orders (mostly marked Delivered) have zero corresponding rows in Order Items, meaning they count toward order volume but contribute ₹0 to revenue — a data-integrity gap between the order-placement and fulfilment systems.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sz w:val="20"/>
                <w:szCs w:val="20"/>
              </w:rPr>
              <w:t xml:space="preserve">Flag these 26 order IDs to the engineering/data team as a reconciliation task — determine whether items were lost in the pipeline or the orders are genuinely empty (e.g. cancelled before item selection).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sz w:val="20"/>
                <w:szCs w:val="20"/>
              </w:rPr>
              <w:t xml:space="preserve">Until resolved, continue computing revenue KPIs from Order Items (as this project does) rather than assuming every 'Delivered' order has a positive value.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D9488" w:sz="8" w:space="6"/>
      </w:pBdr>
      <w:spacing w:after="150" w:before="340"/>
    </w:pPr>
    <w:rPr>
      <w:rFonts w:ascii="Calibri" w:cs="Calibri" w:eastAsia="Calibri" w:hAnsi="Calibri"/>
      <w:b/>
      <w:bCs/>
      <w:color w:val="1F2A4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2026-09-22T07:06:55.719Z</dcterms:created>
  <dcterms:modified xsi:type="dcterms:W3CDTF">2026-09-22T07:06:55.719Z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